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3F63" w:rsidRDefault="006536E7">
      <w:pPr>
        <w:pBdr>
          <w:bottom w:val="single" w:sz="4" w:space="1" w:color="auto"/>
        </w:pBdr>
        <w:jc w:val="center"/>
        <w:rPr>
          <w:rFonts w:ascii="Arial" w:hAnsi="Arial" w:cs="Arial"/>
          <w:b/>
          <w:smallCaps/>
          <w:sz w:val="52"/>
          <w:szCs w:val="52"/>
        </w:rPr>
      </w:pPr>
      <w:r>
        <w:rPr>
          <w:b/>
          <w:smallCaps/>
          <w:sz w:val="52"/>
          <w:szCs w:val="52"/>
        </w:rPr>
        <w:t>Vysoká škola ekonom ická v Praze</w:t>
      </w:r>
    </w:p>
    <w:p w:rsidR="005C3F63" w:rsidRDefault="006536E7">
      <w:pPr>
        <w:jc w:val="center"/>
        <w:rPr>
          <w:b/>
          <w:smallCaps/>
          <w:sz w:val="52"/>
          <w:szCs w:val="52"/>
          <w:lang w:val="sk-SK"/>
        </w:rPr>
      </w:pPr>
      <w:r>
        <w:rPr>
          <w:b/>
          <w:smallCaps/>
          <w:sz w:val="52"/>
          <w:szCs w:val="52"/>
          <w:lang w:val="sk-SK"/>
        </w:rPr>
        <w:t>Ekonomická univerzita v Bratislave</w:t>
      </w:r>
    </w:p>
    <w:p w:rsidR="005C3F63" w:rsidRDefault="005C3F63">
      <w:pPr>
        <w:ind w:left="1260"/>
        <w:jc w:val="center"/>
        <w:rPr>
          <w:rFonts w:ascii="Arial" w:hAnsi="Arial" w:cs="Arial"/>
          <w:b/>
          <w:sz w:val="40"/>
          <w:szCs w:val="40"/>
        </w:rPr>
      </w:pPr>
    </w:p>
    <w:p w:rsidR="005C3F63" w:rsidRDefault="005C3F63">
      <w:pPr>
        <w:ind w:left="1260"/>
        <w:jc w:val="center"/>
        <w:rPr>
          <w:rFonts w:ascii="Arial" w:hAnsi="Arial" w:cs="Arial"/>
          <w:b/>
          <w:sz w:val="40"/>
          <w:szCs w:val="40"/>
        </w:rPr>
      </w:pPr>
    </w:p>
    <w:p w:rsidR="005C3F63" w:rsidRDefault="006536E7">
      <w:pPr>
        <w:ind w:left="1260"/>
        <w:jc w:val="center"/>
        <w:rPr>
          <w:rFonts w:ascii="Arial" w:hAnsi="Arial" w:cs="Arial"/>
          <w:b/>
          <w:sz w:val="40"/>
          <w:szCs w:val="40"/>
        </w:rPr>
      </w:pPr>
      <w:r>
        <w:rPr>
          <w:b/>
          <w:noProof/>
          <w:lang w:val="uk-UA" w:eastAsia="uk-UA" w:bidi="ar-SA"/>
        </w:rPr>
        <w:drawing>
          <wp:anchor distT="0" distB="0" distL="114300" distR="114300" simplePos="0" relativeHeight="251736064" behindDoc="0" locked="0" layoutInCell="1" allowOverlap="1">
            <wp:simplePos x="0" y="0"/>
            <wp:positionH relativeFrom="column">
              <wp:posOffset>1257300</wp:posOffset>
            </wp:positionH>
            <wp:positionV relativeFrom="paragraph">
              <wp:posOffset>186690</wp:posOffset>
            </wp:positionV>
            <wp:extent cx="788035" cy="800100"/>
            <wp:effectExtent l="0" t="0" r="0" b="0"/>
            <wp:wrapNone/>
            <wp:docPr id="692" name="Obrázek 692" descr="VEKRU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2" name="Obrázek 692" descr="VEKRUHE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788035" cy="800100"/>
                    </a:xfrm>
                    <a:prstGeom prst="rect">
                      <a:avLst/>
                    </a:prstGeom>
                    <a:noFill/>
                    <a:ln>
                      <a:noFill/>
                    </a:ln>
                  </pic:spPr>
                </pic:pic>
              </a:graphicData>
            </a:graphic>
          </wp:anchor>
        </w:drawing>
      </w:r>
      <w:r>
        <w:rPr>
          <w:rFonts w:ascii="Arial" w:hAnsi="Arial" w:cs="Arial"/>
          <w:b/>
          <w:noProof/>
          <w:sz w:val="40"/>
          <w:szCs w:val="40"/>
          <w:lang w:val="uk-UA" w:eastAsia="uk-UA" w:bidi="ar-SA"/>
        </w:rPr>
        <w:drawing>
          <wp:anchor distT="0" distB="0" distL="114300" distR="114300" simplePos="0" relativeHeight="251737088" behindDoc="0" locked="0" layoutInCell="1" allowOverlap="1">
            <wp:simplePos x="0" y="0"/>
            <wp:positionH relativeFrom="column">
              <wp:posOffset>3771900</wp:posOffset>
            </wp:positionH>
            <wp:positionV relativeFrom="paragraph">
              <wp:posOffset>186690</wp:posOffset>
            </wp:positionV>
            <wp:extent cx="952500" cy="895350"/>
            <wp:effectExtent l="0" t="0" r="0" b="0"/>
            <wp:wrapNone/>
            <wp:docPr id="686" name="Obrázek 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 name="Obrázek 68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952500" cy="895350"/>
                    </a:xfrm>
                    <a:prstGeom prst="rect">
                      <a:avLst/>
                    </a:prstGeom>
                    <a:noFill/>
                    <a:ln>
                      <a:noFill/>
                    </a:ln>
                  </pic:spPr>
                </pic:pic>
              </a:graphicData>
            </a:graphic>
          </wp:anchor>
        </w:drawing>
      </w:r>
    </w:p>
    <w:p w:rsidR="005C3F63" w:rsidRDefault="005C3F63">
      <w:pPr>
        <w:ind w:left="1260"/>
        <w:jc w:val="center"/>
        <w:rPr>
          <w:rFonts w:ascii="Arial" w:hAnsi="Arial" w:cs="Arial"/>
          <w:b/>
          <w:sz w:val="40"/>
          <w:szCs w:val="40"/>
        </w:rPr>
      </w:pPr>
    </w:p>
    <w:p w:rsidR="005C3F63" w:rsidRDefault="005C3F63">
      <w:pPr>
        <w:ind w:left="1260"/>
        <w:jc w:val="center"/>
        <w:rPr>
          <w:rFonts w:ascii="Arial" w:hAnsi="Arial" w:cs="Arial"/>
          <w:b/>
          <w:sz w:val="40"/>
          <w:szCs w:val="40"/>
        </w:rPr>
      </w:pPr>
    </w:p>
    <w:p w:rsidR="005C3F63" w:rsidRDefault="005C3F63">
      <w:pPr>
        <w:ind w:left="1260"/>
        <w:jc w:val="center"/>
        <w:rPr>
          <w:rFonts w:ascii="Arial" w:hAnsi="Arial" w:cs="Arial"/>
          <w:b/>
          <w:sz w:val="40"/>
          <w:szCs w:val="40"/>
        </w:rPr>
      </w:pPr>
    </w:p>
    <w:p w:rsidR="005C3F63" w:rsidRDefault="005C3F63">
      <w:pPr>
        <w:jc w:val="center"/>
        <w:rPr>
          <w:b/>
          <w:sz w:val="32"/>
          <w:szCs w:val="32"/>
        </w:rPr>
      </w:pPr>
    </w:p>
    <w:p w:rsidR="005C3F63" w:rsidRDefault="005C3F63">
      <w:pPr>
        <w:jc w:val="center"/>
        <w:rPr>
          <w:b/>
          <w:sz w:val="32"/>
          <w:szCs w:val="32"/>
        </w:rPr>
      </w:pPr>
    </w:p>
    <w:p w:rsidR="005C3F63" w:rsidRDefault="005C3F63">
      <w:pPr>
        <w:jc w:val="center"/>
        <w:rPr>
          <w:b/>
          <w:sz w:val="32"/>
          <w:szCs w:val="32"/>
        </w:rPr>
      </w:pPr>
    </w:p>
    <w:p w:rsidR="005C3F63" w:rsidRDefault="005C3F63">
      <w:pPr>
        <w:jc w:val="center"/>
        <w:rPr>
          <w:b/>
          <w:sz w:val="32"/>
          <w:szCs w:val="32"/>
        </w:rPr>
      </w:pPr>
    </w:p>
    <w:p w:rsidR="005C3F63" w:rsidRDefault="006536E7">
      <w:pPr>
        <w:jc w:val="center"/>
        <w:rPr>
          <w:b/>
          <w:sz w:val="32"/>
          <w:szCs w:val="32"/>
        </w:rPr>
      </w:pPr>
      <w:r>
        <w:rPr>
          <w:b/>
          <w:sz w:val="32"/>
          <w:szCs w:val="32"/>
        </w:rPr>
        <w:t>Sborník z mezinárodní vědecké konference</w:t>
      </w:r>
    </w:p>
    <w:p w:rsidR="005C3F63" w:rsidRDefault="006536E7">
      <w:pPr>
        <w:ind w:left="1260"/>
        <w:jc w:val="center"/>
        <w:rPr>
          <w:rFonts w:ascii="Arial" w:hAnsi="Arial" w:cs="Arial"/>
          <w:b/>
          <w:sz w:val="40"/>
          <w:szCs w:val="40"/>
        </w:rPr>
      </w:pPr>
      <w:r>
        <w:rPr>
          <w:b/>
          <w:noProof/>
          <w:lang w:val="uk-UA" w:eastAsia="uk-UA" w:bidi="ar-SA"/>
        </w:rPr>
        <mc:AlternateContent>
          <mc:Choice Requires="wps">
            <w:drawing>
              <wp:anchor distT="0" distB="0" distL="114300" distR="114300" simplePos="0" relativeHeight="251735040" behindDoc="0" locked="0" layoutInCell="1" allowOverlap="1">
                <wp:simplePos x="0" y="0"/>
                <wp:positionH relativeFrom="column">
                  <wp:posOffset>114300</wp:posOffset>
                </wp:positionH>
                <wp:positionV relativeFrom="paragraph">
                  <wp:posOffset>266700</wp:posOffset>
                </wp:positionV>
                <wp:extent cx="6057900" cy="2369185"/>
                <wp:effectExtent l="15240" t="17145" r="89535" b="90170"/>
                <wp:wrapNone/>
                <wp:docPr id="685" name="Textové pole 6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2369185"/>
                        </a:xfrm>
                        <a:prstGeom prst="rect">
                          <a:avLst/>
                        </a:prstGeom>
                        <a:solidFill>
                          <a:srgbClr val="CCFFFF"/>
                        </a:solidFill>
                        <a:ln w="19050">
                          <a:solidFill>
                            <a:srgbClr val="000000"/>
                          </a:solidFill>
                          <a:miter lim="800000"/>
                        </a:ln>
                        <a:effectLst>
                          <a:outerShdw dist="107763" dir="2700000" algn="ctr" rotWithShape="0">
                            <a:srgbClr val="808080">
                              <a:alpha val="50000"/>
                            </a:srgbClr>
                          </a:outerShdw>
                        </a:effectLst>
                      </wps:spPr>
                      <wps:txbx>
                        <w:txbxContent>
                          <w:p w:rsidR="005C3F63" w:rsidRDefault="005C3F63">
                            <w:pPr>
                              <w:spacing w:before="120"/>
                              <w:jc w:val="center"/>
                              <w:rPr>
                                <w:rFonts w:ascii="Arial Black" w:hAnsi="Arial Black"/>
                                <w:b/>
                                <w:sz w:val="16"/>
                                <w:szCs w:val="16"/>
                              </w:rPr>
                            </w:pPr>
                          </w:p>
                          <w:p w:rsidR="005C3F63" w:rsidRDefault="006536E7">
                            <w:pPr>
                              <w:spacing w:before="120"/>
                              <w:jc w:val="center"/>
                              <w:rPr>
                                <w:rFonts w:ascii="Arial Black" w:hAnsi="Arial Black"/>
                                <w:b/>
                                <w:color w:val="000080"/>
                                <w:sz w:val="72"/>
                                <w:szCs w:val="72"/>
                                <w14:shadow w14:blurRad="50800" w14:dist="38100" w14:dir="2700000" w14:sx="100000" w14:sy="100000" w14:kx="0" w14:ky="0" w14:algn="tl">
                                  <w14:srgbClr w14:val="000000">
                                    <w14:alpha w14:val="60000"/>
                                  </w14:srgbClr>
                                </w14:shadow>
                              </w:rPr>
                            </w:pPr>
                            <w:r>
                              <w:rPr>
                                <w:rFonts w:ascii="Arial Black" w:hAnsi="Arial Black"/>
                                <w:b/>
                                <w:color w:val="000080"/>
                                <w:sz w:val="72"/>
                                <w:szCs w:val="72"/>
                                <w14:shadow w14:blurRad="50800" w14:dist="38100" w14:dir="2700000" w14:sx="100000" w14:sy="100000" w14:kx="0" w14:ky="0" w14:algn="tl">
                                  <w14:srgbClr w14:val="000000">
                                    <w14:alpha w14:val="60000"/>
                                  </w14:srgbClr>
                                </w14:shadow>
                              </w:rPr>
                              <w:t>Účetnictví a auditing v procesu světové harmonizace</w:t>
                            </w:r>
                          </w:p>
                          <w:p w:rsidR="005C3F63" w:rsidRDefault="005C3F63">
                            <w:pPr>
                              <w:jc w:val="center"/>
                              <w:rPr>
                                <w:sz w:val="48"/>
                                <w:szCs w:val="48"/>
                              </w:rPr>
                            </w:pPr>
                          </w:p>
                        </w:txbxContent>
                      </wps:txbx>
                      <wps:bodyPr rot="0" vert="horz" wrap="square" lIns="91440" tIns="45720" rIns="91440" bIns="45720" anchor="t" anchorCtr="0" upright="1">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psCustomData="http://www.wps.cn/officeDocument/2013/wpsCustomData" xmlns:w16se="http://schemas.microsoft.com/office/word/2015/wordml/symex" xmlns:w15="http://schemas.microsoft.com/office/word/2012/wordml" xmlns:cx1="http://schemas.microsoft.com/office/drawing/2015/9/8/chartex" xmlns:cx="http://schemas.microsoft.com/office/drawing/2014/chartex">
            <w:pict>
              <v:shape id="Textové pole 685" o:spid="_x0000_s1026" o:spt="202" type="#_x0000_t202" style="position:absolute;left:0pt;margin-left:9pt;margin-top:21pt;height:186.55pt;width:477pt;z-index:251735040;mso-width-relative:page;mso-height-relative:page;" fillcolor="#CCFFFF" filled="t" stroked="t" coordsize="21600,21600" o:gfxdata="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">
                <v:fill on="t" focussize="0,0"/>
                <v:stroke weight="1.5pt" color="#000000" miterlimit="8" joinstyle="miter"/>
                <v:imagedata o:title=""/>
                <o:lock v:ext="edit" aspectratio="f"/>
                <v:shadow on="t" color="#808080" opacity="32768f" offset="6pt,6pt" origin="0f,0f" matrix="65536f,0f,0f,65536f"/>
                <v:textbox>
                  <w:txbxContent>
                    <w:p>
                      <w:pPr>
                        <w:spacing w:before="120"/>
                        <w:jc w:val="center"/>
                        <w:rPr>
                          <w:rFonts w:ascii="Arial Black" w:hAnsi="Arial Black"/>
                          <w:b/>
                          <w:sz w:val="16"/>
                          <w:szCs w:val="16"/>
                        </w:rPr>
                      </w:pPr>
                    </w:p>
                    <w:p>
                      <w:pPr>
                        <w:spacing w:before="120"/>
                        <w:jc w:val="center"/>
                        <w:rPr>
                          <w:rFonts w:ascii="Arial Black" w:hAnsi="Arial Black"/>
                          <w:b/>
                          <w:color w:val="000080"/>
                          <w:sz w:val="72"/>
                          <w:szCs w:val="72"/>
                          <w14:shadow w14:blurRad="50800" w14:dist="38100" w14:dir="2700000" w14:sx="100000" w14:sy="100000" w14:kx="0" w14:ky="0" w14:algn="tl">
                            <w14:srgbClr w14:val="000000">
                              <w14:alpha w14:val="60000"/>
                            </w14:srgbClr>
                          </w14:shadow>
                        </w:rPr>
                      </w:pPr>
                      <w:r>
                        <w:rPr>
                          <w:rFonts w:ascii="Arial Black" w:hAnsi="Arial Black"/>
                          <w:b/>
                          <w:color w:val="000080"/>
                          <w:sz w:val="72"/>
                          <w:szCs w:val="72"/>
                          <w14:shadow w14:blurRad="50800" w14:dist="38100" w14:dir="2700000" w14:sx="100000" w14:sy="100000" w14:kx="0" w14:ky="0" w14:algn="tl">
                            <w14:srgbClr w14:val="000000">
                              <w14:alpha w14:val="60000"/>
                            </w14:srgbClr>
                          </w14:shadow>
                        </w:rPr>
                        <w:t>Účetnictví a auditing v procesu světové harmonizace</w:t>
                      </w:r>
                    </w:p>
                    <w:p>
                      <w:pPr>
                        <w:jc w:val="center"/>
                        <w:rPr>
                          <w:sz w:val="48"/>
                          <w:szCs w:val="48"/>
                        </w:rPr>
                      </w:pPr>
                    </w:p>
                  </w:txbxContent>
                </v:textbox>
              </v:shape>
            </w:pict>
          </mc:Fallback>
        </mc:AlternateContent>
      </w:r>
    </w:p>
    <w:p w:rsidR="005C3F63" w:rsidRDefault="005C3F63">
      <w:pPr>
        <w:ind w:left="1260"/>
        <w:jc w:val="center"/>
        <w:rPr>
          <w:rFonts w:ascii="Arial" w:hAnsi="Arial" w:cs="Arial"/>
          <w:b/>
          <w:sz w:val="40"/>
          <w:szCs w:val="40"/>
        </w:rPr>
      </w:pPr>
    </w:p>
    <w:p w:rsidR="005C3F63" w:rsidRDefault="005C3F63">
      <w:pPr>
        <w:ind w:left="1260"/>
        <w:jc w:val="center"/>
        <w:rPr>
          <w:rFonts w:ascii="Arial" w:hAnsi="Arial" w:cs="Arial"/>
          <w:b/>
          <w:sz w:val="40"/>
          <w:szCs w:val="40"/>
        </w:rPr>
      </w:pPr>
    </w:p>
    <w:p w:rsidR="005C3F63" w:rsidRDefault="005C3F63">
      <w:pPr>
        <w:ind w:left="1260"/>
        <w:jc w:val="center"/>
        <w:rPr>
          <w:rFonts w:ascii="Arial" w:hAnsi="Arial" w:cs="Arial"/>
          <w:b/>
          <w:sz w:val="40"/>
          <w:szCs w:val="40"/>
        </w:rPr>
      </w:pPr>
    </w:p>
    <w:p w:rsidR="005C3F63" w:rsidRDefault="005C3F63">
      <w:pPr>
        <w:ind w:left="1260"/>
        <w:jc w:val="center"/>
        <w:rPr>
          <w:rFonts w:ascii="Arial" w:hAnsi="Arial" w:cs="Arial"/>
          <w:b/>
          <w:sz w:val="40"/>
          <w:szCs w:val="40"/>
        </w:rPr>
      </w:pPr>
    </w:p>
    <w:p w:rsidR="005C3F63" w:rsidRDefault="005C3F63">
      <w:pPr>
        <w:jc w:val="center"/>
        <w:rPr>
          <w:b/>
        </w:rPr>
      </w:pPr>
    </w:p>
    <w:p w:rsidR="005C3F63" w:rsidRDefault="005C3F63">
      <w:pPr>
        <w:jc w:val="center"/>
        <w:rPr>
          <w:b/>
        </w:rPr>
      </w:pPr>
    </w:p>
    <w:p w:rsidR="005C3F63" w:rsidRDefault="005C3F63">
      <w:pPr>
        <w:jc w:val="center"/>
        <w:rPr>
          <w:b/>
        </w:rPr>
      </w:pPr>
    </w:p>
    <w:p w:rsidR="005C3F63" w:rsidRDefault="005C3F63">
      <w:pPr>
        <w:jc w:val="center"/>
        <w:rPr>
          <w:b/>
        </w:rPr>
      </w:pPr>
    </w:p>
    <w:p w:rsidR="005C3F63" w:rsidRDefault="005C3F63">
      <w:pPr>
        <w:jc w:val="center"/>
        <w:rPr>
          <w:b/>
        </w:rPr>
      </w:pPr>
    </w:p>
    <w:p w:rsidR="005C3F63" w:rsidRDefault="005C3F63">
      <w:pPr>
        <w:jc w:val="center"/>
        <w:rPr>
          <w:b/>
        </w:rPr>
      </w:pPr>
    </w:p>
    <w:p w:rsidR="005C3F63" w:rsidRDefault="005C3F63">
      <w:pPr>
        <w:jc w:val="center"/>
        <w:rPr>
          <w:b/>
        </w:rPr>
      </w:pPr>
    </w:p>
    <w:p w:rsidR="005C3F63" w:rsidRDefault="005C3F63">
      <w:pPr>
        <w:jc w:val="center"/>
        <w:rPr>
          <w:b/>
        </w:rPr>
      </w:pPr>
    </w:p>
    <w:p w:rsidR="005C3F63" w:rsidRDefault="005C3F63">
      <w:pPr>
        <w:jc w:val="center"/>
        <w:rPr>
          <w:b/>
        </w:rPr>
      </w:pPr>
    </w:p>
    <w:p w:rsidR="005C3F63" w:rsidRDefault="005C3F63">
      <w:pPr>
        <w:jc w:val="center"/>
        <w:rPr>
          <w:b/>
        </w:rPr>
      </w:pPr>
    </w:p>
    <w:p w:rsidR="005C3F63" w:rsidRDefault="005C3F63">
      <w:pPr>
        <w:jc w:val="center"/>
        <w:rPr>
          <w:b/>
        </w:rPr>
      </w:pPr>
    </w:p>
    <w:p w:rsidR="005C3F63" w:rsidRDefault="005C3F63">
      <w:pPr>
        <w:jc w:val="center"/>
        <w:rPr>
          <w:b/>
        </w:rPr>
      </w:pPr>
    </w:p>
    <w:p w:rsidR="005C3F63" w:rsidRDefault="005C3F63">
      <w:pPr>
        <w:jc w:val="center"/>
        <w:rPr>
          <w:b/>
        </w:rPr>
      </w:pPr>
    </w:p>
    <w:p w:rsidR="005C3F63" w:rsidRDefault="005C3F63">
      <w:pPr>
        <w:jc w:val="center"/>
        <w:rPr>
          <w:b/>
        </w:rPr>
      </w:pPr>
    </w:p>
    <w:p w:rsidR="005C3F63" w:rsidRDefault="005C3F63">
      <w:pPr>
        <w:jc w:val="center"/>
        <w:rPr>
          <w:b/>
        </w:rPr>
      </w:pPr>
    </w:p>
    <w:p w:rsidR="005C3F63" w:rsidRDefault="005C3F63">
      <w:pPr>
        <w:jc w:val="center"/>
        <w:rPr>
          <w:b/>
        </w:rPr>
      </w:pPr>
    </w:p>
    <w:p w:rsidR="005C3F63" w:rsidRDefault="005C3F63">
      <w:pPr>
        <w:jc w:val="center"/>
        <w:rPr>
          <w:b/>
        </w:rPr>
      </w:pPr>
    </w:p>
    <w:p w:rsidR="005C3F63" w:rsidRDefault="006536E7">
      <w:pPr>
        <w:pBdr>
          <w:top w:val="single" w:sz="4" w:space="1" w:color="auto"/>
        </w:pBdr>
        <w:jc w:val="center"/>
        <w:rPr>
          <w:b/>
          <w:sz w:val="44"/>
          <w:szCs w:val="44"/>
        </w:rPr>
      </w:pPr>
      <w:r>
        <w:rPr>
          <w:b/>
          <w:sz w:val="44"/>
          <w:szCs w:val="44"/>
        </w:rPr>
        <w:t>Slapy, 8. – 10. září 2020</w:t>
      </w:r>
    </w:p>
    <w:p w:rsidR="005C3F63" w:rsidRDefault="006536E7">
      <w:r>
        <w:rPr>
          <w:b/>
          <w:sz w:val="44"/>
          <w:szCs w:val="44"/>
        </w:rPr>
        <w:lastRenderedPageBreak/>
        <w:br w:type="page"/>
      </w:r>
    </w:p>
    <w:p w:rsidR="005C3F63" w:rsidRDefault="005C3F63"/>
    <w:p w:rsidR="005C3F63" w:rsidRDefault="005C3F63"/>
    <w:p w:rsidR="005C3F63" w:rsidRDefault="005C3F63"/>
    <w:p w:rsidR="005C3F63" w:rsidRDefault="005C3F63"/>
    <w:p w:rsidR="005C3F63" w:rsidRDefault="005C3F63"/>
    <w:p w:rsidR="005C3F63" w:rsidRDefault="005C3F63"/>
    <w:p w:rsidR="005C3F63" w:rsidRDefault="006536E7">
      <w:r>
        <w:rPr>
          <w:noProof/>
          <w:lang w:val="uk-UA" w:eastAsia="uk-UA" w:bidi="ar-SA"/>
        </w:rPr>
        <w:drawing>
          <wp:anchor distT="0" distB="0" distL="114300" distR="114300" simplePos="0" relativeHeight="251734016" behindDoc="0" locked="0" layoutInCell="1" allowOverlap="1">
            <wp:simplePos x="0" y="0"/>
            <wp:positionH relativeFrom="column">
              <wp:posOffset>3314700</wp:posOffset>
            </wp:positionH>
            <wp:positionV relativeFrom="paragraph">
              <wp:posOffset>30480</wp:posOffset>
            </wp:positionV>
            <wp:extent cx="1600200" cy="1503680"/>
            <wp:effectExtent l="0" t="0" r="0" b="1270"/>
            <wp:wrapNone/>
            <wp:docPr id="684" name="Obrázek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 name="Obrázek 68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1600200" cy="1503680"/>
                    </a:xfrm>
                    <a:prstGeom prst="rect">
                      <a:avLst/>
                    </a:prstGeom>
                    <a:noFill/>
                    <a:ln>
                      <a:noFill/>
                    </a:ln>
                  </pic:spPr>
                </pic:pic>
              </a:graphicData>
            </a:graphic>
          </wp:anchor>
        </w:drawing>
      </w:r>
      <w:r>
        <w:rPr>
          <w:noProof/>
          <w:lang w:val="uk-UA" w:eastAsia="uk-UA" w:bidi="ar-SA"/>
        </w:rPr>
        <w:drawing>
          <wp:anchor distT="0" distB="0" distL="114300" distR="114300" simplePos="0" relativeHeight="251732992" behindDoc="0" locked="0" layoutInCell="1" allowOverlap="1">
            <wp:simplePos x="0" y="0"/>
            <wp:positionH relativeFrom="column">
              <wp:posOffset>1028700</wp:posOffset>
            </wp:positionH>
            <wp:positionV relativeFrom="paragraph">
              <wp:posOffset>30480</wp:posOffset>
            </wp:positionV>
            <wp:extent cx="1350645" cy="1371600"/>
            <wp:effectExtent l="0" t="0" r="1905" b="0"/>
            <wp:wrapNone/>
            <wp:docPr id="683" name="Obrázek 683" descr="VEKRU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 name="Obrázek 683" descr="VEKRUHER"/>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1350645" cy="1371600"/>
                    </a:xfrm>
                    <a:prstGeom prst="rect">
                      <a:avLst/>
                    </a:prstGeom>
                    <a:noFill/>
                    <a:ln>
                      <a:noFill/>
                    </a:ln>
                  </pic:spPr>
                </pic:pic>
              </a:graphicData>
            </a:graphic>
          </wp:anchor>
        </w:drawing>
      </w:r>
    </w:p>
    <w:p w:rsidR="005C3F63" w:rsidRDefault="005C3F63"/>
    <w:p w:rsidR="005C3F63" w:rsidRDefault="005C3F63"/>
    <w:p w:rsidR="005C3F63" w:rsidRDefault="005C3F63"/>
    <w:p w:rsidR="005C3F63" w:rsidRDefault="005C3F63"/>
    <w:p w:rsidR="005C3F63" w:rsidRDefault="005C3F63"/>
    <w:p w:rsidR="005C3F63" w:rsidRDefault="005C3F63"/>
    <w:p w:rsidR="005C3F63" w:rsidRDefault="005C3F63"/>
    <w:p w:rsidR="005C3F63" w:rsidRDefault="005C3F63"/>
    <w:p w:rsidR="005C3F63" w:rsidRDefault="005C3F63"/>
    <w:p w:rsidR="005C3F63" w:rsidRDefault="005C3F63"/>
    <w:p w:rsidR="005C3F63" w:rsidRDefault="005C3F63"/>
    <w:p w:rsidR="005C3F63" w:rsidRDefault="005C3F63"/>
    <w:p w:rsidR="005C3F63" w:rsidRDefault="006536E7">
      <w:r>
        <w:rPr>
          <w:b/>
        </w:rPr>
        <w:t>Editoři</w:t>
      </w:r>
      <w:r>
        <w:t>:</w:t>
      </w:r>
      <w:r>
        <w:tab/>
        <w:t>Ing. Michal Hora, Ph.D., Vysoká škola ekonomická v Praze</w:t>
      </w:r>
    </w:p>
    <w:p w:rsidR="005C3F63" w:rsidRDefault="006536E7">
      <w:r>
        <w:tab/>
      </w:r>
      <w:r>
        <w:tab/>
        <w:t>Ing. Miroslava Vašeková, PhD., Ekonomická univerzita v Bratislavě</w:t>
      </w:r>
    </w:p>
    <w:p w:rsidR="005C3F63" w:rsidRDefault="005C3F63"/>
    <w:p w:rsidR="005C3F63" w:rsidRDefault="005C3F63"/>
    <w:p w:rsidR="005C3F63" w:rsidRDefault="005C3F63"/>
    <w:p w:rsidR="005C3F63" w:rsidRDefault="005C3F63"/>
    <w:p w:rsidR="005C3F63" w:rsidRDefault="006536E7">
      <w:r>
        <w:rPr>
          <w:b/>
        </w:rPr>
        <w:t>Recenzenti</w:t>
      </w:r>
      <w:r>
        <w:t>:</w:t>
      </w:r>
      <w:r>
        <w:tab/>
      </w:r>
    </w:p>
    <w:p w:rsidR="005C3F63" w:rsidRDefault="005C3F63"/>
    <w:p w:rsidR="005C3F63" w:rsidRDefault="005C3F63"/>
    <w:p w:rsidR="005C3F63" w:rsidRDefault="005C3F63"/>
    <w:p w:rsidR="005C3F63" w:rsidRDefault="006536E7">
      <w:r>
        <w:t>Rukopis neprošel jazykovou ani redakční úpravou. Za odbornou stránku textu, korekturu a konečnou verzi textu uveřejněného ve sborníku zodpovídají autoři.</w:t>
      </w:r>
    </w:p>
    <w:p w:rsidR="005C3F63" w:rsidRDefault="005C3F63"/>
    <w:p w:rsidR="005C3F63" w:rsidRDefault="006536E7">
      <w:pPr>
        <w:pStyle w:val="21"/>
        <w:tabs>
          <w:tab w:val="right" w:pos="3420"/>
          <w:tab w:val="left" w:pos="3780"/>
        </w:tabs>
        <w:spacing w:before="120" w:after="0" w:line="240" w:lineRule="auto"/>
        <w:ind w:left="3780" w:hanging="3780"/>
        <w:rPr>
          <w:rFonts w:ascii="Arial" w:hAnsi="Arial" w:cs="Arial"/>
        </w:rPr>
      </w:pPr>
      <w:r>
        <w:rPr>
          <w:rFonts w:ascii="Arial" w:hAnsi="Arial" w:cs="Arial"/>
        </w:rPr>
        <w:t>© Vysoká škola ekonomická v Praze, Nakladatelství Oeconomica - 2020</w:t>
      </w:r>
    </w:p>
    <w:p w:rsidR="005C3F63" w:rsidRDefault="005C3F63">
      <w:pPr>
        <w:rPr>
          <w:rFonts w:ascii="Arial" w:hAnsi="Arial" w:cs="Arial"/>
        </w:rPr>
      </w:pPr>
    </w:p>
    <w:p w:rsidR="005C3F63" w:rsidRDefault="006536E7">
      <w:pPr>
        <w:pStyle w:val="21"/>
        <w:spacing w:before="120" w:after="0" w:line="240" w:lineRule="auto"/>
        <w:rPr>
          <w:rFonts w:ascii="Arial" w:hAnsi="Arial" w:cs="Arial"/>
          <w:b/>
          <w:sz w:val="28"/>
        </w:rPr>
      </w:pPr>
      <w:r>
        <w:rPr>
          <w:rFonts w:ascii="Arial" w:hAnsi="Arial" w:cs="Arial"/>
          <w:b/>
          <w:sz w:val="28"/>
        </w:rPr>
        <w:t>ISBN: 978-80-245-2387-3</w:t>
      </w:r>
    </w:p>
    <w:p w:rsidR="005C3F63" w:rsidRDefault="006536E7">
      <w:r>
        <w:br w:type="page"/>
      </w:r>
    </w:p>
    <w:p w:rsidR="005C3F63" w:rsidRDefault="005C3F63"/>
    <w:p w:rsidR="005C3F63" w:rsidRDefault="005C3F63"/>
    <w:p w:rsidR="005C3F63" w:rsidRDefault="005C3F63"/>
    <w:p w:rsidR="005C3F63" w:rsidRDefault="005C3F63"/>
    <w:p w:rsidR="005C3F63" w:rsidRDefault="005C3F63"/>
    <w:p w:rsidR="005C3F63" w:rsidRDefault="005C3F63"/>
    <w:p w:rsidR="005C3F63" w:rsidRDefault="005C3F63"/>
    <w:p w:rsidR="005C3F63" w:rsidRDefault="005C3F63"/>
    <w:p w:rsidR="005C3F63" w:rsidRDefault="006536E7">
      <w:pPr>
        <w:ind w:left="1260"/>
        <w:rPr>
          <w:b/>
          <w:sz w:val="36"/>
          <w:szCs w:val="36"/>
        </w:rPr>
      </w:pPr>
      <w:r>
        <w:rPr>
          <w:b/>
          <w:sz w:val="36"/>
          <w:szCs w:val="36"/>
        </w:rPr>
        <w:t>Sborník z mezinárodní vědecké konference</w:t>
      </w:r>
    </w:p>
    <w:p w:rsidR="005C3F63" w:rsidRDefault="005C3F63">
      <w:pPr>
        <w:ind w:left="1260"/>
        <w:rPr>
          <w:rFonts w:ascii="Arial" w:hAnsi="Arial" w:cs="Arial"/>
          <w:b/>
          <w:sz w:val="40"/>
          <w:szCs w:val="40"/>
        </w:rPr>
      </w:pPr>
    </w:p>
    <w:p w:rsidR="005C3F63" w:rsidRDefault="005C3F63">
      <w:pPr>
        <w:ind w:left="1260"/>
        <w:rPr>
          <w:rFonts w:ascii="Arial" w:hAnsi="Arial" w:cs="Arial"/>
          <w:b/>
          <w:sz w:val="40"/>
          <w:szCs w:val="40"/>
        </w:rPr>
      </w:pPr>
    </w:p>
    <w:p w:rsidR="005C3F63" w:rsidRDefault="005C3F63">
      <w:pPr>
        <w:ind w:left="1260"/>
        <w:rPr>
          <w:rFonts w:ascii="Arial" w:hAnsi="Arial" w:cs="Arial"/>
          <w:b/>
          <w:sz w:val="40"/>
          <w:szCs w:val="40"/>
        </w:rPr>
      </w:pPr>
    </w:p>
    <w:p w:rsidR="005C3F63" w:rsidRDefault="006536E7">
      <w:pPr>
        <w:spacing w:before="120"/>
        <w:ind w:left="1260"/>
        <w:jc w:val="left"/>
        <w:rPr>
          <w:rFonts w:ascii="Arial Black" w:hAnsi="Arial Black"/>
          <w:b/>
          <w:sz w:val="80"/>
          <w:szCs w:val="80"/>
        </w:rPr>
      </w:pPr>
      <w:r>
        <w:rPr>
          <w:rFonts w:ascii="Arial Black" w:hAnsi="Arial Black"/>
          <w:b/>
          <w:sz w:val="80"/>
          <w:szCs w:val="80"/>
        </w:rPr>
        <w:t>Účetnictví a auditing v procesu světové harmonizace</w:t>
      </w:r>
    </w:p>
    <w:p w:rsidR="005C3F63" w:rsidRDefault="005C3F63">
      <w:pPr>
        <w:rPr>
          <w:b/>
        </w:rPr>
      </w:pPr>
    </w:p>
    <w:p w:rsidR="005C3F63" w:rsidRDefault="005C3F63">
      <w:pPr>
        <w:rPr>
          <w:b/>
        </w:rPr>
      </w:pPr>
    </w:p>
    <w:p w:rsidR="005C3F63" w:rsidRDefault="005C3F63">
      <w:pPr>
        <w:rPr>
          <w:b/>
        </w:rPr>
      </w:pPr>
    </w:p>
    <w:p w:rsidR="005C3F63" w:rsidRDefault="005C3F63">
      <w:pPr>
        <w:rPr>
          <w:b/>
        </w:rPr>
      </w:pPr>
    </w:p>
    <w:p w:rsidR="005C3F63" w:rsidRDefault="005C3F63">
      <w:pPr>
        <w:rPr>
          <w:b/>
        </w:rPr>
      </w:pPr>
    </w:p>
    <w:p w:rsidR="005C3F63" w:rsidRDefault="005C3F63">
      <w:pPr>
        <w:rPr>
          <w:b/>
        </w:rPr>
      </w:pPr>
    </w:p>
    <w:p w:rsidR="005C3F63" w:rsidRDefault="005C3F63">
      <w:pPr>
        <w:rPr>
          <w:b/>
        </w:rPr>
      </w:pPr>
    </w:p>
    <w:p w:rsidR="005C3F63" w:rsidRDefault="005C3F63">
      <w:pPr>
        <w:rPr>
          <w:b/>
        </w:rPr>
      </w:pPr>
    </w:p>
    <w:p w:rsidR="005C3F63" w:rsidRDefault="006536E7">
      <w:pPr>
        <w:ind w:left="1260"/>
        <w:rPr>
          <w:b/>
          <w:sz w:val="44"/>
          <w:szCs w:val="44"/>
        </w:rPr>
      </w:pPr>
      <w:r>
        <w:rPr>
          <w:b/>
          <w:sz w:val="44"/>
          <w:szCs w:val="44"/>
        </w:rPr>
        <w:t>Slapy</w:t>
      </w:r>
    </w:p>
    <w:p w:rsidR="005C3F63" w:rsidRDefault="005C3F63">
      <w:pPr>
        <w:ind w:left="1260"/>
        <w:rPr>
          <w:b/>
          <w:sz w:val="44"/>
          <w:szCs w:val="44"/>
        </w:rPr>
      </w:pPr>
    </w:p>
    <w:p w:rsidR="005C3F63" w:rsidRDefault="006536E7">
      <w:pPr>
        <w:ind w:left="1260"/>
        <w:rPr>
          <w:b/>
          <w:sz w:val="44"/>
          <w:szCs w:val="44"/>
        </w:rPr>
      </w:pPr>
      <w:r>
        <w:rPr>
          <w:b/>
          <w:sz w:val="44"/>
          <w:szCs w:val="44"/>
        </w:rPr>
        <w:t>8. – 10. září 2020</w:t>
      </w:r>
    </w:p>
    <w:p w:rsidR="005C3F63" w:rsidRDefault="006536E7">
      <w:pPr>
        <w:jc w:val="left"/>
        <w:rPr>
          <w:b/>
          <w:sz w:val="44"/>
          <w:szCs w:val="44"/>
        </w:rPr>
      </w:pPr>
      <w:r>
        <w:rPr>
          <w:b/>
          <w:sz w:val="44"/>
          <w:szCs w:val="44"/>
        </w:rPr>
        <w:br w:type="page"/>
      </w:r>
    </w:p>
    <w:p w:rsidR="005C3F63" w:rsidRDefault="006536E7">
      <w:pPr>
        <w:rPr>
          <w:b/>
          <w:sz w:val="28"/>
          <w:szCs w:val="28"/>
        </w:rPr>
      </w:pPr>
      <w:r>
        <w:rPr>
          <w:noProof/>
          <w:lang w:val="uk-UA" w:eastAsia="uk-UA" w:bidi="ar-SA"/>
        </w:rPr>
        <w:lastRenderedPageBreak/>
        <mc:AlternateContent>
          <mc:Choice Requires="wps">
            <w:drawing>
              <wp:anchor distT="45720" distB="45720" distL="114300" distR="114300" simplePos="0" relativeHeight="251804672" behindDoc="0" locked="0" layoutInCell="1" allowOverlap="1">
                <wp:simplePos x="0" y="0"/>
                <wp:positionH relativeFrom="column">
                  <wp:posOffset>119380</wp:posOffset>
                </wp:positionH>
                <wp:positionV relativeFrom="paragraph">
                  <wp:posOffset>80645</wp:posOffset>
                </wp:positionV>
                <wp:extent cx="3467100" cy="5172075"/>
                <wp:effectExtent l="0" t="0" r="0" b="9525"/>
                <wp:wrapNone/>
                <wp:docPr id="11" name="Textové pole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67100" cy="5172075"/>
                        </a:xfrm>
                        <a:prstGeom prst="rect">
                          <a:avLst/>
                        </a:prstGeom>
                        <a:solidFill>
                          <a:srgbClr val="FFFFFF"/>
                        </a:solidFill>
                        <a:ln>
                          <a:noFill/>
                        </a:ln>
                      </wps:spPr>
                      <wps:txbx>
                        <w:txbxContent>
                          <w:p w:rsidR="005C3F63" w:rsidRDefault="006536E7">
                            <w:pPr>
                              <w:ind w:left="426"/>
                              <w:rPr>
                                <w:rFonts w:ascii="Verdana" w:hAnsi="Verdana"/>
                                <w:b/>
                                <w:i/>
                                <w:iCs/>
                                <w:caps/>
                                <w:sz w:val="20"/>
                                <w:szCs w:val="20"/>
                              </w:rPr>
                            </w:pPr>
                            <w:r>
                              <w:rPr>
                                <w:rFonts w:ascii="Verdana" w:hAnsi="Verdana"/>
                                <w:b/>
                                <w:i/>
                                <w:iCs/>
                                <w:caps/>
                                <w:sz w:val="20"/>
                                <w:szCs w:val="20"/>
                              </w:rPr>
                              <w:t>MEZINÁRODNÍ VĚdecký výbor:</w:t>
                            </w:r>
                          </w:p>
                          <w:p w:rsidR="005C3F63" w:rsidRDefault="005C3F63">
                            <w:pPr>
                              <w:ind w:left="426"/>
                              <w:rPr>
                                <w:rFonts w:ascii="Verdana" w:hAnsi="Verdana"/>
                                <w:b/>
                                <w:i/>
                                <w:iCs/>
                                <w:caps/>
                                <w:sz w:val="20"/>
                                <w:szCs w:val="20"/>
                              </w:rPr>
                            </w:pPr>
                          </w:p>
                          <w:p w:rsidR="005C3F63" w:rsidRDefault="006536E7">
                            <w:pPr>
                              <w:spacing w:line="360" w:lineRule="auto"/>
                              <w:ind w:left="425"/>
                              <w:rPr>
                                <w:rFonts w:ascii="Verdana" w:hAnsi="Verdana"/>
                                <w:b/>
                                <w:i/>
                                <w:sz w:val="20"/>
                                <w:szCs w:val="20"/>
                              </w:rPr>
                            </w:pPr>
                            <w:r>
                              <w:rPr>
                                <w:rFonts w:ascii="Verdana" w:hAnsi="Verdana"/>
                                <w:b/>
                                <w:i/>
                                <w:sz w:val="20"/>
                                <w:szCs w:val="20"/>
                              </w:rPr>
                              <w:t>Předseda:</w:t>
                            </w:r>
                          </w:p>
                          <w:p w:rsidR="005C3F63" w:rsidRDefault="006536E7">
                            <w:pPr>
                              <w:spacing w:line="276" w:lineRule="auto"/>
                              <w:ind w:left="426"/>
                              <w:rPr>
                                <w:rFonts w:ascii="Verdana" w:hAnsi="Verdana"/>
                                <w:b/>
                                <w:bCs/>
                                <w:i/>
                                <w:iCs/>
                                <w:sz w:val="20"/>
                                <w:szCs w:val="20"/>
                              </w:rPr>
                            </w:pPr>
                            <w:r>
                              <w:rPr>
                                <w:rFonts w:ascii="Verdana" w:hAnsi="Verdana"/>
                                <w:b/>
                                <w:bCs/>
                                <w:i/>
                                <w:iCs/>
                                <w:sz w:val="20"/>
                                <w:szCs w:val="20"/>
                              </w:rPr>
                              <w:t>doc. Ing. David Procházka, Ph.D.</w:t>
                            </w:r>
                          </w:p>
                          <w:p w:rsidR="005C3F63" w:rsidRDefault="006536E7">
                            <w:pPr>
                              <w:spacing w:line="276" w:lineRule="auto"/>
                              <w:ind w:left="426"/>
                              <w:rPr>
                                <w:rFonts w:ascii="Verdana" w:hAnsi="Verdana"/>
                                <w:bCs/>
                                <w:i/>
                                <w:iCs/>
                                <w:sz w:val="20"/>
                                <w:szCs w:val="20"/>
                              </w:rPr>
                            </w:pPr>
                            <w:r>
                              <w:rPr>
                                <w:rFonts w:ascii="Verdana" w:hAnsi="Verdana"/>
                                <w:bCs/>
                                <w:i/>
                                <w:iCs/>
                                <w:sz w:val="20"/>
                                <w:szCs w:val="20"/>
                              </w:rPr>
                              <w:t>(Vysoká škola ekonomická v Praze)</w:t>
                            </w:r>
                          </w:p>
                          <w:p w:rsidR="005C3F63" w:rsidRDefault="005C3F63">
                            <w:pPr>
                              <w:ind w:left="426"/>
                              <w:rPr>
                                <w:rFonts w:ascii="Verdana" w:hAnsi="Verdana"/>
                                <w:i/>
                                <w:sz w:val="20"/>
                                <w:szCs w:val="20"/>
                              </w:rPr>
                            </w:pPr>
                          </w:p>
                          <w:p w:rsidR="005C3F63" w:rsidRDefault="006536E7">
                            <w:pPr>
                              <w:spacing w:line="360" w:lineRule="auto"/>
                              <w:ind w:left="426"/>
                              <w:rPr>
                                <w:rFonts w:ascii="Verdana" w:hAnsi="Verdana"/>
                                <w:b/>
                                <w:bCs/>
                                <w:i/>
                                <w:iCs/>
                                <w:sz w:val="20"/>
                                <w:szCs w:val="20"/>
                              </w:rPr>
                            </w:pPr>
                            <w:r>
                              <w:rPr>
                                <w:rFonts w:ascii="Verdana" w:hAnsi="Verdana"/>
                                <w:b/>
                                <w:bCs/>
                                <w:i/>
                                <w:iCs/>
                                <w:sz w:val="20"/>
                                <w:szCs w:val="20"/>
                              </w:rPr>
                              <w:t>Členové:</w:t>
                            </w:r>
                          </w:p>
                          <w:p w:rsidR="005C3F63" w:rsidRDefault="006536E7">
                            <w:pPr>
                              <w:spacing w:line="276" w:lineRule="auto"/>
                              <w:ind w:left="426"/>
                              <w:rPr>
                                <w:rFonts w:ascii="Verdana" w:hAnsi="Verdana"/>
                                <w:b/>
                                <w:bCs/>
                                <w:i/>
                                <w:iCs/>
                                <w:sz w:val="20"/>
                                <w:szCs w:val="20"/>
                              </w:rPr>
                            </w:pPr>
                            <w:r>
                              <w:rPr>
                                <w:rFonts w:ascii="Verdana" w:hAnsi="Verdana"/>
                                <w:b/>
                                <w:bCs/>
                                <w:i/>
                                <w:iCs/>
                                <w:sz w:val="20"/>
                                <w:szCs w:val="20"/>
                              </w:rPr>
                              <w:t>prof. Ludmila Cizevska</w:t>
                            </w:r>
                          </w:p>
                          <w:p w:rsidR="005C3F63" w:rsidRDefault="006536E7">
                            <w:pPr>
                              <w:spacing w:line="276" w:lineRule="auto"/>
                              <w:ind w:left="426"/>
                              <w:rPr>
                                <w:rFonts w:ascii="Verdana" w:hAnsi="Verdana"/>
                                <w:bCs/>
                                <w:i/>
                                <w:iCs/>
                                <w:sz w:val="20"/>
                                <w:szCs w:val="20"/>
                              </w:rPr>
                            </w:pPr>
                            <w:r>
                              <w:rPr>
                                <w:rFonts w:ascii="Verdana" w:hAnsi="Verdana"/>
                                <w:bCs/>
                                <w:i/>
                                <w:iCs/>
                                <w:sz w:val="20"/>
                                <w:szCs w:val="20"/>
                              </w:rPr>
                              <w:t>(Státní technologická univerzita Žitomir)</w:t>
                            </w:r>
                          </w:p>
                          <w:p w:rsidR="005C3F63" w:rsidRDefault="006536E7">
                            <w:pPr>
                              <w:spacing w:line="276" w:lineRule="auto"/>
                              <w:ind w:left="426"/>
                              <w:rPr>
                                <w:rFonts w:ascii="Verdana" w:hAnsi="Verdana"/>
                                <w:b/>
                                <w:bCs/>
                                <w:i/>
                                <w:iCs/>
                                <w:sz w:val="20"/>
                                <w:szCs w:val="20"/>
                              </w:rPr>
                            </w:pPr>
                            <w:r>
                              <w:rPr>
                                <w:rFonts w:ascii="Verdana" w:hAnsi="Verdana"/>
                                <w:b/>
                                <w:bCs/>
                                <w:i/>
                                <w:iCs/>
                                <w:sz w:val="20"/>
                                <w:szCs w:val="20"/>
                              </w:rPr>
                              <w:t>prof. Anatolii Kovalev</w:t>
                            </w:r>
                          </w:p>
                          <w:p w:rsidR="005C3F63" w:rsidRDefault="006536E7">
                            <w:pPr>
                              <w:spacing w:line="276" w:lineRule="auto"/>
                              <w:ind w:left="426"/>
                              <w:rPr>
                                <w:rFonts w:ascii="Verdana" w:hAnsi="Verdana"/>
                                <w:bCs/>
                                <w:i/>
                                <w:iCs/>
                                <w:sz w:val="20"/>
                                <w:szCs w:val="20"/>
                              </w:rPr>
                            </w:pPr>
                            <w:r>
                              <w:rPr>
                                <w:rFonts w:ascii="Verdana" w:hAnsi="Verdana"/>
                                <w:bCs/>
                                <w:i/>
                                <w:iCs/>
                                <w:sz w:val="20"/>
                                <w:szCs w:val="20"/>
                              </w:rPr>
                              <w:t>(Oděsská univerzita)</w:t>
                            </w:r>
                          </w:p>
                          <w:p w:rsidR="005C3F63" w:rsidRDefault="006536E7">
                            <w:pPr>
                              <w:spacing w:line="276" w:lineRule="auto"/>
                              <w:ind w:left="426"/>
                              <w:rPr>
                                <w:rFonts w:ascii="Verdana" w:hAnsi="Verdana"/>
                                <w:b/>
                                <w:bCs/>
                                <w:i/>
                                <w:iCs/>
                                <w:sz w:val="20"/>
                                <w:szCs w:val="20"/>
                              </w:rPr>
                            </w:pPr>
                            <w:r>
                              <w:rPr>
                                <w:rFonts w:ascii="Verdana" w:hAnsi="Verdana"/>
                                <w:b/>
                                <w:bCs/>
                                <w:i/>
                                <w:iCs/>
                                <w:sz w:val="20"/>
                                <w:szCs w:val="20"/>
                              </w:rPr>
                              <w:t>prof. Vladan Pavlovic</w:t>
                            </w:r>
                          </w:p>
                          <w:p w:rsidR="005C3F63" w:rsidRDefault="006536E7">
                            <w:pPr>
                              <w:spacing w:line="276" w:lineRule="auto"/>
                              <w:ind w:left="426"/>
                              <w:rPr>
                                <w:rFonts w:ascii="Verdana" w:hAnsi="Verdana"/>
                                <w:bCs/>
                                <w:i/>
                                <w:iCs/>
                                <w:sz w:val="20"/>
                                <w:szCs w:val="20"/>
                              </w:rPr>
                            </w:pPr>
                            <w:r>
                              <w:rPr>
                                <w:rFonts w:ascii="Verdana" w:hAnsi="Verdana"/>
                                <w:bCs/>
                                <w:i/>
                                <w:iCs/>
                                <w:sz w:val="20"/>
                                <w:szCs w:val="20"/>
                              </w:rPr>
                              <w:t>University of Priština (temporarily settled in Kosovska Mitrovica, Serbia)</w:t>
                            </w:r>
                          </w:p>
                          <w:p w:rsidR="005C3F63" w:rsidRDefault="006536E7">
                            <w:pPr>
                              <w:spacing w:line="276" w:lineRule="auto"/>
                              <w:ind w:left="426"/>
                              <w:rPr>
                                <w:rFonts w:ascii="Verdana" w:hAnsi="Verdana"/>
                                <w:b/>
                                <w:bCs/>
                                <w:i/>
                                <w:iCs/>
                                <w:sz w:val="20"/>
                                <w:szCs w:val="20"/>
                              </w:rPr>
                            </w:pPr>
                            <w:r>
                              <w:rPr>
                                <w:rFonts w:ascii="Verdana" w:hAnsi="Verdana"/>
                                <w:b/>
                                <w:bCs/>
                                <w:i/>
                                <w:iCs/>
                                <w:sz w:val="20"/>
                                <w:szCs w:val="20"/>
                              </w:rPr>
                              <w:t>doc. Ing. Ladislav Mejzlík, Ph.D.</w:t>
                            </w:r>
                          </w:p>
                          <w:p w:rsidR="005C3F63" w:rsidRDefault="006536E7">
                            <w:pPr>
                              <w:spacing w:line="276" w:lineRule="auto"/>
                              <w:ind w:left="426"/>
                              <w:rPr>
                                <w:rFonts w:ascii="Verdana" w:hAnsi="Verdana"/>
                                <w:bCs/>
                                <w:i/>
                                <w:iCs/>
                                <w:sz w:val="20"/>
                                <w:szCs w:val="20"/>
                              </w:rPr>
                            </w:pPr>
                            <w:r>
                              <w:rPr>
                                <w:rFonts w:ascii="Verdana" w:hAnsi="Verdana"/>
                                <w:bCs/>
                                <w:i/>
                                <w:iCs/>
                                <w:sz w:val="20"/>
                                <w:szCs w:val="20"/>
                              </w:rPr>
                              <w:t>(Vysoká škola ekonomická v Praze)</w:t>
                            </w:r>
                          </w:p>
                          <w:p w:rsidR="005C3F63" w:rsidRDefault="006536E7">
                            <w:pPr>
                              <w:spacing w:line="276" w:lineRule="auto"/>
                              <w:ind w:left="426"/>
                              <w:rPr>
                                <w:rFonts w:ascii="Verdana" w:hAnsi="Verdana"/>
                                <w:b/>
                                <w:bCs/>
                                <w:i/>
                                <w:iCs/>
                                <w:sz w:val="20"/>
                                <w:szCs w:val="20"/>
                              </w:rPr>
                            </w:pPr>
                            <w:r>
                              <w:rPr>
                                <w:rFonts w:ascii="Verdana" w:hAnsi="Verdana"/>
                                <w:b/>
                                <w:bCs/>
                                <w:i/>
                                <w:iCs/>
                                <w:sz w:val="20"/>
                                <w:szCs w:val="20"/>
                              </w:rPr>
                              <w:t>prof. Ing. Bohumil Král, CSc.</w:t>
                            </w:r>
                          </w:p>
                          <w:p w:rsidR="005C3F63" w:rsidRDefault="006536E7">
                            <w:pPr>
                              <w:spacing w:line="276" w:lineRule="auto"/>
                              <w:ind w:left="426"/>
                              <w:rPr>
                                <w:rFonts w:ascii="Verdana" w:hAnsi="Verdana"/>
                                <w:bCs/>
                                <w:i/>
                                <w:iCs/>
                                <w:sz w:val="20"/>
                                <w:szCs w:val="20"/>
                              </w:rPr>
                            </w:pPr>
                            <w:r>
                              <w:rPr>
                                <w:rFonts w:ascii="Verdana" w:hAnsi="Verdana"/>
                                <w:bCs/>
                                <w:i/>
                                <w:iCs/>
                                <w:sz w:val="20"/>
                                <w:szCs w:val="20"/>
                              </w:rPr>
                              <w:t>(Vysoká škola ekonomická v Praze)</w:t>
                            </w:r>
                          </w:p>
                          <w:p w:rsidR="005C3F63" w:rsidRDefault="006536E7">
                            <w:pPr>
                              <w:spacing w:line="276" w:lineRule="auto"/>
                              <w:ind w:left="426"/>
                              <w:rPr>
                                <w:rFonts w:ascii="Verdana" w:hAnsi="Verdana"/>
                                <w:b/>
                                <w:bCs/>
                                <w:i/>
                                <w:iCs/>
                                <w:sz w:val="20"/>
                                <w:szCs w:val="20"/>
                              </w:rPr>
                            </w:pPr>
                            <w:r>
                              <w:rPr>
                                <w:rFonts w:ascii="Verdana" w:hAnsi="Verdana"/>
                                <w:b/>
                                <w:bCs/>
                                <w:i/>
                                <w:iCs/>
                                <w:sz w:val="20"/>
                                <w:szCs w:val="20"/>
                              </w:rPr>
                              <w:t>doc. Ing. Jaroslav Wagner, Ph.D.</w:t>
                            </w:r>
                          </w:p>
                          <w:p w:rsidR="005C3F63" w:rsidRDefault="006536E7">
                            <w:pPr>
                              <w:spacing w:line="276" w:lineRule="auto"/>
                              <w:ind w:left="426"/>
                              <w:rPr>
                                <w:rFonts w:ascii="Verdana" w:hAnsi="Verdana"/>
                                <w:bCs/>
                                <w:i/>
                                <w:iCs/>
                                <w:sz w:val="20"/>
                                <w:szCs w:val="20"/>
                              </w:rPr>
                            </w:pPr>
                            <w:r>
                              <w:rPr>
                                <w:rFonts w:ascii="Verdana" w:hAnsi="Verdana"/>
                                <w:bCs/>
                                <w:i/>
                                <w:iCs/>
                                <w:sz w:val="20"/>
                                <w:szCs w:val="20"/>
                              </w:rPr>
                              <w:t>(Vysoká škola ekonomická v Praze)</w:t>
                            </w:r>
                          </w:p>
                          <w:p w:rsidR="005C3F63" w:rsidRDefault="006536E7">
                            <w:pPr>
                              <w:spacing w:line="276" w:lineRule="auto"/>
                              <w:ind w:left="426"/>
                              <w:rPr>
                                <w:rFonts w:ascii="Verdana" w:hAnsi="Verdana"/>
                                <w:b/>
                                <w:bCs/>
                                <w:i/>
                                <w:iCs/>
                                <w:sz w:val="20"/>
                                <w:szCs w:val="20"/>
                              </w:rPr>
                            </w:pPr>
                            <w:r>
                              <w:rPr>
                                <w:rFonts w:ascii="Verdana" w:hAnsi="Verdana"/>
                                <w:b/>
                                <w:bCs/>
                                <w:i/>
                                <w:iCs/>
                                <w:sz w:val="20"/>
                                <w:szCs w:val="20"/>
                              </w:rPr>
                              <w:t>prof. Ing. Miloš Tumpach, PhD.</w:t>
                            </w:r>
                          </w:p>
                          <w:p w:rsidR="005C3F63" w:rsidRDefault="006536E7">
                            <w:pPr>
                              <w:spacing w:line="276" w:lineRule="auto"/>
                              <w:ind w:left="426"/>
                              <w:rPr>
                                <w:rFonts w:ascii="Verdana" w:hAnsi="Verdana"/>
                                <w:bCs/>
                                <w:i/>
                                <w:iCs/>
                                <w:sz w:val="20"/>
                                <w:szCs w:val="20"/>
                              </w:rPr>
                            </w:pPr>
                            <w:r>
                              <w:rPr>
                                <w:rFonts w:ascii="Verdana" w:hAnsi="Verdana"/>
                                <w:bCs/>
                                <w:i/>
                                <w:iCs/>
                                <w:sz w:val="20"/>
                                <w:szCs w:val="20"/>
                              </w:rPr>
                              <w:t>(Ekonomická univerzita v Bratislave)</w:t>
                            </w:r>
                          </w:p>
                          <w:p w:rsidR="005C3F63" w:rsidRDefault="006536E7">
                            <w:pPr>
                              <w:spacing w:line="276" w:lineRule="auto"/>
                              <w:ind w:left="426"/>
                              <w:rPr>
                                <w:rFonts w:ascii="Verdana" w:hAnsi="Verdana"/>
                                <w:b/>
                                <w:bCs/>
                                <w:i/>
                                <w:iCs/>
                                <w:sz w:val="22"/>
                              </w:rPr>
                            </w:pPr>
                            <w:r>
                              <w:rPr>
                                <w:rFonts w:ascii="Verdana" w:hAnsi="Verdana"/>
                                <w:b/>
                                <w:bCs/>
                                <w:i/>
                                <w:iCs/>
                                <w:sz w:val="22"/>
                              </w:rPr>
                              <w:t>doc. Ing. Mgr. Zuzana Juhászová, PhD.</w:t>
                            </w:r>
                          </w:p>
                          <w:p w:rsidR="005C3F63" w:rsidRDefault="006536E7">
                            <w:pPr>
                              <w:spacing w:line="276" w:lineRule="auto"/>
                              <w:ind w:left="426"/>
                              <w:rPr>
                                <w:rFonts w:ascii="Verdana" w:hAnsi="Verdana"/>
                                <w:i/>
                                <w:iCs/>
                                <w:sz w:val="22"/>
                              </w:rPr>
                            </w:pPr>
                            <w:r>
                              <w:rPr>
                                <w:rFonts w:ascii="Verdana" w:hAnsi="Verdana"/>
                                <w:i/>
                                <w:iCs/>
                                <w:sz w:val="22"/>
                              </w:rPr>
                              <w:t>(Ekonomická univerzita v Bratislave)</w:t>
                            </w:r>
                          </w:p>
                          <w:p w:rsidR="005C3F63" w:rsidRDefault="005C3F63">
                            <w:pPr>
                              <w:ind w:left="426"/>
                              <w:rPr>
                                <w:i/>
                                <w:sz w:val="22"/>
                              </w:rPr>
                            </w:pPr>
                          </w:p>
                          <w:p w:rsidR="005C3F63" w:rsidRDefault="005C3F63"/>
                        </w:txbxContent>
                      </wps:txbx>
                      <wps:bodyPr rot="0" vert="horz" wrap="square" lIns="91440" tIns="45720" rIns="91440" bIns="45720" anchor="t" anchorCtr="0" upright="1">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psCustomData="http://www.wps.cn/officeDocument/2013/wpsCustomData" xmlns:w16se="http://schemas.microsoft.com/office/word/2015/wordml/symex" xmlns:w15="http://schemas.microsoft.com/office/word/2012/wordml" xmlns:cx1="http://schemas.microsoft.com/office/drawing/2015/9/8/chartex" xmlns:cx="http://schemas.microsoft.com/office/drawing/2014/chartex">
            <w:pict>
              <v:shape id="Textové pole 11" o:spid="_x0000_s1026" o:spt="202" type="#_x0000_t202" style="position:absolute;left:0pt;margin-left:9.4pt;margin-top:6.35pt;height:407.25pt;width:273pt;z-index:251804672;mso-width-relative:page;mso-height-relative:page;" fillcolor="#FFFFFF" filled="t" stroked="f" coordsize="21600,21600" o:gfxdata="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FAqBxdYAAAAJAQAADwAAAAAAAAABACAAAAAiAAAA&#10;ZHJzL2Rvd25yZXYueG1sUEsBAhQAFAAAAAgAh07iQE9tMvUJAgAA9wMAAA4AAAAAAAAAAQAgAAAA&#10;JQEAAGRycy9lMm9Eb2MueG1sUEsFBgAAAAAGAAYAWQEAAKAFAAAAAA==&#10;">
                <v:fill on="t" focussize="0,0"/>
                <v:stroke on="f"/>
                <v:imagedata o:title=""/>
                <o:lock v:ext="edit" aspectratio="f"/>
                <v:textbox>
                  <w:txbxContent>
                    <w:p>
                      <w:pPr>
                        <w:ind w:left="426"/>
                        <w:rPr>
                          <w:rFonts w:ascii="Verdana" w:hAnsi="Verdana"/>
                          <w:b/>
                          <w:i/>
                          <w:iCs/>
                          <w:caps/>
                          <w:sz w:val="20"/>
                          <w:szCs w:val="20"/>
                        </w:rPr>
                      </w:pPr>
                      <w:r>
                        <w:rPr>
                          <w:rFonts w:ascii="Verdana" w:hAnsi="Verdana"/>
                          <w:b/>
                          <w:i/>
                          <w:iCs/>
                          <w:caps/>
                          <w:sz w:val="20"/>
                          <w:szCs w:val="20"/>
                        </w:rPr>
                        <w:t>MEZINÁRODNÍ VĚdecký výbor:</w:t>
                      </w:r>
                    </w:p>
                    <w:p>
                      <w:pPr>
                        <w:ind w:left="426"/>
                        <w:rPr>
                          <w:rFonts w:ascii="Verdana" w:hAnsi="Verdana"/>
                          <w:b/>
                          <w:i/>
                          <w:iCs/>
                          <w:caps/>
                          <w:sz w:val="20"/>
                          <w:szCs w:val="20"/>
                        </w:rPr>
                      </w:pPr>
                    </w:p>
                    <w:p>
                      <w:pPr>
                        <w:spacing w:line="360" w:lineRule="auto"/>
                        <w:ind w:left="425"/>
                        <w:rPr>
                          <w:rFonts w:ascii="Verdana" w:hAnsi="Verdana"/>
                          <w:b/>
                          <w:i/>
                          <w:sz w:val="20"/>
                          <w:szCs w:val="20"/>
                        </w:rPr>
                      </w:pPr>
                      <w:r>
                        <w:rPr>
                          <w:rFonts w:ascii="Verdana" w:hAnsi="Verdana"/>
                          <w:b/>
                          <w:i/>
                          <w:sz w:val="20"/>
                          <w:szCs w:val="20"/>
                        </w:rPr>
                        <w:t>Předseda:</w:t>
                      </w:r>
                    </w:p>
                    <w:p>
                      <w:pPr>
                        <w:spacing w:line="276" w:lineRule="auto"/>
                        <w:ind w:left="426"/>
                        <w:rPr>
                          <w:rFonts w:ascii="Verdana" w:hAnsi="Verdana"/>
                          <w:b/>
                          <w:bCs/>
                          <w:i/>
                          <w:iCs/>
                          <w:sz w:val="20"/>
                          <w:szCs w:val="20"/>
                        </w:rPr>
                      </w:pPr>
                      <w:r>
                        <w:rPr>
                          <w:rFonts w:ascii="Verdana" w:hAnsi="Verdana"/>
                          <w:b/>
                          <w:bCs/>
                          <w:i/>
                          <w:iCs/>
                          <w:sz w:val="20"/>
                          <w:szCs w:val="20"/>
                        </w:rPr>
                        <w:t>doc. Ing. David Procházka, Ph.D.</w:t>
                      </w:r>
                    </w:p>
                    <w:p>
                      <w:pPr>
                        <w:spacing w:line="276" w:lineRule="auto"/>
                        <w:ind w:left="426"/>
                        <w:rPr>
                          <w:rFonts w:ascii="Verdana" w:hAnsi="Verdana"/>
                          <w:bCs/>
                          <w:i/>
                          <w:iCs/>
                          <w:sz w:val="20"/>
                          <w:szCs w:val="20"/>
                        </w:rPr>
                      </w:pPr>
                      <w:r>
                        <w:rPr>
                          <w:rFonts w:ascii="Verdana" w:hAnsi="Verdana"/>
                          <w:bCs/>
                          <w:i/>
                          <w:iCs/>
                          <w:sz w:val="20"/>
                          <w:szCs w:val="20"/>
                        </w:rPr>
                        <w:t>(Vysoká škola ekonomická v Praze)</w:t>
                      </w:r>
                    </w:p>
                    <w:p>
                      <w:pPr>
                        <w:ind w:left="426"/>
                        <w:rPr>
                          <w:rFonts w:ascii="Verdana" w:hAnsi="Verdana"/>
                          <w:i/>
                          <w:sz w:val="20"/>
                          <w:szCs w:val="20"/>
                        </w:rPr>
                      </w:pPr>
                    </w:p>
                    <w:p>
                      <w:pPr>
                        <w:spacing w:line="360" w:lineRule="auto"/>
                        <w:ind w:left="426"/>
                        <w:rPr>
                          <w:rFonts w:ascii="Verdana" w:hAnsi="Verdana"/>
                          <w:b/>
                          <w:bCs/>
                          <w:i/>
                          <w:iCs/>
                          <w:sz w:val="20"/>
                          <w:szCs w:val="20"/>
                        </w:rPr>
                      </w:pPr>
                      <w:r>
                        <w:rPr>
                          <w:rFonts w:ascii="Verdana" w:hAnsi="Verdana"/>
                          <w:b/>
                          <w:bCs/>
                          <w:i/>
                          <w:iCs/>
                          <w:sz w:val="20"/>
                          <w:szCs w:val="20"/>
                        </w:rPr>
                        <w:t>Členové:</w:t>
                      </w:r>
                    </w:p>
                    <w:p>
                      <w:pPr>
                        <w:spacing w:line="276" w:lineRule="auto"/>
                        <w:ind w:left="426"/>
                        <w:rPr>
                          <w:rFonts w:ascii="Verdana" w:hAnsi="Verdana"/>
                          <w:b/>
                          <w:bCs/>
                          <w:i/>
                          <w:iCs/>
                          <w:sz w:val="20"/>
                          <w:szCs w:val="20"/>
                        </w:rPr>
                      </w:pPr>
                      <w:r>
                        <w:rPr>
                          <w:rFonts w:ascii="Verdana" w:hAnsi="Verdana"/>
                          <w:b/>
                          <w:bCs/>
                          <w:i/>
                          <w:iCs/>
                          <w:sz w:val="20"/>
                          <w:szCs w:val="20"/>
                        </w:rPr>
                        <w:t>prof. Ludmila Cizevska</w:t>
                      </w:r>
                    </w:p>
                    <w:p>
                      <w:pPr>
                        <w:spacing w:line="276" w:lineRule="auto"/>
                        <w:ind w:left="426"/>
                        <w:rPr>
                          <w:rFonts w:ascii="Verdana" w:hAnsi="Verdana"/>
                          <w:bCs/>
                          <w:i/>
                          <w:iCs/>
                          <w:sz w:val="20"/>
                          <w:szCs w:val="20"/>
                        </w:rPr>
                      </w:pPr>
                      <w:r>
                        <w:rPr>
                          <w:rFonts w:ascii="Verdana" w:hAnsi="Verdana"/>
                          <w:bCs/>
                          <w:i/>
                          <w:iCs/>
                          <w:sz w:val="20"/>
                          <w:szCs w:val="20"/>
                        </w:rPr>
                        <w:t>(Státní technologická univerzita Žitomir)</w:t>
                      </w:r>
                    </w:p>
                    <w:p>
                      <w:pPr>
                        <w:spacing w:line="276" w:lineRule="auto"/>
                        <w:ind w:left="426"/>
                        <w:rPr>
                          <w:rFonts w:ascii="Verdana" w:hAnsi="Verdana"/>
                          <w:b/>
                          <w:bCs/>
                          <w:i/>
                          <w:iCs/>
                          <w:sz w:val="20"/>
                          <w:szCs w:val="20"/>
                        </w:rPr>
                      </w:pPr>
                      <w:r>
                        <w:rPr>
                          <w:rFonts w:ascii="Verdana" w:hAnsi="Verdana"/>
                          <w:b/>
                          <w:bCs/>
                          <w:i/>
                          <w:iCs/>
                          <w:sz w:val="20"/>
                          <w:szCs w:val="20"/>
                        </w:rPr>
                        <w:t>prof. Anatolii Kovalev</w:t>
                      </w:r>
                    </w:p>
                    <w:p>
                      <w:pPr>
                        <w:spacing w:line="276" w:lineRule="auto"/>
                        <w:ind w:left="426"/>
                        <w:rPr>
                          <w:rFonts w:ascii="Verdana" w:hAnsi="Verdana"/>
                          <w:bCs/>
                          <w:i/>
                          <w:iCs/>
                          <w:sz w:val="20"/>
                          <w:szCs w:val="20"/>
                        </w:rPr>
                      </w:pPr>
                      <w:r>
                        <w:rPr>
                          <w:rFonts w:ascii="Verdana" w:hAnsi="Verdana"/>
                          <w:bCs/>
                          <w:i/>
                          <w:iCs/>
                          <w:sz w:val="20"/>
                          <w:szCs w:val="20"/>
                        </w:rPr>
                        <w:t>(Oděsská univerzita)</w:t>
                      </w:r>
                    </w:p>
                    <w:p>
                      <w:pPr>
                        <w:spacing w:line="276" w:lineRule="auto"/>
                        <w:ind w:left="426"/>
                        <w:rPr>
                          <w:rFonts w:ascii="Verdana" w:hAnsi="Verdana"/>
                          <w:b/>
                          <w:bCs/>
                          <w:i/>
                          <w:iCs/>
                          <w:sz w:val="20"/>
                          <w:szCs w:val="20"/>
                        </w:rPr>
                      </w:pPr>
                      <w:r>
                        <w:rPr>
                          <w:rFonts w:ascii="Verdana" w:hAnsi="Verdana"/>
                          <w:b/>
                          <w:bCs/>
                          <w:i/>
                          <w:iCs/>
                          <w:sz w:val="20"/>
                          <w:szCs w:val="20"/>
                        </w:rPr>
                        <w:t>prof. Vladan Pavlovic</w:t>
                      </w:r>
                    </w:p>
                    <w:p>
                      <w:pPr>
                        <w:spacing w:line="276" w:lineRule="auto"/>
                        <w:ind w:left="426"/>
                        <w:rPr>
                          <w:rFonts w:ascii="Verdana" w:hAnsi="Verdana"/>
                          <w:bCs/>
                          <w:i/>
                          <w:iCs/>
                          <w:sz w:val="20"/>
                          <w:szCs w:val="20"/>
                        </w:rPr>
                      </w:pPr>
                      <w:r>
                        <w:rPr>
                          <w:rFonts w:ascii="Verdana" w:hAnsi="Verdana"/>
                          <w:bCs/>
                          <w:i/>
                          <w:iCs/>
                          <w:sz w:val="20"/>
                          <w:szCs w:val="20"/>
                        </w:rPr>
                        <w:t>University of Priština (temporarily settled in Kosovska Mitrovica, Serbia)</w:t>
                      </w:r>
                    </w:p>
                    <w:p>
                      <w:pPr>
                        <w:spacing w:line="276" w:lineRule="auto"/>
                        <w:ind w:left="426"/>
                        <w:rPr>
                          <w:rFonts w:ascii="Verdana" w:hAnsi="Verdana"/>
                          <w:b/>
                          <w:bCs/>
                          <w:i/>
                          <w:iCs/>
                          <w:sz w:val="20"/>
                          <w:szCs w:val="20"/>
                        </w:rPr>
                      </w:pPr>
                      <w:r>
                        <w:rPr>
                          <w:rFonts w:ascii="Verdana" w:hAnsi="Verdana"/>
                          <w:b/>
                          <w:bCs/>
                          <w:i/>
                          <w:iCs/>
                          <w:sz w:val="20"/>
                          <w:szCs w:val="20"/>
                        </w:rPr>
                        <w:t>doc. Ing. Ladislav Mejzlík, Ph.D.</w:t>
                      </w:r>
                    </w:p>
                    <w:p>
                      <w:pPr>
                        <w:spacing w:line="276" w:lineRule="auto"/>
                        <w:ind w:left="426"/>
                        <w:rPr>
                          <w:rFonts w:ascii="Verdana" w:hAnsi="Verdana"/>
                          <w:bCs/>
                          <w:i/>
                          <w:iCs/>
                          <w:sz w:val="20"/>
                          <w:szCs w:val="20"/>
                        </w:rPr>
                      </w:pPr>
                      <w:r>
                        <w:rPr>
                          <w:rFonts w:ascii="Verdana" w:hAnsi="Verdana"/>
                          <w:bCs/>
                          <w:i/>
                          <w:iCs/>
                          <w:sz w:val="20"/>
                          <w:szCs w:val="20"/>
                        </w:rPr>
                        <w:t>(Vysoká škola ekonomická v Praze)</w:t>
                      </w:r>
                    </w:p>
                    <w:p>
                      <w:pPr>
                        <w:spacing w:line="276" w:lineRule="auto"/>
                        <w:ind w:left="426"/>
                        <w:rPr>
                          <w:rFonts w:ascii="Verdana" w:hAnsi="Verdana"/>
                          <w:b/>
                          <w:bCs/>
                          <w:i/>
                          <w:iCs/>
                          <w:sz w:val="20"/>
                          <w:szCs w:val="20"/>
                        </w:rPr>
                      </w:pPr>
                      <w:r>
                        <w:rPr>
                          <w:rFonts w:ascii="Verdana" w:hAnsi="Verdana"/>
                          <w:b/>
                          <w:bCs/>
                          <w:i/>
                          <w:iCs/>
                          <w:sz w:val="20"/>
                          <w:szCs w:val="20"/>
                        </w:rPr>
                        <w:t>prof. Ing. Bohumil Král, CSc.</w:t>
                      </w:r>
                    </w:p>
                    <w:p>
                      <w:pPr>
                        <w:spacing w:line="276" w:lineRule="auto"/>
                        <w:ind w:left="426"/>
                        <w:rPr>
                          <w:rFonts w:ascii="Verdana" w:hAnsi="Verdana"/>
                          <w:bCs/>
                          <w:i/>
                          <w:iCs/>
                          <w:sz w:val="20"/>
                          <w:szCs w:val="20"/>
                        </w:rPr>
                      </w:pPr>
                      <w:r>
                        <w:rPr>
                          <w:rFonts w:ascii="Verdana" w:hAnsi="Verdana"/>
                          <w:bCs/>
                          <w:i/>
                          <w:iCs/>
                          <w:sz w:val="20"/>
                          <w:szCs w:val="20"/>
                        </w:rPr>
                        <w:t>(Vysoká škola ekonomická v Praze)</w:t>
                      </w:r>
                    </w:p>
                    <w:p>
                      <w:pPr>
                        <w:spacing w:line="276" w:lineRule="auto"/>
                        <w:ind w:left="426"/>
                        <w:rPr>
                          <w:rFonts w:ascii="Verdana" w:hAnsi="Verdana"/>
                          <w:b/>
                          <w:bCs/>
                          <w:i/>
                          <w:iCs/>
                          <w:sz w:val="20"/>
                          <w:szCs w:val="20"/>
                        </w:rPr>
                      </w:pPr>
                      <w:r>
                        <w:rPr>
                          <w:rFonts w:ascii="Verdana" w:hAnsi="Verdana"/>
                          <w:b/>
                          <w:bCs/>
                          <w:i/>
                          <w:iCs/>
                          <w:sz w:val="20"/>
                          <w:szCs w:val="20"/>
                        </w:rPr>
                        <w:t>doc. Ing. Jaroslav Wagner, Ph.D.</w:t>
                      </w:r>
                    </w:p>
                    <w:p>
                      <w:pPr>
                        <w:spacing w:line="276" w:lineRule="auto"/>
                        <w:ind w:left="426"/>
                        <w:rPr>
                          <w:rFonts w:ascii="Verdana" w:hAnsi="Verdana"/>
                          <w:bCs/>
                          <w:i/>
                          <w:iCs/>
                          <w:sz w:val="20"/>
                          <w:szCs w:val="20"/>
                        </w:rPr>
                      </w:pPr>
                      <w:r>
                        <w:rPr>
                          <w:rFonts w:ascii="Verdana" w:hAnsi="Verdana"/>
                          <w:bCs/>
                          <w:i/>
                          <w:iCs/>
                          <w:sz w:val="20"/>
                          <w:szCs w:val="20"/>
                        </w:rPr>
                        <w:t>(Vysoká škola ekonomická v Praze)</w:t>
                      </w:r>
                    </w:p>
                    <w:p>
                      <w:pPr>
                        <w:spacing w:line="276" w:lineRule="auto"/>
                        <w:ind w:left="426"/>
                        <w:rPr>
                          <w:rFonts w:ascii="Verdana" w:hAnsi="Verdana"/>
                          <w:b/>
                          <w:bCs/>
                          <w:i/>
                          <w:iCs/>
                          <w:sz w:val="20"/>
                          <w:szCs w:val="20"/>
                        </w:rPr>
                      </w:pPr>
                      <w:r>
                        <w:rPr>
                          <w:rFonts w:ascii="Verdana" w:hAnsi="Verdana"/>
                          <w:b/>
                          <w:bCs/>
                          <w:i/>
                          <w:iCs/>
                          <w:sz w:val="20"/>
                          <w:szCs w:val="20"/>
                        </w:rPr>
                        <w:t>prof. Ing. Miloš Tumpach, PhD.</w:t>
                      </w:r>
                    </w:p>
                    <w:p>
                      <w:pPr>
                        <w:spacing w:line="276" w:lineRule="auto"/>
                        <w:ind w:left="426"/>
                        <w:rPr>
                          <w:rFonts w:ascii="Verdana" w:hAnsi="Verdana"/>
                          <w:bCs/>
                          <w:i/>
                          <w:iCs/>
                          <w:sz w:val="20"/>
                          <w:szCs w:val="20"/>
                        </w:rPr>
                      </w:pPr>
                      <w:r>
                        <w:rPr>
                          <w:rFonts w:ascii="Verdana" w:hAnsi="Verdana"/>
                          <w:bCs/>
                          <w:i/>
                          <w:iCs/>
                          <w:sz w:val="20"/>
                          <w:szCs w:val="20"/>
                        </w:rPr>
                        <w:t>(Ekonomická univerzita v Bratislave)</w:t>
                      </w:r>
                    </w:p>
                    <w:p>
                      <w:pPr>
                        <w:spacing w:line="276" w:lineRule="auto"/>
                        <w:ind w:left="426"/>
                        <w:rPr>
                          <w:rFonts w:ascii="Verdana" w:hAnsi="Verdana"/>
                          <w:b/>
                          <w:bCs/>
                          <w:i/>
                          <w:iCs/>
                          <w:sz w:val="22"/>
                        </w:rPr>
                      </w:pPr>
                      <w:r>
                        <w:rPr>
                          <w:rFonts w:ascii="Verdana" w:hAnsi="Verdana"/>
                          <w:b/>
                          <w:bCs/>
                          <w:i/>
                          <w:iCs/>
                          <w:sz w:val="22"/>
                        </w:rPr>
                        <w:t>doc. Ing. Mgr. Zuzana Juhászová, PhD.</w:t>
                      </w:r>
                    </w:p>
                    <w:p>
                      <w:pPr>
                        <w:spacing w:line="276" w:lineRule="auto"/>
                        <w:ind w:left="426"/>
                        <w:rPr>
                          <w:rFonts w:ascii="Verdana" w:hAnsi="Verdana"/>
                          <w:i/>
                          <w:iCs/>
                          <w:sz w:val="22"/>
                        </w:rPr>
                      </w:pPr>
                      <w:r>
                        <w:rPr>
                          <w:rFonts w:ascii="Verdana" w:hAnsi="Verdana"/>
                          <w:i/>
                          <w:iCs/>
                          <w:sz w:val="22"/>
                        </w:rPr>
                        <w:t>(Ekonomická univerzita v Bratislave)</w:t>
                      </w:r>
                    </w:p>
                    <w:p>
                      <w:pPr>
                        <w:ind w:left="426"/>
                        <w:rPr>
                          <w:i/>
                          <w:sz w:val="22"/>
                        </w:rPr>
                      </w:pPr>
                    </w:p>
                    <w:p/>
                  </w:txbxContent>
                </v:textbox>
              </v:shape>
            </w:pict>
          </mc:Fallback>
        </mc:AlternateContent>
      </w:r>
      <w:r>
        <w:rPr>
          <w:noProof/>
          <w:lang w:val="uk-UA" w:eastAsia="uk-UA" w:bidi="ar-SA"/>
        </w:rPr>
        <mc:AlternateContent>
          <mc:Choice Requires="wps">
            <w:drawing>
              <wp:anchor distT="45720" distB="45720" distL="114300" distR="114300" simplePos="0" relativeHeight="251803648" behindDoc="0" locked="0" layoutInCell="1" allowOverlap="1">
                <wp:simplePos x="0" y="0"/>
                <wp:positionH relativeFrom="column">
                  <wp:posOffset>3324225</wp:posOffset>
                </wp:positionH>
                <wp:positionV relativeFrom="paragraph">
                  <wp:posOffset>77470</wp:posOffset>
                </wp:positionV>
                <wp:extent cx="2790825" cy="3349625"/>
                <wp:effectExtent l="0" t="0" r="9525" b="3175"/>
                <wp:wrapNone/>
                <wp:docPr id="12" name="Textové pole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0825" cy="3349625"/>
                        </a:xfrm>
                        <a:prstGeom prst="rect">
                          <a:avLst/>
                        </a:prstGeom>
                        <a:solidFill>
                          <a:srgbClr val="FFFFFF"/>
                        </a:solidFill>
                        <a:ln>
                          <a:noFill/>
                        </a:ln>
                      </wps:spPr>
                      <wps:txbx>
                        <w:txbxContent>
                          <w:p w:rsidR="005C3F63" w:rsidRDefault="006536E7">
                            <w:pPr>
                              <w:ind w:left="426"/>
                              <w:rPr>
                                <w:rFonts w:ascii="Verdana" w:hAnsi="Verdana"/>
                                <w:b/>
                                <w:i/>
                                <w:iCs/>
                                <w:caps/>
                              </w:rPr>
                            </w:pPr>
                            <w:r>
                              <w:rPr>
                                <w:rFonts w:ascii="Verdana" w:hAnsi="Verdana"/>
                                <w:b/>
                                <w:i/>
                                <w:iCs/>
                                <w:caps/>
                              </w:rPr>
                              <w:t>ORGANIZAČNÍ VÝBOR:</w:t>
                            </w:r>
                          </w:p>
                          <w:p w:rsidR="005C3F63" w:rsidRDefault="005C3F63">
                            <w:pPr>
                              <w:ind w:left="426"/>
                              <w:rPr>
                                <w:rFonts w:ascii="Verdana" w:hAnsi="Verdana"/>
                                <w:b/>
                                <w:i/>
                                <w:iCs/>
                                <w:caps/>
                              </w:rPr>
                            </w:pPr>
                          </w:p>
                          <w:p w:rsidR="005C3F63" w:rsidRDefault="006536E7">
                            <w:pPr>
                              <w:spacing w:line="276" w:lineRule="auto"/>
                              <w:ind w:left="426"/>
                              <w:rPr>
                                <w:rFonts w:ascii="Verdana" w:hAnsi="Verdana"/>
                                <w:b/>
                                <w:i/>
                                <w:sz w:val="20"/>
                                <w:szCs w:val="20"/>
                              </w:rPr>
                            </w:pPr>
                            <w:r>
                              <w:rPr>
                                <w:rFonts w:ascii="Verdana" w:hAnsi="Verdana"/>
                                <w:b/>
                                <w:i/>
                                <w:sz w:val="20"/>
                                <w:szCs w:val="20"/>
                              </w:rPr>
                              <w:t>Ing. Michal Hora, Ph.D.</w:t>
                            </w:r>
                          </w:p>
                          <w:p w:rsidR="005C3F63" w:rsidRDefault="006536E7">
                            <w:pPr>
                              <w:spacing w:line="276" w:lineRule="auto"/>
                              <w:ind w:left="426"/>
                              <w:rPr>
                                <w:rFonts w:ascii="Verdana" w:hAnsi="Verdana"/>
                                <w:bCs/>
                                <w:i/>
                                <w:iCs/>
                                <w:sz w:val="20"/>
                                <w:szCs w:val="20"/>
                              </w:rPr>
                            </w:pPr>
                            <w:r>
                              <w:rPr>
                                <w:rFonts w:ascii="Verdana" w:hAnsi="Verdana"/>
                                <w:bCs/>
                                <w:i/>
                                <w:iCs/>
                                <w:sz w:val="20"/>
                                <w:szCs w:val="20"/>
                              </w:rPr>
                              <w:t>(Vysoká škola ekonomická v Praze)</w:t>
                            </w:r>
                          </w:p>
                          <w:p w:rsidR="005C3F63" w:rsidRDefault="006536E7">
                            <w:pPr>
                              <w:spacing w:line="276" w:lineRule="auto"/>
                              <w:ind w:left="426"/>
                              <w:rPr>
                                <w:rFonts w:ascii="Verdana" w:hAnsi="Verdana"/>
                                <w:b/>
                                <w:i/>
                                <w:sz w:val="20"/>
                                <w:szCs w:val="20"/>
                              </w:rPr>
                            </w:pPr>
                            <w:r>
                              <w:rPr>
                                <w:rFonts w:ascii="Verdana" w:hAnsi="Verdana"/>
                                <w:b/>
                                <w:i/>
                                <w:sz w:val="20"/>
                                <w:szCs w:val="20"/>
                              </w:rPr>
                              <w:t>Ing. Miroslava Vašeková, PhD.</w:t>
                            </w:r>
                          </w:p>
                          <w:p w:rsidR="005C3F63" w:rsidRDefault="006536E7">
                            <w:pPr>
                              <w:spacing w:line="276" w:lineRule="auto"/>
                              <w:ind w:left="426"/>
                              <w:rPr>
                                <w:rFonts w:ascii="Verdana" w:hAnsi="Verdana"/>
                                <w:i/>
                                <w:sz w:val="20"/>
                                <w:szCs w:val="20"/>
                              </w:rPr>
                            </w:pPr>
                            <w:r>
                              <w:rPr>
                                <w:rFonts w:ascii="Verdana" w:hAnsi="Verdana"/>
                                <w:i/>
                                <w:sz w:val="20"/>
                                <w:szCs w:val="20"/>
                              </w:rPr>
                              <w:t>(Ekonomická univerzita v Bratislave)</w:t>
                            </w:r>
                          </w:p>
                          <w:p w:rsidR="005C3F63" w:rsidRDefault="006536E7">
                            <w:pPr>
                              <w:spacing w:line="276" w:lineRule="auto"/>
                              <w:ind w:left="426"/>
                              <w:rPr>
                                <w:rFonts w:ascii="Verdana" w:hAnsi="Verdana"/>
                                <w:b/>
                                <w:i/>
                                <w:sz w:val="20"/>
                                <w:szCs w:val="20"/>
                              </w:rPr>
                            </w:pPr>
                            <w:r>
                              <w:rPr>
                                <w:rFonts w:ascii="Verdana" w:hAnsi="Verdana"/>
                                <w:b/>
                                <w:i/>
                                <w:sz w:val="20"/>
                                <w:szCs w:val="20"/>
                              </w:rPr>
                              <w:t>Ing. Zuzana Kubaščíková, PhD.</w:t>
                            </w:r>
                          </w:p>
                          <w:p w:rsidR="005C3F63" w:rsidRDefault="006536E7">
                            <w:pPr>
                              <w:spacing w:line="276" w:lineRule="auto"/>
                              <w:ind w:left="426"/>
                              <w:rPr>
                                <w:rFonts w:ascii="Verdana" w:hAnsi="Verdana"/>
                                <w:i/>
                                <w:sz w:val="20"/>
                                <w:szCs w:val="20"/>
                              </w:rPr>
                            </w:pPr>
                            <w:r>
                              <w:rPr>
                                <w:rFonts w:ascii="Verdana" w:hAnsi="Verdana"/>
                                <w:i/>
                                <w:sz w:val="20"/>
                                <w:szCs w:val="20"/>
                              </w:rPr>
                              <w:t>(Ekonomická univerzita v Bratislave)</w:t>
                            </w:r>
                          </w:p>
                          <w:p w:rsidR="005C3F63" w:rsidRDefault="005C3F63">
                            <w:pPr>
                              <w:spacing w:line="276" w:lineRule="auto"/>
                              <w:ind w:left="426"/>
                            </w:pPr>
                          </w:p>
                        </w:txbxContent>
                      </wps:txbx>
                      <wps:bodyPr rot="0" vert="horz" wrap="square" lIns="91440" tIns="45720" rIns="91440" bIns="45720" anchor="t" anchorCtr="0" upright="1">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psCustomData="http://www.wps.cn/officeDocument/2013/wpsCustomData" xmlns:w16se="http://schemas.microsoft.com/office/word/2015/wordml/symex" xmlns:w15="http://schemas.microsoft.com/office/word/2012/wordml" xmlns:cx1="http://schemas.microsoft.com/office/drawing/2015/9/8/chartex" xmlns:cx="http://schemas.microsoft.com/office/drawing/2014/chartex">
            <w:pict>
              <v:shape id="Textové pole 12" o:spid="_x0000_s1026" o:spt="202" type="#_x0000_t202" style="position:absolute;left:0pt;margin-left:261.75pt;margin-top:6.1pt;height:263.75pt;width:219.75pt;z-index:251803648;mso-width-relative:page;mso-height-relative:page;" fillcolor="#FFFFFF" filled="t" stroked="f" coordsize="21600,21600" o:gfxdata="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DFInovXAAAACgEAAA8AAAAAAAAAAQAgAAAAIgAA&#10;AGRycy9kb3ducmV2LnhtbFBLAQIUABQAAAAIAIdO4kAu9UcnCQIAAPcDAAAOAAAAAAAAAAEAIAAA&#10;ACYBAABkcnMvZTJvRG9jLnhtbFBLBQYAAAAABgAGAFkBAAChBQAAAAA=&#10;">
                <v:fill on="t" focussize="0,0"/>
                <v:stroke on="f"/>
                <v:imagedata o:title=""/>
                <o:lock v:ext="edit" aspectratio="f"/>
                <v:textbox>
                  <w:txbxContent>
                    <w:p>
                      <w:pPr>
                        <w:ind w:left="426"/>
                        <w:rPr>
                          <w:rFonts w:ascii="Verdana" w:hAnsi="Verdana"/>
                          <w:b/>
                          <w:i/>
                          <w:iCs/>
                          <w:caps/>
                        </w:rPr>
                      </w:pPr>
                      <w:r>
                        <w:rPr>
                          <w:rFonts w:ascii="Verdana" w:hAnsi="Verdana"/>
                          <w:b/>
                          <w:i/>
                          <w:iCs/>
                          <w:caps/>
                        </w:rPr>
                        <w:t>ORGANIZAČNÍ VÝBOR:</w:t>
                      </w:r>
                    </w:p>
                    <w:p>
                      <w:pPr>
                        <w:ind w:left="426"/>
                        <w:rPr>
                          <w:rFonts w:ascii="Verdana" w:hAnsi="Verdana"/>
                          <w:b/>
                          <w:i/>
                          <w:iCs/>
                          <w:caps/>
                        </w:rPr>
                      </w:pPr>
                    </w:p>
                    <w:p>
                      <w:pPr>
                        <w:spacing w:line="276" w:lineRule="auto"/>
                        <w:ind w:left="426"/>
                        <w:rPr>
                          <w:rFonts w:ascii="Verdana" w:hAnsi="Verdana"/>
                          <w:b/>
                          <w:i/>
                          <w:sz w:val="20"/>
                          <w:szCs w:val="20"/>
                        </w:rPr>
                      </w:pPr>
                      <w:r>
                        <w:rPr>
                          <w:rFonts w:ascii="Verdana" w:hAnsi="Verdana"/>
                          <w:b/>
                          <w:i/>
                          <w:sz w:val="20"/>
                          <w:szCs w:val="20"/>
                        </w:rPr>
                        <w:t>Ing. Michal Hora, Ph.D.</w:t>
                      </w:r>
                    </w:p>
                    <w:p>
                      <w:pPr>
                        <w:spacing w:line="276" w:lineRule="auto"/>
                        <w:ind w:left="426"/>
                        <w:rPr>
                          <w:rFonts w:ascii="Verdana" w:hAnsi="Verdana"/>
                          <w:bCs/>
                          <w:i/>
                          <w:iCs/>
                          <w:sz w:val="20"/>
                          <w:szCs w:val="20"/>
                        </w:rPr>
                      </w:pPr>
                      <w:r>
                        <w:rPr>
                          <w:rFonts w:ascii="Verdana" w:hAnsi="Verdana"/>
                          <w:bCs/>
                          <w:i/>
                          <w:iCs/>
                          <w:sz w:val="20"/>
                          <w:szCs w:val="20"/>
                        </w:rPr>
                        <w:t>(Vysoká škola ekonomická v Praze)</w:t>
                      </w:r>
                    </w:p>
                    <w:p>
                      <w:pPr>
                        <w:spacing w:line="276" w:lineRule="auto"/>
                        <w:ind w:left="426"/>
                        <w:rPr>
                          <w:rFonts w:ascii="Verdana" w:hAnsi="Verdana"/>
                          <w:b/>
                          <w:i/>
                          <w:sz w:val="20"/>
                          <w:szCs w:val="20"/>
                        </w:rPr>
                      </w:pPr>
                      <w:r>
                        <w:rPr>
                          <w:rFonts w:ascii="Verdana" w:hAnsi="Verdana"/>
                          <w:b/>
                          <w:i/>
                          <w:sz w:val="20"/>
                          <w:szCs w:val="20"/>
                        </w:rPr>
                        <w:t>Ing. Miroslava Vašeková, PhD.</w:t>
                      </w:r>
                    </w:p>
                    <w:p>
                      <w:pPr>
                        <w:spacing w:line="276" w:lineRule="auto"/>
                        <w:ind w:left="426"/>
                        <w:rPr>
                          <w:rFonts w:ascii="Verdana" w:hAnsi="Verdana"/>
                          <w:i/>
                          <w:sz w:val="20"/>
                          <w:szCs w:val="20"/>
                        </w:rPr>
                      </w:pPr>
                      <w:r>
                        <w:rPr>
                          <w:rFonts w:ascii="Verdana" w:hAnsi="Verdana"/>
                          <w:i/>
                          <w:sz w:val="20"/>
                          <w:szCs w:val="20"/>
                        </w:rPr>
                        <w:t>(Ekonomická univerzita v Bratislave)</w:t>
                      </w:r>
                    </w:p>
                    <w:p>
                      <w:pPr>
                        <w:spacing w:line="276" w:lineRule="auto"/>
                        <w:ind w:left="426"/>
                        <w:rPr>
                          <w:rFonts w:ascii="Verdana" w:hAnsi="Verdana"/>
                          <w:b/>
                          <w:i/>
                          <w:sz w:val="20"/>
                          <w:szCs w:val="20"/>
                        </w:rPr>
                      </w:pPr>
                      <w:r>
                        <w:rPr>
                          <w:rFonts w:ascii="Verdana" w:hAnsi="Verdana"/>
                          <w:b/>
                          <w:i/>
                          <w:sz w:val="20"/>
                          <w:szCs w:val="20"/>
                        </w:rPr>
                        <w:t>Ing. Zuzana Kubaščíková, PhD.</w:t>
                      </w:r>
                    </w:p>
                    <w:p>
                      <w:pPr>
                        <w:spacing w:line="276" w:lineRule="auto"/>
                        <w:ind w:left="426"/>
                        <w:rPr>
                          <w:rFonts w:ascii="Verdana" w:hAnsi="Verdana"/>
                          <w:i/>
                          <w:sz w:val="20"/>
                          <w:szCs w:val="20"/>
                        </w:rPr>
                      </w:pPr>
                      <w:r>
                        <w:rPr>
                          <w:rFonts w:ascii="Verdana" w:hAnsi="Verdana"/>
                          <w:i/>
                          <w:sz w:val="20"/>
                          <w:szCs w:val="20"/>
                        </w:rPr>
                        <w:t>(Ekonomická univerzita v Bratislave)</w:t>
                      </w:r>
                    </w:p>
                    <w:p>
                      <w:pPr>
                        <w:spacing w:line="276" w:lineRule="auto"/>
                        <w:ind w:left="426"/>
                      </w:pPr>
                    </w:p>
                  </w:txbxContent>
                </v:textbox>
              </v:shape>
            </w:pict>
          </mc:Fallback>
        </mc:AlternateContent>
      </w:r>
    </w:p>
    <w:p w:rsidR="005C3F63" w:rsidRDefault="005C3F63">
      <w:pPr>
        <w:ind w:left="1260"/>
        <w:rPr>
          <w:b/>
          <w:sz w:val="44"/>
          <w:szCs w:val="44"/>
        </w:rPr>
      </w:pPr>
    </w:p>
    <w:p w:rsidR="005C3F63" w:rsidRDefault="006536E7">
      <w:pPr>
        <w:jc w:val="left"/>
        <w:rPr>
          <w:b/>
          <w:sz w:val="44"/>
          <w:szCs w:val="44"/>
        </w:rPr>
      </w:pPr>
      <w:r>
        <w:rPr>
          <w:b/>
          <w:sz w:val="44"/>
          <w:szCs w:val="44"/>
        </w:rPr>
        <w:br w:type="page"/>
      </w:r>
    </w:p>
    <w:p w:rsidR="005C3F63" w:rsidRDefault="006536E7">
      <w:pPr>
        <w:jc w:val="left"/>
        <w:rPr>
          <w:rFonts w:ascii="Verdana" w:hAnsi="Verdana"/>
          <w:b/>
          <w:smallCaps/>
          <w:sz w:val="28"/>
          <w:szCs w:val="28"/>
          <w:lang w:val="sk-SK" w:eastAsia="cs-CZ" w:bidi="ar-SA"/>
        </w:rPr>
      </w:pPr>
      <w:r>
        <w:rPr>
          <w:rFonts w:ascii="Verdana" w:hAnsi="Verdana"/>
          <w:b/>
          <w:smallCaps/>
          <w:sz w:val="28"/>
          <w:szCs w:val="28"/>
          <w:lang w:val="sk-SK" w:eastAsia="cs-CZ" w:bidi="ar-SA"/>
        </w:rPr>
        <w:lastRenderedPageBreak/>
        <w:t>Obsah:</w:t>
      </w:r>
    </w:p>
    <w:p w:rsidR="005C3F63" w:rsidRDefault="006536E7">
      <w:pPr>
        <w:pStyle w:val="11"/>
        <w:tabs>
          <w:tab w:val="right" w:leader="dot" w:pos="9062"/>
        </w:tabs>
        <w:rPr>
          <w:rFonts w:asciiTheme="minorHAnsi" w:eastAsiaTheme="minorEastAsia" w:hAnsiTheme="minorHAnsi" w:cstheme="minorBidi"/>
          <w:lang w:val="cs-CZ" w:eastAsia="cs-CZ" w:bidi="ar-SA"/>
        </w:rPr>
      </w:pPr>
      <w:r>
        <w:rPr>
          <w:lang w:val="sk-SK" w:eastAsia="cs-CZ" w:bidi="ar-SA"/>
        </w:rPr>
        <w:fldChar w:fldCharType="begin"/>
      </w:r>
      <w:r>
        <w:rPr>
          <w:lang w:val="sk-SK" w:eastAsia="cs-CZ" w:bidi="ar-SA"/>
        </w:rPr>
        <w:instrText xml:space="preserve"> TOC \t "Nadpis 1;1;Autor;2"; \n 2-2 </w:instrText>
      </w:r>
      <w:r>
        <w:rPr>
          <w:lang w:val="sk-SK" w:eastAsia="cs-CZ" w:bidi="ar-SA"/>
        </w:rPr>
        <w:fldChar w:fldCharType="separate"/>
      </w:r>
      <w:r>
        <w:rPr>
          <w:lang w:val="sk-SK"/>
        </w:rPr>
        <w:t>Úvod</w:t>
      </w:r>
      <w:r>
        <w:tab/>
      </w:r>
      <w:r>
        <w:fldChar w:fldCharType="begin"/>
      </w:r>
      <w:r>
        <w:instrText xml:space="preserve"> PAGEREF _Toc47951493 \h </w:instrText>
      </w:r>
      <w:r>
        <w:fldChar w:fldCharType="separate"/>
      </w:r>
      <w:r>
        <w:t>9</w:t>
      </w:r>
      <w:r>
        <w:fldChar w:fldCharType="end"/>
      </w:r>
    </w:p>
    <w:p w:rsidR="005C3F63" w:rsidRDefault="006536E7">
      <w:pPr>
        <w:pStyle w:val="11"/>
        <w:tabs>
          <w:tab w:val="right" w:leader="dot" w:pos="9062"/>
        </w:tabs>
        <w:rPr>
          <w:rFonts w:asciiTheme="minorHAnsi" w:eastAsiaTheme="minorEastAsia" w:hAnsiTheme="minorHAnsi" w:cstheme="minorBidi"/>
          <w:lang w:val="cs-CZ" w:eastAsia="cs-CZ" w:bidi="ar-SA"/>
        </w:rPr>
      </w:pPr>
      <w:r>
        <w:t xml:space="preserve">Reverse </w:t>
      </w:r>
      <w:r>
        <w:rPr>
          <w:lang w:val="sk-SK"/>
        </w:rPr>
        <w:t>A</w:t>
      </w:r>
      <w:r>
        <w:t>cquisitions</w:t>
      </w:r>
      <w:r>
        <w:rPr>
          <w:lang w:val="sk-SK"/>
        </w:rPr>
        <w:t xml:space="preserve"> and Steps how to Detect them</w:t>
      </w:r>
      <w:r>
        <w:tab/>
      </w:r>
      <w:r>
        <w:fldChar w:fldCharType="begin"/>
      </w:r>
      <w:r>
        <w:instrText xml:space="preserve"> PAGEREF _Toc47951494 \h </w:instrText>
      </w:r>
      <w:r>
        <w:fldChar w:fldCharType="separate"/>
      </w:r>
      <w:r>
        <w:t>11</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rPr>
          <w:rFonts w:eastAsia="Calibri"/>
        </w:rPr>
        <w:t>Nikoleta Baloghová</w:t>
      </w:r>
    </w:p>
    <w:p w:rsidR="005C3F63" w:rsidRDefault="006536E7">
      <w:pPr>
        <w:pStyle w:val="11"/>
        <w:tabs>
          <w:tab w:val="right" w:leader="dot" w:pos="9062"/>
        </w:tabs>
        <w:rPr>
          <w:rFonts w:asciiTheme="minorHAnsi" w:eastAsiaTheme="minorEastAsia" w:hAnsiTheme="minorHAnsi" w:cstheme="minorBidi"/>
          <w:lang w:val="sk-SK" w:eastAsia="cs-CZ" w:bidi="ar-SA"/>
        </w:rPr>
      </w:pPr>
      <w:r>
        <w:t>Holdings of Cryptocurrencies in IFRS</w:t>
      </w:r>
      <w:r>
        <w:tab/>
      </w:r>
      <w:r>
        <w:rPr>
          <w:lang w:val="sk-SK"/>
        </w:rPr>
        <w:t>16</w:t>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rPr>
          <w:lang w:val="sk-SK"/>
        </w:rPr>
        <w:t>Miriama Blahušiaková</w:t>
      </w:r>
    </w:p>
    <w:p w:rsidR="005C3F63" w:rsidRDefault="006536E7">
      <w:pPr>
        <w:pStyle w:val="11"/>
        <w:tabs>
          <w:tab w:val="right" w:leader="dot" w:pos="9062"/>
        </w:tabs>
        <w:rPr>
          <w:rFonts w:asciiTheme="minorHAnsi" w:eastAsiaTheme="minorEastAsia" w:hAnsiTheme="minorHAnsi" w:cstheme="minorBidi"/>
          <w:lang w:val="cs-CZ" w:eastAsia="cs-CZ" w:bidi="ar-SA"/>
        </w:rPr>
      </w:pPr>
      <w:r>
        <w:t>Evaluation of the impact of the COVID 19 pandemic on the financial statements of companies as at the closing date of 31 December 2019 in Czech Republic</w:t>
      </w:r>
      <w:r>
        <w:tab/>
      </w:r>
      <w:r>
        <w:fldChar w:fldCharType="begin"/>
      </w:r>
      <w:r>
        <w:instrText xml:space="preserve"> PAGEREF _Toc47951498 \h </w:instrText>
      </w:r>
      <w:r>
        <w:fldChar w:fldCharType="separate"/>
      </w:r>
      <w:r>
        <w:t>23</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Václav Černý</w:t>
      </w:r>
      <w:r>
        <w:rPr>
          <w:vertAlign w:val="superscript"/>
        </w:rPr>
        <w:t>1</w:t>
      </w:r>
    </w:p>
    <w:p w:rsidR="005C3F63" w:rsidRDefault="006536E7">
      <w:pPr>
        <w:pStyle w:val="11"/>
        <w:tabs>
          <w:tab w:val="right" w:leader="dot" w:pos="9062"/>
        </w:tabs>
        <w:rPr>
          <w:rFonts w:asciiTheme="minorHAnsi" w:eastAsiaTheme="minorEastAsia" w:hAnsiTheme="minorHAnsi" w:cstheme="minorBidi"/>
          <w:lang w:val="cs-CZ" w:eastAsia="cs-CZ" w:bidi="ar-SA"/>
        </w:rPr>
      </w:pPr>
      <w:r>
        <w:t xml:space="preserve">Statutory audit in Slovakia – </w:t>
      </w:r>
      <w:r>
        <w:rPr>
          <w:lang w:val="sk-SK"/>
        </w:rPr>
        <w:t>P</w:t>
      </w:r>
      <w:r>
        <w:t>henomenon of</w:t>
      </w:r>
      <w:r>
        <w:rPr>
          <w:lang w:val="sk-SK"/>
        </w:rPr>
        <w:t xml:space="preserve"> C</w:t>
      </w:r>
      <w:r>
        <w:t xml:space="preserve">urrent </w:t>
      </w:r>
      <w:r>
        <w:rPr>
          <w:lang w:val="sk-SK"/>
        </w:rPr>
        <w:t>L</w:t>
      </w:r>
      <w:r>
        <w:t>egislative</w:t>
      </w:r>
      <w:r>
        <w:rPr>
          <w:lang w:val="sk-SK"/>
        </w:rPr>
        <w:t xml:space="preserve"> Changes</w:t>
      </w:r>
      <w:r>
        <w:tab/>
      </w:r>
      <w:r>
        <w:fldChar w:fldCharType="begin"/>
      </w:r>
      <w:r>
        <w:instrText xml:space="preserve"> PAGEREF _Toc47951500 \h </w:instrText>
      </w:r>
      <w:r>
        <w:fldChar w:fldCharType="separate"/>
      </w:r>
      <w:r>
        <w:t>26</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Denisa Domaracká</w:t>
      </w:r>
    </w:p>
    <w:p w:rsidR="005C3F63" w:rsidRDefault="006536E7">
      <w:pPr>
        <w:pStyle w:val="11"/>
        <w:tabs>
          <w:tab w:val="right" w:leader="dot" w:pos="9062"/>
        </w:tabs>
        <w:rPr>
          <w:rFonts w:asciiTheme="minorHAnsi" w:eastAsiaTheme="minorEastAsia" w:hAnsiTheme="minorHAnsi" w:cstheme="minorBidi"/>
          <w:lang w:val="cs-CZ" w:eastAsia="cs-CZ" w:bidi="ar-SA"/>
        </w:rPr>
      </w:pPr>
      <w:r>
        <w:rPr>
          <w:shd w:val="clear" w:color="auto" w:fill="FFFFFF"/>
        </w:rPr>
        <w:t>An audit in the system if the agrarian enterprises' social responsibility effectiveness assessment methods</w:t>
      </w:r>
      <w:r>
        <w:tab/>
      </w:r>
      <w:r>
        <w:fldChar w:fldCharType="begin"/>
      </w:r>
      <w:r>
        <w:instrText xml:space="preserve"> PAGEREF _Toc47951502 \h </w:instrText>
      </w:r>
      <w:r>
        <w:fldChar w:fldCharType="separate"/>
      </w:r>
      <w:r>
        <w:t>30</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Marina Dubinina</w:t>
      </w:r>
      <w:r>
        <w:rPr>
          <w:vertAlign w:val="superscript"/>
        </w:rPr>
        <w:t>1</w:t>
      </w:r>
      <w:r>
        <w:t>, Natalya Kuzyk</w:t>
      </w:r>
      <w:r>
        <w:rPr>
          <w:vertAlign w:val="superscript"/>
        </w:rPr>
        <w:t>2</w:t>
      </w:r>
    </w:p>
    <w:p w:rsidR="005C3F63" w:rsidRDefault="006536E7">
      <w:pPr>
        <w:pStyle w:val="11"/>
        <w:tabs>
          <w:tab w:val="right" w:leader="dot" w:pos="9062"/>
        </w:tabs>
        <w:rPr>
          <w:rFonts w:asciiTheme="minorHAnsi" w:eastAsiaTheme="minorEastAsia" w:hAnsiTheme="minorHAnsi" w:cstheme="minorBidi"/>
          <w:lang w:val="cs-CZ" w:eastAsia="cs-CZ" w:bidi="ar-SA"/>
        </w:rPr>
      </w:pPr>
      <w:r>
        <w:t>Development strategies of the rural tourism and features of their accounting and analytical support</w:t>
      </w:r>
      <w:r>
        <w:tab/>
      </w:r>
      <w:r>
        <w:fldChar w:fldCharType="begin"/>
      </w:r>
      <w:r>
        <w:instrText xml:space="preserve"> PAGEREF _Toc47951504 \h </w:instrText>
      </w:r>
      <w:r>
        <w:fldChar w:fldCharType="separate"/>
      </w:r>
      <w:r>
        <w:t>36</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Iryna Honcharenko</w:t>
      </w:r>
      <w:r>
        <w:rPr>
          <w:vertAlign w:val="superscript"/>
        </w:rPr>
        <w:t>1</w:t>
      </w:r>
      <w:r>
        <w:t>, Olena Kolesnikova</w:t>
      </w:r>
      <w:r>
        <w:rPr>
          <w:vertAlign w:val="superscript"/>
        </w:rPr>
        <w:t>2</w:t>
      </w:r>
      <w:r>
        <w:t>, Olha Honcharenko</w:t>
      </w:r>
      <w:r>
        <w:rPr>
          <w:vertAlign w:val="superscript"/>
        </w:rPr>
        <w:t>3</w:t>
      </w:r>
    </w:p>
    <w:p w:rsidR="005C3F63" w:rsidRDefault="006536E7">
      <w:pPr>
        <w:pStyle w:val="11"/>
        <w:tabs>
          <w:tab w:val="right" w:leader="dot" w:pos="9062"/>
        </w:tabs>
        <w:rPr>
          <w:rFonts w:asciiTheme="minorHAnsi" w:eastAsiaTheme="minorEastAsia" w:hAnsiTheme="minorHAnsi" w:cstheme="minorBidi"/>
          <w:lang w:val="cs-CZ" w:eastAsia="cs-CZ" w:bidi="ar-SA"/>
        </w:rPr>
      </w:pPr>
      <w:r>
        <w:rPr>
          <w:rFonts w:eastAsia="Calibri"/>
          <w:shd w:val="clear" w:color="auto" w:fill="FFFFFF"/>
          <w:lang w:val="uk-UA"/>
        </w:rPr>
        <w:t>Winemaking and enot</w:t>
      </w:r>
      <w:r>
        <w:rPr>
          <w:rFonts w:eastAsia="Calibri"/>
          <w:shd w:val="clear" w:color="auto" w:fill="FFFFFF"/>
        </w:rPr>
        <w:t>o</w:t>
      </w:r>
      <w:r>
        <w:rPr>
          <w:rFonts w:eastAsia="Calibri"/>
          <w:shd w:val="clear" w:color="auto" w:fill="FFFFFF"/>
          <w:lang w:val="uk-UA"/>
        </w:rPr>
        <w:t>ur</w:t>
      </w:r>
      <w:r>
        <w:rPr>
          <w:rFonts w:eastAsia="Calibri"/>
          <w:shd w:val="clear" w:color="auto" w:fill="FFFFFF"/>
        </w:rPr>
        <w:t>i</w:t>
      </w:r>
      <w:r>
        <w:rPr>
          <w:rFonts w:eastAsia="Calibri"/>
          <w:shd w:val="clear" w:color="auto" w:fill="FFFFFF"/>
          <w:lang w:val="uk-UA"/>
        </w:rPr>
        <w:t>sm in Ukraine: the impact on industry accounting system</w:t>
      </w:r>
      <w:r>
        <w:tab/>
      </w:r>
      <w:r>
        <w:fldChar w:fldCharType="begin"/>
      </w:r>
      <w:r>
        <w:instrText xml:space="preserve"> PAGEREF _Toc47951506 \h </w:instrText>
      </w:r>
      <w:r>
        <w:fldChar w:fldCharType="separate"/>
      </w:r>
      <w:r>
        <w:t>42</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Liubov Hutsalenko</w:t>
      </w:r>
      <w:r>
        <w:rPr>
          <w:vertAlign w:val="superscript"/>
        </w:rPr>
        <w:t>1</w:t>
      </w:r>
      <w:r>
        <w:t xml:space="preserve">, </w:t>
      </w:r>
      <w:r>
        <w:rPr>
          <w:rFonts w:eastAsia="Calibri"/>
        </w:rPr>
        <w:t>Uliana Marchuk</w:t>
      </w:r>
      <w:r>
        <w:rPr>
          <w:vertAlign w:val="superscript"/>
        </w:rPr>
        <w:t>2</w:t>
      </w:r>
    </w:p>
    <w:p w:rsidR="005C3F63" w:rsidRDefault="006536E7">
      <w:pPr>
        <w:pStyle w:val="11"/>
        <w:tabs>
          <w:tab w:val="right" w:leader="dot" w:pos="9062"/>
        </w:tabs>
        <w:rPr>
          <w:rFonts w:asciiTheme="minorHAnsi" w:eastAsiaTheme="minorEastAsia" w:hAnsiTheme="minorHAnsi" w:cstheme="minorBidi"/>
          <w:lang w:val="cs-CZ" w:eastAsia="cs-CZ" w:bidi="ar-SA"/>
        </w:rPr>
      </w:pPr>
      <w:r>
        <w:t>Accounting and analytical provision of corporations risk management: social responsibility issues</w:t>
      </w:r>
      <w:r>
        <w:tab/>
      </w:r>
      <w:r>
        <w:fldChar w:fldCharType="begin"/>
      </w:r>
      <w:r>
        <w:instrText xml:space="preserve"> PAGEREF _Toc47951508 \h </w:instrText>
      </w:r>
      <w:r>
        <w:fldChar w:fldCharType="separate"/>
      </w:r>
      <w:r>
        <w:t>48</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Lyudmyla Chyzhevska</w:t>
      </w:r>
      <w:r>
        <w:rPr>
          <w:vertAlign w:val="superscript"/>
        </w:rPr>
        <w:t>1</w:t>
      </w:r>
      <w:r>
        <w:t>, Serhii Lehenchuk</w:t>
      </w:r>
      <w:r>
        <w:rPr>
          <w:vertAlign w:val="superscript"/>
        </w:rPr>
        <w:t>2</w:t>
      </w:r>
      <w:r>
        <w:t>, Iryna Vyhivska</w:t>
      </w:r>
      <w:r>
        <w:rPr>
          <w:vertAlign w:val="superscript"/>
        </w:rPr>
        <w:t>3</w:t>
      </w:r>
    </w:p>
    <w:p w:rsidR="005C3F63" w:rsidRDefault="006536E7">
      <w:pPr>
        <w:pStyle w:val="11"/>
        <w:tabs>
          <w:tab w:val="right" w:leader="dot" w:pos="9062"/>
        </w:tabs>
        <w:rPr>
          <w:rFonts w:asciiTheme="minorHAnsi" w:eastAsiaTheme="minorEastAsia" w:hAnsiTheme="minorHAnsi" w:cstheme="minorBidi"/>
          <w:lang w:val="cs-CZ" w:eastAsia="cs-CZ" w:bidi="ar-SA"/>
        </w:rPr>
      </w:pPr>
      <w:r>
        <w:t>Corporate governance, current regulation in the Czech Republic, publication of information about emergency situations</w:t>
      </w:r>
      <w:r>
        <w:tab/>
      </w:r>
      <w:r>
        <w:fldChar w:fldCharType="begin"/>
      </w:r>
      <w:r>
        <w:instrText xml:space="preserve"> PAGEREF _Toc47951510 \h </w:instrText>
      </w:r>
      <w:r>
        <w:fldChar w:fldCharType="separate"/>
      </w:r>
      <w:r>
        <w:t>54</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Robert Jurka</w:t>
      </w:r>
      <w:r>
        <w:rPr>
          <w:vertAlign w:val="superscript"/>
        </w:rPr>
        <w:t>1</w:t>
      </w:r>
      <w:r>
        <w:t>, Jaroslava Roubíčková</w:t>
      </w:r>
      <w:r>
        <w:rPr>
          <w:vertAlign w:val="superscript"/>
        </w:rPr>
        <w:t>2</w:t>
      </w:r>
    </w:p>
    <w:p w:rsidR="005C3F63" w:rsidRDefault="006536E7">
      <w:pPr>
        <w:pStyle w:val="11"/>
        <w:tabs>
          <w:tab w:val="right" w:leader="dot" w:pos="9062"/>
        </w:tabs>
        <w:rPr>
          <w:rFonts w:asciiTheme="minorHAnsi" w:eastAsiaTheme="minorEastAsia" w:hAnsiTheme="minorHAnsi" w:cstheme="minorBidi"/>
          <w:lang w:val="cs-CZ" w:eastAsia="cs-CZ" w:bidi="ar-SA"/>
        </w:rPr>
      </w:pPr>
      <w:r>
        <w:t>Financial</w:t>
      </w:r>
      <w:r>
        <w:rPr>
          <w:lang w:val="sk-SK"/>
        </w:rPr>
        <w:t xml:space="preserve"> I</w:t>
      </w:r>
      <w:r>
        <w:t xml:space="preserve">nstruments - </w:t>
      </w:r>
      <w:r>
        <w:rPr>
          <w:lang w:val="sk-SK"/>
        </w:rPr>
        <w:t>Audit</w:t>
      </w:r>
      <w:r>
        <w:t xml:space="preserve"> </w:t>
      </w:r>
      <w:r>
        <w:rPr>
          <w:lang w:val="sk-SK"/>
        </w:rPr>
        <w:t>P</w:t>
      </w:r>
      <w:r>
        <w:t>rocedures</w:t>
      </w:r>
      <w:r>
        <w:tab/>
      </w:r>
      <w:r>
        <w:fldChar w:fldCharType="begin"/>
      </w:r>
      <w:r>
        <w:instrText xml:space="preserve"> PAGEREF _Toc47951512 \h </w:instrText>
      </w:r>
      <w:r>
        <w:fldChar w:fldCharType="separate"/>
      </w:r>
      <w:r>
        <w:t>59</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Ladislav Kareš</w:t>
      </w:r>
    </w:p>
    <w:p w:rsidR="005C3F63" w:rsidRDefault="006536E7">
      <w:pPr>
        <w:pStyle w:val="11"/>
        <w:tabs>
          <w:tab w:val="right" w:leader="dot" w:pos="9062"/>
        </w:tabs>
        <w:rPr>
          <w:rFonts w:asciiTheme="minorHAnsi" w:eastAsiaTheme="minorEastAsia" w:hAnsiTheme="minorHAnsi" w:cstheme="minorBidi"/>
          <w:lang w:val="cs-CZ" w:eastAsia="cs-CZ" w:bidi="ar-SA"/>
        </w:rPr>
      </w:pPr>
      <w:r>
        <w:t xml:space="preserve">Accounting </w:t>
      </w:r>
      <w:r>
        <w:rPr>
          <w:lang w:val="sk-SK"/>
        </w:rPr>
        <w:t>E</w:t>
      </w:r>
      <w:r>
        <w:t xml:space="preserve">stimates from </w:t>
      </w:r>
      <w:r>
        <w:rPr>
          <w:lang w:val="sk-SK"/>
        </w:rPr>
        <w:t>A</w:t>
      </w:r>
      <w:r>
        <w:t xml:space="preserve">udit </w:t>
      </w:r>
      <w:r>
        <w:rPr>
          <w:lang w:val="sk-SK"/>
        </w:rPr>
        <w:t>P</w:t>
      </w:r>
      <w:r>
        <w:t xml:space="preserve">erspective as </w:t>
      </w:r>
      <w:r>
        <w:rPr>
          <w:lang w:val="sk-SK"/>
        </w:rPr>
        <w:t>R</w:t>
      </w:r>
      <w:r>
        <w:t>esult of Covid-19</w:t>
      </w:r>
      <w:r>
        <w:tab/>
      </w:r>
      <w:r>
        <w:fldChar w:fldCharType="begin"/>
      </w:r>
      <w:r>
        <w:instrText xml:space="preserve"> PAGEREF _Toc47951514 \h </w:instrText>
      </w:r>
      <w:r>
        <w:fldChar w:fldCharType="separate"/>
      </w:r>
      <w:r>
        <w:t>65</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Veronika Kňažková</w:t>
      </w:r>
    </w:p>
    <w:p w:rsidR="005C3F63" w:rsidRDefault="006536E7">
      <w:pPr>
        <w:pStyle w:val="11"/>
        <w:tabs>
          <w:tab w:val="right" w:leader="dot" w:pos="9062"/>
        </w:tabs>
        <w:rPr>
          <w:rFonts w:asciiTheme="minorHAnsi" w:eastAsiaTheme="minorEastAsia" w:hAnsiTheme="minorHAnsi" w:cstheme="minorBidi"/>
          <w:lang w:val="cs-CZ" w:eastAsia="cs-CZ" w:bidi="ar-SA"/>
        </w:rPr>
      </w:pPr>
      <w:r>
        <w:t xml:space="preserve">Institution of </w:t>
      </w:r>
      <w:r>
        <w:rPr>
          <w:lang w:val="sk-SK"/>
        </w:rPr>
        <w:t>B</w:t>
      </w:r>
      <w:r>
        <w:t xml:space="preserve">eneficent </w:t>
      </w:r>
      <w:r>
        <w:rPr>
          <w:lang w:val="sk-SK"/>
        </w:rPr>
        <w:t>L</w:t>
      </w:r>
      <w:r>
        <w:t>ottery</w:t>
      </w:r>
      <w:r>
        <w:tab/>
      </w:r>
      <w:r>
        <w:fldChar w:fldCharType="begin"/>
      </w:r>
      <w:r>
        <w:instrText xml:space="preserve"> PAGEREF _Toc47951516 \h </w:instrText>
      </w:r>
      <w:r>
        <w:fldChar w:fldCharType="separate"/>
      </w:r>
      <w:r>
        <w:t>65</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Alena Kordošová</w:t>
      </w:r>
    </w:p>
    <w:p w:rsidR="005C3F63" w:rsidRDefault="006536E7">
      <w:pPr>
        <w:pStyle w:val="11"/>
        <w:tabs>
          <w:tab w:val="right" w:leader="dot" w:pos="9062"/>
        </w:tabs>
        <w:rPr>
          <w:rFonts w:asciiTheme="minorHAnsi" w:eastAsiaTheme="minorEastAsia" w:hAnsiTheme="minorHAnsi" w:cstheme="minorBidi"/>
          <w:lang w:val="cs-CZ" w:eastAsia="cs-CZ" w:bidi="ar-SA"/>
        </w:rPr>
      </w:pPr>
      <w:r>
        <w:t>Trading enterprises’ accounting provision of controlling in the digitalization era</w:t>
      </w:r>
      <w:r>
        <w:tab/>
      </w:r>
      <w:r>
        <w:fldChar w:fldCharType="begin"/>
      </w:r>
      <w:r>
        <w:instrText xml:space="preserve"> PAGEREF _Toc47951518 \h </w:instrText>
      </w:r>
      <w:r>
        <w:fldChar w:fldCharType="separate"/>
      </w:r>
      <w:r>
        <w:t>76</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rPr>
          <w:lang w:val="de-DE"/>
        </w:rPr>
        <w:t>Valentyna Kostyuchenko¹, Anastasiia Kamil², Serhii Holov</w:t>
      </w:r>
      <w:r>
        <w:rPr>
          <w:vertAlign w:val="superscript"/>
          <w:lang w:val="de-DE"/>
        </w:rPr>
        <w:t>3</w:t>
      </w:r>
    </w:p>
    <w:p w:rsidR="005C3F63" w:rsidRDefault="006536E7">
      <w:pPr>
        <w:pStyle w:val="11"/>
        <w:tabs>
          <w:tab w:val="right" w:leader="dot" w:pos="9062"/>
        </w:tabs>
        <w:rPr>
          <w:rFonts w:asciiTheme="minorHAnsi" w:eastAsiaTheme="minorEastAsia" w:hAnsiTheme="minorHAnsi" w:cstheme="minorBidi"/>
          <w:lang w:val="cs-CZ" w:eastAsia="cs-CZ" w:bidi="ar-SA"/>
        </w:rPr>
      </w:pPr>
      <w:r>
        <w:t>Transposition of International Standards for Small and Medium-sized Entities in Ukraine</w:t>
      </w:r>
      <w:r>
        <w:tab/>
      </w:r>
      <w:r>
        <w:fldChar w:fldCharType="begin"/>
      </w:r>
      <w:r>
        <w:instrText xml:space="preserve"> PAGEREF _Toc47951520 \h </w:instrText>
      </w:r>
      <w:r>
        <w:fldChar w:fldCharType="separate"/>
      </w:r>
      <w:r>
        <w:t>81</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Valentyna Kostyuchenko¹, Anastasia Коvalova², Serhii Holov</w:t>
      </w:r>
      <w:r>
        <w:rPr>
          <w:vertAlign w:val="superscript"/>
        </w:rPr>
        <w:t>3</w:t>
      </w:r>
    </w:p>
    <w:p w:rsidR="005C3F63" w:rsidRDefault="006536E7">
      <w:pPr>
        <w:pStyle w:val="11"/>
        <w:tabs>
          <w:tab w:val="right" w:leader="dot" w:pos="9062"/>
        </w:tabs>
        <w:rPr>
          <w:rFonts w:asciiTheme="minorHAnsi" w:eastAsiaTheme="minorEastAsia" w:hAnsiTheme="minorHAnsi" w:cstheme="minorBidi"/>
          <w:lang w:val="cs-CZ" w:eastAsia="cs-CZ" w:bidi="ar-SA"/>
        </w:rPr>
      </w:pPr>
      <w:r>
        <w:t xml:space="preserve">Reasons </w:t>
      </w:r>
      <w:r>
        <w:rPr>
          <w:lang w:val="sk-SK"/>
        </w:rPr>
        <w:t>of D</w:t>
      </w:r>
      <w:r>
        <w:t xml:space="preserve">emand for </w:t>
      </w:r>
      <w:r>
        <w:rPr>
          <w:lang w:val="sk-SK"/>
        </w:rPr>
        <w:t>S</w:t>
      </w:r>
      <w:r>
        <w:t xml:space="preserve">tatutory </w:t>
      </w:r>
      <w:r>
        <w:rPr>
          <w:lang w:val="sk-SK"/>
        </w:rPr>
        <w:t>A</w:t>
      </w:r>
      <w:r>
        <w:t xml:space="preserve">udit and their </w:t>
      </w:r>
      <w:r>
        <w:rPr>
          <w:lang w:val="sk-SK"/>
        </w:rPr>
        <w:t>I</w:t>
      </w:r>
      <w:r>
        <w:t xml:space="preserve">mpact on </w:t>
      </w:r>
      <w:r>
        <w:rPr>
          <w:lang w:val="sk-SK"/>
        </w:rPr>
        <w:t>A</w:t>
      </w:r>
      <w:r>
        <w:t xml:space="preserve">uditor's </w:t>
      </w:r>
      <w:r>
        <w:rPr>
          <w:lang w:val="sk-SK"/>
        </w:rPr>
        <w:t>I</w:t>
      </w:r>
      <w:r>
        <w:t>ndependence</w:t>
      </w:r>
      <w:r>
        <w:tab/>
      </w:r>
      <w:r>
        <w:fldChar w:fldCharType="begin"/>
      </w:r>
      <w:r>
        <w:instrText xml:space="preserve"> PAGEREF _Toc47951522 \h </w:instrText>
      </w:r>
      <w:r>
        <w:fldChar w:fldCharType="separate"/>
      </w:r>
      <w:r>
        <w:t>87</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rPr>
          <w:rFonts w:eastAsiaTheme="minorHAnsi"/>
        </w:rPr>
        <w:t>Petra Krišková</w:t>
      </w:r>
      <w:r>
        <w:rPr>
          <w:rFonts w:eastAsiaTheme="minorHAnsi"/>
          <w:vertAlign w:val="superscript"/>
        </w:rPr>
        <w:t>1</w:t>
      </w:r>
      <w:r>
        <w:rPr>
          <w:rFonts w:eastAsiaTheme="minorHAnsi"/>
        </w:rPr>
        <w:t>, Ján Užík</w:t>
      </w:r>
      <w:r>
        <w:rPr>
          <w:rFonts w:eastAsiaTheme="minorHAnsi"/>
          <w:vertAlign w:val="superscript"/>
        </w:rPr>
        <w:t>2</w:t>
      </w:r>
    </w:p>
    <w:p w:rsidR="005C3F63" w:rsidRDefault="006536E7">
      <w:pPr>
        <w:pStyle w:val="11"/>
        <w:tabs>
          <w:tab w:val="right" w:leader="dot" w:pos="9062"/>
        </w:tabs>
        <w:rPr>
          <w:rFonts w:asciiTheme="minorHAnsi" w:eastAsiaTheme="minorEastAsia" w:hAnsiTheme="minorHAnsi" w:cstheme="minorBidi"/>
          <w:lang w:val="cs-CZ" w:eastAsia="cs-CZ" w:bidi="ar-SA"/>
        </w:rPr>
      </w:pPr>
      <w:r>
        <w:t>Correlation of Sentiment used in Annual Reports and Corporate Profitability</w:t>
      </w:r>
      <w:r>
        <w:tab/>
      </w:r>
      <w:r>
        <w:fldChar w:fldCharType="begin"/>
      </w:r>
      <w:r>
        <w:instrText xml:space="preserve"> PAGEREF _Toc47951524 \h </w:instrText>
      </w:r>
      <w:r>
        <w:fldChar w:fldCharType="separate"/>
      </w:r>
      <w:r>
        <w:t>92</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lastRenderedPageBreak/>
        <w:t>Zuzana Kubaščíková</w:t>
      </w:r>
      <w:r>
        <w:rPr>
          <w:vertAlign w:val="superscript"/>
        </w:rPr>
        <w:t>1</w:t>
      </w:r>
      <w:r>
        <w:t>, Miloš Tumpach</w:t>
      </w:r>
      <w:r>
        <w:rPr>
          <w:vertAlign w:val="superscript"/>
        </w:rPr>
        <w:t>2</w:t>
      </w:r>
      <w:r>
        <w:t>, Zuzana Juhászová</w:t>
      </w:r>
      <w:r>
        <w:rPr>
          <w:vertAlign w:val="superscript"/>
        </w:rPr>
        <w:t>3</w:t>
      </w:r>
    </w:p>
    <w:p w:rsidR="005C3F63" w:rsidRDefault="006536E7">
      <w:pPr>
        <w:pStyle w:val="11"/>
        <w:tabs>
          <w:tab w:val="right" w:leader="dot" w:pos="9062"/>
        </w:tabs>
        <w:rPr>
          <w:rFonts w:asciiTheme="minorHAnsi" w:eastAsiaTheme="minorEastAsia" w:hAnsiTheme="minorHAnsi" w:cstheme="minorBidi"/>
          <w:lang w:val="cs-CZ" w:eastAsia="cs-CZ" w:bidi="ar-SA"/>
        </w:rPr>
      </w:pPr>
      <w:r>
        <w:t xml:space="preserve">Creation of united territorial communities in </w:t>
      </w:r>
      <w:bookmarkStart w:id="0" w:name="_GoBack"/>
      <w:r>
        <w:t>Poltava region</w:t>
      </w:r>
      <w:bookmarkEnd w:id="0"/>
      <w:r>
        <w:tab/>
      </w:r>
      <w:r>
        <w:fldChar w:fldCharType="begin"/>
      </w:r>
      <w:r>
        <w:instrText xml:space="preserve"> PAGEREF _Toc47951526 \h </w:instrText>
      </w:r>
      <w:r>
        <w:fldChar w:fldCharType="separate"/>
      </w:r>
      <w:r>
        <w:t>98</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rPr>
          <w:lang w:val="de-DE"/>
        </w:rPr>
        <w:t>Viktoriya Kulyk</w:t>
      </w:r>
      <w:r>
        <w:rPr>
          <w:vertAlign w:val="superscript"/>
          <w:lang w:val="de-DE"/>
        </w:rPr>
        <w:t>1</w:t>
      </w:r>
      <w:r>
        <w:rPr>
          <w:lang w:val="de-DE"/>
        </w:rPr>
        <w:t>, Yevheniya Karpenko</w:t>
      </w:r>
      <w:r>
        <w:rPr>
          <w:vertAlign w:val="superscript"/>
          <w:lang w:val="de-DE"/>
        </w:rPr>
        <w:t>2</w:t>
      </w:r>
      <w:r>
        <w:rPr>
          <w:lang w:val="de-DE"/>
        </w:rPr>
        <w:t>, Michal Hora</w:t>
      </w:r>
      <w:r>
        <w:rPr>
          <w:vertAlign w:val="superscript"/>
          <w:lang w:val="de-DE"/>
        </w:rPr>
        <w:t>3</w:t>
      </w:r>
    </w:p>
    <w:p w:rsidR="005C3F63" w:rsidRDefault="006536E7">
      <w:pPr>
        <w:pStyle w:val="11"/>
        <w:tabs>
          <w:tab w:val="right" w:leader="dot" w:pos="9062"/>
        </w:tabs>
        <w:rPr>
          <w:rFonts w:asciiTheme="minorHAnsi" w:eastAsiaTheme="minorEastAsia" w:hAnsiTheme="minorHAnsi" w:cstheme="minorBidi"/>
          <w:lang w:val="cs-CZ" w:eastAsia="cs-CZ" w:bidi="ar-SA"/>
        </w:rPr>
      </w:pPr>
      <w:r>
        <w:t>Financing of social programs in conflict times on the basis of venture philanthropy: Accounting aspect</w:t>
      </w:r>
      <w:r>
        <w:tab/>
      </w:r>
      <w:r>
        <w:fldChar w:fldCharType="begin"/>
      </w:r>
      <w:r>
        <w:instrText xml:space="preserve"> PAGEREF _Toc47951528 \h </w:instrText>
      </w:r>
      <w:r>
        <w:fldChar w:fldCharType="separate"/>
      </w:r>
      <w:r>
        <w:t>105</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rPr>
          <w:rFonts w:eastAsiaTheme="majorEastAsia"/>
        </w:rPr>
        <w:t>Serhiy Lehenchuk</w:t>
      </w:r>
      <w:r>
        <w:rPr>
          <w:rFonts w:eastAsiaTheme="majorEastAsia"/>
          <w:vertAlign w:val="superscript"/>
        </w:rPr>
        <w:t>1</w:t>
      </w:r>
      <w:r>
        <w:rPr>
          <w:rFonts w:eastAsiaTheme="majorEastAsia"/>
        </w:rPr>
        <w:t>, Iryna Vyhivska</w:t>
      </w:r>
      <w:r>
        <w:rPr>
          <w:rFonts w:eastAsiaTheme="majorEastAsia"/>
          <w:vertAlign w:val="superscript"/>
        </w:rPr>
        <w:t>2</w:t>
      </w:r>
      <w:r>
        <w:t>, H</w:t>
      </w:r>
      <w:r>
        <w:rPr>
          <w:rFonts w:eastAsiaTheme="majorEastAsia"/>
        </w:rPr>
        <w:t>anna Khomenko</w:t>
      </w:r>
      <w:r>
        <w:rPr>
          <w:rFonts w:eastAsiaTheme="majorEastAsia"/>
          <w:vertAlign w:val="superscript"/>
        </w:rPr>
        <w:t>3</w:t>
      </w:r>
    </w:p>
    <w:p w:rsidR="005C3F63" w:rsidRDefault="006536E7">
      <w:pPr>
        <w:pStyle w:val="11"/>
        <w:tabs>
          <w:tab w:val="right" w:leader="dot" w:pos="9062"/>
        </w:tabs>
        <w:rPr>
          <w:rFonts w:asciiTheme="minorHAnsi" w:eastAsiaTheme="minorEastAsia" w:hAnsiTheme="minorHAnsi" w:cstheme="minorBidi"/>
          <w:lang w:val="cs-CZ" w:eastAsia="cs-CZ" w:bidi="ar-SA"/>
        </w:rPr>
      </w:pPr>
      <w:r>
        <w:t xml:space="preserve">Reporting of </w:t>
      </w:r>
      <w:r>
        <w:rPr>
          <w:lang w:val="sk-SK"/>
        </w:rPr>
        <w:t>N</w:t>
      </w:r>
      <w:r>
        <w:t xml:space="preserve">on-financial </w:t>
      </w:r>
      <w:r>
        <w:rPr>
          <w:lang w:val="sk-SK"/>
        </w:rPr>
        <w:t>I</w:t>
      </w:r>
      <w:r>
        <w:t xml:space="preserve">nformation </w:t>
      </w:r>
      <w:r>
        <w:rPr>
          <w:lang w:val="sk-SK"/>
        </w:rPr>
        <w:t>A</w:t>
      </w:r>
      <w:r>
        <w:t>ccording the A</w:t>
      </w:r>
      <w:r>
        <w:rPr>
          <w:lang w:val="sk-SK"/>
        </w:rPr>
        <w:t>ct on A</w:t>
      </w:r>
      <w:r>
        <w:t xml:space="preserve">ccounting and GRI </w:t>
      </w:r>
      <w:r>
        <w:rPr>
          <w:lang w:val="sk-SK"/>
        </w:rPr>
        <w:t>S</w:t>
      </w:r>
      <w:r>
        <w:t xml:space="preserve">tandards with </w:t>
      </w:r>
      <w:r>
        <w:rPr>
          <w:lang w:val="sk-SK"/>
        </w:rPr>
        <w:t>E</w:t>
      </w:r>
      <w:r>
        <w:t>ffect</w:t>
      </w:r>
      <w:r>
        <w:rPr>
          <w:lang w:val="sk-SK"/>
        </w:rPr>
        <w:t xml:space="preserve"> from</w:t>
      </w:r>
      <w:r>
        <w:t xml:space="preserve"> 1. 1. 2020 and 1. 1. 2021</w:t>
      </w:r>
      <w:r>
        <w:tab/>
      </w:r>
      <w:r>
        <w:fldChar w:fldCharType="begin"/>
      </w:r>
      <w:r>
        <w:instrText xml:space="preserve"> PAGEREF _Toc47951530 \h </w:instrText>
      </w:r>
      <w:r>
        <w:fldChar w:fldCharType="separate"/>
      </w:r>
      <w:r>
        <w:t>111</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Kornélia Lovciová</w:t>
      </w:r>
    </w:p>
    <w:p w:rsidR="005C3F63" w:rsidRDefault="006536E7">
      <w:pPr>
        <w:pStyle w:val="11"/>
        <w:tabs>
          <w:tab w:val="right" w:leader="dot" w:pos="9062"/>
        </w:tabs>
        <w:rPr>
          <w:rFonts w:asciiTheme="minorHAnsi" w:eastAsiaTheme="minorEastAsia" w:hAnsiTheme="minorHAnsi" w:cstheme="minorBidi"/>
          <w:lang w:val="cs-CZ" w:eastAsia="cs-CZ" w:bidi="ar-SA"/>
        </w:rPr>
      </w:pPr>
      <w:r>
        <w:t xml:space="preserve">Reducing </w:t>
      </w:r>
      <w:r>
        <w:rPr>
          <w:lang w:val="sk-SK"/>
        </w:rPr>
        <w:t>E</w:t>
      </w:r>
      <w:r>
        <w:t xml:space="preserve">conomic </w:t>
      </w:r>
      <w:r>
        <w:rPr>
          <w:lang w:val="sk-SK"/>
        </w:rPr>
        <w:t>I</w:t>
      </w:r>
      <w:r>
        <w:t xml:space="preserve">mpact </w:t>
      </w:r>
      <w:r>
        <w:rPr>
          <w:lang w:val="sk-SK"/>
        </w:rPr>
        <w:t>of COVID-19 Pan</w:t>
      </w:r>
      <w:r>
        <w:t xml:space="preserve">demic from </w:t>
      </w:r>
      <w:r>
        <w:rPr>
          <w:lang w:val="sk-SK"/>
        </w:rPr>
        <w:t>A</w:t>
      </w:r>
      <w:r>
        <w:t xml:space="preserve">ccounting </w:t>
      </w:r>
      <w:r>
        <w:rPr>
          <w:lang w:val="sk-SK"/>
        </w:rPr>
        <w:t>E</w:t>
      </w:r>
      <w:r>
        <w:t xml:space="preserve">ntity </w:t>
      </w:r>
      <w:r>
        <w:rPr>
          <w:lang w:val="sk-SK"/>
        </w:rPr>
        <w:t>P</w:t>
      </w:r>
      <w:r>
        <w:t>erspective</w:t>
      </w:r>
      <w:r>
        <w:tab/>
      </w:r>
      <w:r>
        <w:fldChar w:fldCharType="begin"/>
      </w:r>
      <w:r>
        <w:instrText xml:space="preserve"> PAGEREF _Toc47951532 \h </w:instrText>
      </w:r>
      <w:r>
        <w:fldChar w:fldCharType="separate"/>
      </w:r>
      <w:r>
        <w:t>119</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rPr>
          <w:rFonts w:eastAsia="Calibri"/>
        </w:rPr>
        <w:t>Katarína Máziková</w:t>
      </w:r>
      <w:r>
        <w:rPr>
          <w:rFonts w:eastAsia="Calibri"/>
          <w:vertAlign w:val="superscript"/>
        </w:rPr>
        <w:t>1</w:t>
      </w:r>
      <w:r>
        <w:rPr>
          <w:rFonts w:eastAsia="Calibri"/>
        </w:rPr>
        <w:t>, Renáta Antalová</w:t>
      </w:r>
      <w:r>
        <w:rPr>
          <w:rFonts w:eastAsia="Calibri"/>
          <w:vertAlign w:val="superscript"/>
        </w:rPr>
        <w:t>2</w:t>
      </w:r>
    </w:p>
    <w:p w:rsidR="005C3F63" w:rsidRDefault="006536E7">
      <w:pPr>
        <w:pStyle w:val="11"/>
        <w:tabs>
          <w:tab w:val="right" w:leader="dot" w:pos="9062"/>
        </w:tabs>
        <w:rPr>
          <w:rFonts w:asciiTheme="minorHAnsi" w:eastAsiaTheme="minorEastAsia" w:hAnsiTheme="minorHAnsi" w:cstheme="minorBidi"/>
          <w:lang w:val="cs-CZ" w:eastAsia="cs-CZ" w:bidi="ar-SA"/>
        </w:rPr>
      </w:pPr>
      <w:r>
        <w:t xml:space="preserve">Changes in </w:t>
      </w:r>
      <w:r>
        <w:rPr>
          <w:lang w:val="sk-SK"/>
        </w:rPr>
        <w:t>L</w:t>
      </w:r>
      <w:r>
        <w:t xml:space="preserve">abor </w:t>
      </w:r>
      <w:r>
        <w:rPr>
          <w:lang w:val="sk-SK"/>
        </w:rPr>
        <w:t>L</w:t>
      </w:r>
      <w:r>
        <w:t xml:space="preserve">aw and their </w:t>
      </w:r>
      <w:r>
        <w:rPr>
          <w:lang w:val="sk-SK"/>
        </w:rPr>
        <w:t>I</w:t>
      </w:r>
      <w:r>
        <w:t xml:space="preserve">mpact on </w:t>
      </w:r>
      <w:r>
        <w:rPr>
          <w:lang w:val="sk-SK"/>
        </w:rPr>
        <w:t>B</w:t>
      </w:r>
      <w:r>
        <w:t xml:space="preserve">usiness </w:t>
      </w:r>
      <w:r>
        <w:rPr>
          <w:lang w:val="sk-SK"/>
        </w:rPr>
        <w:t>E</w:t>
      </w:r>
      <w:r>
        <w:t>nvironment in the Slovak Republic</w:t>
      </w:r>
      <w:r>
        <w:tab/>
      </w:r>
      <w:r>
        <w:fldChar w:fldCharType="begin"/>
      </w:r>
      <w:r>
        <w:instrText xml:space="preserve"> PAGEREF _Toc47951534 \h </w:instrText>
      </w:r>
      <w:r>
        <w:fldChar w:fldCharType="separate"/>
      </w:r>
      <w:r>
        <w:t>124</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Jitka Meluchová</w:t>
      </w:r>
      <w:r>
        <w:rPr>
          <w:vertAlign w:val="superscript"/>
        </w:rPr>
        <w:t>1</w:t>
      </w:r>
      <w:r>
        <w:t>, Martina Mateášová</w:t>
      </w:r>
      <w:r>
        <w:rPr>
          <w:vertAlign w:val="superscript"/>
        </w:rPr>
        <w:t>2</w:t>
      </w:r>
    </w:p>
    <w:p w:rsidR="005C3F63" w:rsidRDefault="006536E7">
      <w:pPr>
        <w:pStyle w:val="11"/>
        <w:tabs>
          <w:tab w:val="right" w:leader="dot" w:pos="9062"/>
        </w:tabs>
        <w:rPr>
          <w:rFonts w:asciiTheme="minorHAnsi" w:eastAsiaTheme="minorEastAsia" w:hAnsiTheme="minorHAnsi" w:cstheme="minorBidi"/>
          <w:lang w:val="cs-CZ" w:eastAsia="cs-CZ" w:bidi="ar-SA"/>
        </w:rPr>
      </w:pPr>
      <w:r>
        <w:t>Technical improvement and repairs of fixed assets in the view of the case law of the Supreme Administrative Court</w:t>
      </w:r>
      <w:r>
        <w:tab/>
      </w:r>
      <w:r>
        <w:fldChar w:fldCharType="begin"/>
      </w:r>
      <w:r>
        <w:instrText xml:space="preserve"> PAGEREF _Toc47951536 \h </w:instrText>
      </w:r>
      <w:r>
        <w:fldChar w:fldCharType="separate"/>
      </w:r>
      <w:r>
        <w:t>130</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Libuše Müllerová</w:t>
      </w:r>
      <w:r>
        <w:rPr>
          <w:vertAlign w:val="superscript"/>
        </w:rPr>
        <w:t>1</w:t>
      </w:r>
      <w:r>
        <w:t>, Michal Šindelář</w:t>
      </w:r>
      <w:r>
        <w:rPr>
          <w:vertAlign w:val="superscript"/>
        </w:rPr>
        <w:t>2</w:t>
      </w:r>
    </w:p>
    <w:p w:rsidR="005C3F63" w:rsidRDefault="006536E7">
      <w:pPr>
        <w:pStyle w:val="11"/>
        <w:tabs>
          <w:tab w:val="right" w:leader="dot" w:pos="9062"/>
        </w:tabs>
        <w:rPr>
          <w:rFonts w:asciiTheme="minorHAnsi" w:eastAsiaTheme="minorEastAsia" w:hAnsiTheme="minorHAnsi" w:cstheme="minorBidi"/>
          <w:lang w:val="cs-CZ" w:eastAsia="cs-CZ" w:bidi="ar-SA"/>
        </w:rPr>
      </w:pPr>
      <w:r>
        <w:t xml:space="preserve">Statutory </w:t>
      </w:r>
      <w:r>
        <w:rPr>
          <w:lang w:val="sk-SK"/>
        </w:rPr>
        <w:t>S</w:t>
      </w:r>
      <w:r>
        <w:t xml:space="preserve">ocial and </w:t>
      </w:r>
      <w:r>
        <w:rPr>
          <w:lang w:val="sk-SK"/>
        </w:rPr>
        <w:t>H</w:t>
      </w:r>
      <w:r>
        <w:t xml:space="preserve">ealth </w:t>
      </w:r>
      <w:r>
        <w:rPr>
          <w:lang w:val="sk-SK"/>
        </w:rPr>
        <w:t>I</w:t>
      </w:r>
      <w:r>
        <w:t xml:space="preserve">nsurance of </w:t>
      </w:r>
      <w:r>
        <w:rPr>
          <w:lang w:val="sk-SK"/>
        </w:rPr>
        <w:t>E</w:t>
      </w:r>
      <w:r>
        <w:t xml:space="preserve">ntrepreneurs and </w:t>
      </w:r>
      <w:r>
        <w:rPr>
          <w:lang w:val="sk-SK"/>
        </w:rPr>
        <w:t>E</w:t>
      </w:r>
      <w:r>
        <w:t>mployees in the Slovak Republic in 2020</w:t>
      </w:r>
      <w:r>
        <w:tab/>
      </w:r>
      <w:r>
        <w:fldChar w:fldCharType="begin"/>
      </w:r>
      <w:r>
        <w:instrText xml:space="preserve"> PAGEREF _Toc47951538 \h </w:instrText>
      </w:r>
      <w:r>
        <w:fldChar w:fldCharType="separate"/>
      </w:r>
      <w:r>
        <w:t>136</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Renáta Pakšiová</w:t>
      </w:r>
    </w:p>
    <w:p w:rsidR="005C3F63" w:rsidRDefault="006536E7">
      <w:pPr>
        <w:pStyle w:val="11"/>
        <w:tabs>
          <w:tab w:val="right" w:leader="dot" w:pos="9062"/>
        </w:tabs>
        <w:rPr>
          <w:rFonts w:asciiTheme="minorHAnsi" w:eastAsiaTheme="minorEastAsia" w:hAnsiTheme="minorHAnsi" w:cstheme="minorBidi"/>
          <w:lang w:val="cs-CZ" w:eastAsia="cs-CZ" w:bidi="ar-SA"/>
        </w:rPr>
      </w:pPr>
      <w:r>
        <w:t>Possibilities for Voluntary IFRS Adoption in the Slovak Republic</w:t>
      </w:r>
      <w:r>
        <w:tab/>
      </w:r>
      <w:r>
        <w:fldChar w:fldCharType="begin"/>
      </w:r>
      <w:r>
        <w:instrText xml:space="preserve"> PAGEREF _Toc47951540 \h </w:instrText>
      </w:r>
      <w:r>
        <w:fldChar w:fldCharType="separate"/>
      </w:r>
      <w:r>
        <w:t>143</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Branislav Parajka</w:t>
      </w:r>
    </w:p>
    <w:p w:rsidR="005C3F63" w:rsidRDefault="006536E7">
      <w:pPr>
        <w:pStyle w:val="11"/>
        <w:tabs>
          <w:tab w:val="right" w:leader="dot" w:pos="9062"/>
        </w:tabs>
        <w:rPr>
          <w:rFonts w:asciiTheme="minorHAnsi" w:eastAsiaTheme="minorEastAsia" w:hAnsiTheme="minorHAnsi" w:cstheme="minorBidi"/>
          <w:lang w:val="cs-CZ" w:eastAsia="cs-CZ" w:bidi="ar-SA"/>
        </w:rPr>
      </w:pPr>
      <w:r>
        <w:t>Improving the bank’s accounting system in conditions of permanent change</w:t>
      </w:r>
      <w:r>
        <w:tab/>
      </w:r>
      <w:r>
        <w:fldChar w:fldCharType="begin"/>
      </w:r>
      <w:r>
        <w:instrText xml:space="preserve"> PAGEREF _Toc47951542 \h </w:instrText>
      </w:r>
      <w:r>
        <w:fldChar w:fldCharType="separate"/>
      </w:r>
      <w:r>
        <w:t>148</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Pavlo Petrov</w:t>
      </w:r>
      <w:r>
        <w:rPr>
          <w:vertAlign w:val="superscript"/>
        </w:rPr>
        <w:t>1</w:t>
      </w:r>
      <w:r>
        <w:t>, Michal Hora</w:t>
      </w:r>
      <w:r>
        <w:rPr>
          <w:vertAlign w:val="superscript"/>
        </w:rPr>
        <w:t>2</w:t>
      </w:r>
      <w:r>
        <w:t>, Lyudmyla Chyzhevska</w:t>
      </w:r>
      <w:r>
        <w:rPr>
          <w:vertAlign w:val="superscript"/>
        </w:rPr>
        <w:t>3</w:t>
      </w:r>
    </w:p>
    <w:p w:rsidR="005C3F63" w:rsidRDefault="006536E7">
      <w:pPr>
        <w:pStyle w:val="11"/>
        <w:tabs>
          <w:tab w:val="right" w:leader="dot" w:pos="9062"/>
        </w:tabs>
        <w:rPr>
          <w:rFonts w:asciiTheme="minorHAnsi" w:eastAsiaTheme="minorEastAsia" w:hAnsiTheme="minorHAnsi" w:cstheme="minorBidi"/>
          <w:lang w:val="cs-CZ" w:eastAsia="cs-CZ" w:bidi="ar-SA"/>
        </w:rPr>
      </w:pPr>
      <w:r>
        <w:t xml:space="preserve">Legal and </w:t>
      </w:r>
      <w:r>
        <w:rPr>
          <w:lang w:val="sk-SK"/>
        </w:rPr>
        <w:t>A</w:t>
      </w:r>
      <w:r>
        <w:t xml:space="preserve">ccounting </w:t>
      </w:r>
      <w:r>
        <w:rPr>
          <w:lang w:val="sk-SK"/>
        </w:rPr>
        <w:t>A</w:t>
      </w:r>
      <w:r>
        <w:t xml:space="preserve">spects of </w:t>
      </w:r>
      <w:r>
        <w:rPr>
          <w:lang w:val="sk-SK"/>
        </w:rPr>
        <w:t>S</w:t>
      </w:r>
      <w:r>
        <w:t xml:space="preserve">ale of </w:t>
      </w:r>
      <w:r>
        <w:rPr>
          <w:lang w:val="sk-SK"/>
        </w:rPr>
        <w:t>B</w:t>
      </w:r>
      <w:r>
        <w:t>usiness in the Slovak Republic</w:t>
      </w:r>
      <w:r>
        <w:tab/>
      </w:r>
      <w:r>
        <w:fldChar w:fldCharType="begin"/>
      </w:r>
      <w:r>
        <w:instrText xml:space="preserve"> PAGEREF _Toc47951544 \h </w:instrText>
      </w:r>
      <w:r>
        <w:fldChar w:fldCharType="separate"/>
      </w:r>
      <w:r>
        <w:t>154</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Martina Podmanická</w:t>
      </w:r>
    </w:p>
    <w:p w:rsidR="005C3F63" w:rsidRDefault="006536E7">
      <w:pPr>
        <w:pStyle w:val="11"/>
        <w:tabs>
          <w:tab w:val="right" w:leader="dot" w:pos="9062"/>
        </w:tabs>
        <w:rPr>
          <w:rFonts w:asciiTheme="minorHAnsi" w:eastAsiaTheme="minorEastAsia" w:hAnsiTheme="minorHAnsi" w:cstheme="minorBidi"/>
          <w:lang w:val="cs-CZ" w:eastAsia="cs-CZ" w:bidi="ar-SA"/>
        </w:rPr>
      </w:pPr>
      <w:r>
        <w:t>Amendments to IFRS 16 and conceptual underpinnings of financial reporting</w:t>
      </w:r>
      <w:r>
        <w:tab/>
      </w:r>
      <w:r>
        <w:fldChar w:fldCharType="begin"/>
      </w:r>
      <w:r>
        <w:instrText xml:space="preserve"> PAGEREF _Toc47951546 \h </w:instrText>
      </w:r>
      <w:r>
        <w:fldChar w:fldCharType="separate"/>
      </w:r>
      <w:r>
        <w:t>159</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David Procházka</w:t>
      </w:r>
    </w:p>
    <w:p w:rsidR="005C3F63" w:rsidRDefault="006536E7">
      <w:pPr>
        <w:pStyle w:val="11"/>
        <w:tabs>
          <w:tab w:val="right" w:leader="dot" w:pos="9062"/>
        </w:tabs>
        <w:rPr>
          <w:rFonts w:asciiTheme="minorHAnsi" w:eastAsiaTheme="minorEastAsia" w:hAnsiTheme="minorHAnsi" w:cstheme="minorBidi"/>
          <w:lang w:val="cs-CZ" w:eastAsia="cs-CZ" w:bidi="ar-SA"/>
        </w:rPr>
      </w:pPr>
      <w:r>
        <w:t>Risks of Material Irregularities Contained in Financial Statements</w:t>
      </w:r>
      <w:r>
        <w:tab/>
      </w:r>
      <w:r>
        <w:fldChar w:fldCharType="begin"/>
      </w:r>
      <w:r>
        <w:instrText xml:space="preserve"> PAGEREF _Toc47951548 \h </w:instrText>
      </w:r>
      <w:r>
        <w:fldChar w:fldCharType="separate"/>
      </w:r>
      <w:r>
        <w:t>164</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Katarína Sigetová</w:t>
      </w:r>
    </w:p>
    <w:p w:rsidR="005C3F63" w:rsidRDefault="006536E7">
      <w:pPr>
        <w:pStyle w:val="11"/>
        <w:tabs>
          <w:tab w:val="right" w:leader="dot" w:pos="9062"/>
        </w:tabs>
        <w:rPr>
          <w:rFonts w:asciiTheme="minorHAnsi" w:eastAsiaTheme="minorEastAsia" w:hAnsiTheme="minorHAnsi" w:cstheme="minorBidi"/>
          <w:lang w:val="cs-CZ" w:eastAsia="cs-CZ" w:bidi="ar-SA"/>
        </w:rPr>
      </w:pPr>
      <w:r>
        <w:t>Regulation of Measurement in an Insurance Company</w:t>
      </w:r>
      <w:r>
        <w:tab/>
      </w:r>
      <w:r>
        <w:fldChar w:fldCharType="begin"/>
      </w:r>
      <w:r>
        <w:instrText xml:space="preserve"> PAGEREF _Toc47951550 \h </w:instrText>
      </w:r>
      <w:r>
        <w:fldChar w:fldCharType="separate"/>
      </w:r>
      <w:r>
        <w:t>169</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Petra Srnišová</w:t>
      </w:r>
    </w:p>
    <w:p w:rsidR="005C3F63" w:rsidRDefault="006536E7">
      <w:pPr>
        <w:pStyle w:val="11"/>
        <w:tabs>
          <w:tab w:val="right" w:leader="dot" w:pos="9062"/>
        </w:tabs>
        <w:rPr>
          <w:rFonts w:asciiTheme="minorHAnsi" w:eastAsiaTheme="minorEastAsia" w:hAnsiTheme="minorHAnsi" w:cstheme="minorBidi"/>
          <w:lang w:val="cs-CZ" w:eastAsia="cs-CZ" w:bidi="ar-SA"/>
        </w:rPr>
      </w:pPr>
      <w:r>
        <w:t>Statutory Audit of Consolidated Financial Statements</w:t>
      </w:r>
      <w:r>
        <w:tab/>
      </w:r>
      <w:r>
        <w:fldChar w:fldCharType="begin"/>
      </w:r>
      <w:r>
        <w:instrText xml:space="preserve"> PAGEREF _Toc47951552 \h </w:instrText>
      </w:r>
      <w:r>
        <w:fldChar w:fldCharType="separate"/>
      </w:r>
      <w:r>
        <w:t>174</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Lenka Užíková</w:t>
      </w:r>
    </w:p>
    <w:p w:rsidR="005C3F63" w:rsidRDefault="006536E7">
      <w:pPr>
        <w:pStyle w:val="11"/>
        <w:tabs>
          <w:tab w:val="right" w:leader="dot" w:pos="9062"/>
        </w:tabs>
        <w:rPr>
          <w:rFonts w:asciiTheme="minorHAnsi" w:eastAsiaTheme="minorEastAsia" w:hAnsiTheme="minorHAnsi" w:cstheme="minorBidi"/>
          <w:lang w:val="cs-CZ" w:eastAsia="cs-CZ" w:bidi="ar-SA"/>
        </w:rPr>
      </w:pPr>
      <w:r>
        <w:t>Lesson learned from the coerced application of e-learning in the management accounting course during COVID-19 pandemic</w:t>
      </w:r>
      <w:r>
        <w:tab/>
      </w:r>
      <w:r>
        <w:fldChar w:fldCharType="begin"/>
      </w:r>
      <w:r>
        <w:instrText xml:space="preserve"> PAGEREF _Toc47951554 \h </w:instrText>
      </w:r>
      <w:r>
        <w:fldChar w:fldCharType="separate"/>
      </w:r>
      <w:r>
        <w:t>179</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t>Jaroslav Wagner, Aneta Křehnáčová</w:t>
      </w:r>
    </w:p>
    <w:p w:rsidR="005C3F63" w:rsidRDefault="006536E7">
      <w:pPr>
        <w:pStyle w:val="11"/>
        <w:tabs>
          <w:tab w:val="right" w:leader="dot" w:pos="9062"/>
        </w:tabs>
        <w:rPr>
          <w:rFonts w:asciiTheme="minorHAnsi" w:eastAsiaTheme="minorEastAsia" w:hAnsiTheme="minorHAnsi" w:cstheme="minorBidi"/>
          <w:lang w:val="cs-CZ" w:eastAsia="cs-CZ" w:bidi="ar-SA"/>
        </w:rPr>
      </w:pPr>
      <w:r>
        <w:t>Labor and entrepreneurship in the context of religious values systems</w:t>
      </w:r>
      <w:r>
        <w:tab/>
      </w:r>
      <w:r>
        <w:fldChar w:fldCharType="begin"/>
      </w:r>
      <w:r>
        <w:instrText xml:space="preserve"> PAGEREF _Toc47951556 \h </w:instrText>
      </w:r>
      <w:r>
        <w:fldChar w:fldCharType="separate"/>
      </w:r>
      <w:r>
        <w:t>184</w:t>
      </w:r>
      <w:r>
        <w:fldChar w:fldCharType="end"/>
      </w:r>
    </w:p>
    <w:p w:rsidR="005C3F63" w:rsidRDefault="006536E7">
      <w:pPr>
        <w:pStyle w:val="23"/>
        <w:tabs>
          <w:tab w:val="right" w:leader="dot" w:pos="9062"/>
        </w:tabs>
        <w:rPr>
          <w:rFonts w:asciiTheme="minorHAnsi" w:eastAsiaTheme="minorEastAsia" w:hAnsiTheme="minorHAnsi" w:cstheme="minorBidi"/>
          <w:i w:val="0"/>
          <w:sz w:val="22"/>
          <w:lang w:val="cs-CZ" w:eastAsia="cs-CZ" w:bidi="ar-SA"/>
        </w:rPr>
      </w:pPr>
      <w:r>
        <w:rPr>
          <w:rFonts w:eastAsia="Calibri"/>
        </w:rPr>
        <w:t>Olena Zyza</w:t>
      </w:r>
      <w:r>
        <w:rPr>
          <w:rFonts w:eastAsia="Calibri"/>
          <w:vertAlign w:val="superscript"/>
        </w:rPr>
        <w:t>1</w:t>
      </w:r>
      <w:r>
        <w:rPr>
          <w:rFonts w:eastAsia="Calibri"/>
        </w:rPr>
        <w:t>, Inna Lazaryshyna</w:t>
      </w:r>
      <w:r>
        <w:rPr>
          <w:rFonts w:eastAsia="Calibri"/>
          <w:vertAlign w:val="superscript"/>
        </w:rPr>
        <w:t>2</w:t>
      </w:r>
      <w:r>
        <w:rPr>
          <w:rFonts w:eastAsia="Calibri"/>
        </w:rPr>
        <w:t>, Petro Ostroverkh</w:t>
      </w:r>
      <w:r>
        <w:rPr>
          <w:rFonts w:eastAsia="Calibri"/>
          <w:vertAlign w:val="superscript"/>
        </w:rPr>
        <w:t>3</w:t>
      </w:r>
    </w:p>
    <w:p w:rsidR="005C3F63" w:rsidRDefault="006536E7">
      <w:pPr>
        <w:rPr>
          <w:b/>
          <w:smallCaps/>
          <w:sz w:val="32"/>
          <w:szCs w:val="28"/>
          <w:lang w:val="sk-SK" w:eastAsia="cs-CZ" w:bidi="ar-SA"/>
        </w:rPr>
      </w:pPr>
      <w:r>
        <w:rPr>
          <w:rFonts w:ascii="Verdana" w:hAnsi="Verdana"/>
          <w:sz w:val="22"/>
          <w:lang w:val="sk-SK" w:eastAsia="cs-CZ" w:bidi="ar-SA"/>
        </w:rPr>
        <w:fldChar w:fldCharType="end"/>
      </w:r>
    </w:p>
    <w:p w:rsidR="005C3F63" w:rsidRDefault="005C3F63">
      <w:pPr>
        <w:spacing w:after="120"/>
        <w:jc w:val="left"/>
        <w:rPr>
          <w:b/>
          <w:smallCaps/>
          <w:sz w:val="32"/>
          <w:szCs w:val="28"/>
          <w:lang w:val="sk-SK" w:eastAsia="cs-CZ" w:bidi="ar-SA"/>
        </w:rPr>
        <w:sectPr w:rsidR="005C3F63">
          <w:headerReference w:type="default" r:id="rId13"/>
          <w:footerReference w:type="default" r:id="rId14"/>
          <w:pgSz w:w="11906" w:h="16838"/>
          <w:pgMar w:top="1417" w:right="1417" w:bottom="1417" w:left="1417" w:header="708" w:footer="708" w:gutter="0"/>
          <w:pgNumType w:start="1"/>
          <w:cols w:space="708"/>
          <w:titlePg/>
          <w:docGrid w:linePitch="360"/>
        </w:sectPr>
      </w:pPr>
    </w:p>
    <w:p w:rsidR="005C3F63" w:rsidRDefault="006536E7">
      <w:pPr>
        <w:jc w:val="left"/>
        <w:rPr>
          <w:b/>
          <w:smallCaps/>
          <w:sz w:val="32"/>
          <w:szCs w:val="28"/>
          <w:lang w:val="sk-SK" w:eastAsia="cs-CZ" w:bidi="ar-SA"/>
        </w:rPr>
      </w:pPr>
      <w:r>
        <w:rPr>
          <w:b/>
          <w:smallCaps/>
          <w:sz w:val="32"/>
          <w:szCs w:val="28"/>
          <w:lang w:val="sk-SK" w:eastAsia="cs-CZ" w:bidi="ar-SA"/>
        </w:rPr>
        <w:lastRenderedPageBreak/>
        <w:br w:type="page"/>
      </w:r>
    </w:p>
    <w:p w:rsidR="005C3F63" w:rsidRDefault="006536E7">
      <w:pPr>
        <w:pStyle w:val="1"/>
        <w:jc w:val="left"/>
        <w:rPr>
          <w:sz w:val="28"/>
          <w:szCs w:val="28"/>
          <w:lang w:val="sk-SK"/>
        </w:rPr>
      </w:pPr>
      <w:bookmarkStart w:id="1" w:name="_Toc47951493"/>
      <w:r>
        <w:rPr>
          <w:sz w:val="28"/>
          <w:szCs w:val="28"/>
          <w:lang w:val="sk-SK"/>
        </w:rPr>
        <w:lastRenderedPageBreak/>
        <w:t>Úvod</w:t>
      </w:r>
      <w:bookmarkEnd w:id="1"/>
    </w:p>
    <w:p w:rsidR="005C3F63" w:rsidRDefault="006536E7">
      <w:pPr>
        <w:rPr>
          <w:rFonts w:ascii="Verdana" w:hAnsi="Verdana"/>
          <w:lang w:val="cs-CZ"/>
        </w:rPr>
      </w:pPr>
      <w:r>
        <w:rPr>
          <w:rFonts w:ascii="Verdana" w:hAnsi="Verdana"/>
          <w:lang w:val="cs-CZ"/>
        </w:rPr>
        <w:t xml:space="preserve">Rok 2020 a 20. ročník mezinárodní vědecké konference </w:t>
      </w:r>
      <w:r>
        <w:rPr>
          <w:rFonts w:ascii="Verdana" w:hAnsi="Verdana"/>
          <w:i/>
          <w:iCs/>
          <w:lang w:val="cs-CZ"/>
        </w:rPr>
        <w:t>„Účetnictví a auditing v procesu světové harmonice“</w:t>
      </w:r>
      <w:r>
        <w:rPr>
          <w:rFonts w:ascii="Verdana" w:hAnsi="Verdana"/>
          <w:lang w:val="cs-CZ"/>
        </w:rPr>
        <w:t xml:space="preserve">, jejíž pravidelné pořádání je jedním z výsledků dlouhodobé spolupráce katedry finančního účetnictví a auditingu a katedry manažerského účetnictví Fakulty financí a účetnictví Vysoké školy ekonomické v Praze a katedry účtovnictva a auditorstva Ekonomickej univerzity v Bratislave. Když české katedry převzaly vloni na podzim pomyslný štafetový kolík, aby se ujaly příprav jubilejního ročníku konference, nikdo z nás netušil, v jakém rozsahu bude letošní ročník zasažen „vyšší mocí“ a že se možná naše pravidelné setkání vůbec neuskuteční. Ještě v okamžiku psaní tohoto úvodníku musí </w:t>
      </w:r>
      <w:r>
        <w:rPr>
          <w:rFonts w:ascii="Verdana" w:hAnsi="Verdana"/>
          <w:i/>
          <w:iCs/>
          <w:lang w:val="cs-CZ"/>
        </w:rPr>
        <w:t>Organizační výbor</w:t>
      </w:r>
      <w:r>
        <w:rPr>
          <w:rFonts w:ascii="Verdana" w:hAnsi="Verdana"/>
          <w:lang w:val="cs-CZ"/>
        </w:rPr>
        <w:t xml:space="preserve"> i účastníci konference doufat, že epidemiologická situace zůstane dobrá a konference proběhne tradiční osobní formou a nebude nutné ji přesunout do online prostředí.  </w:t>
      </w:r>
    </w:p>
    <w:p w:rsidR="005C3F63" w:rsidRDefault="005C3F63">
      <w:pPr>
        <w:rPr>
          <w:rFonts w:ascii="Verdana" w:hAnsi="Verdana"/>
          <w:lang w:val="cs-CZ"/>
        </w:rPr>
      </w:pPr>
    </w:p>
    <w:p w:rsidR="005C3F63" w:rsidRDefault="006536E7">
      <w:pPr>
        <w:rPr>
          <w:rFonts w:ascii="Verdana" w:hAnsi="Verdana"/>
          <w:lang w:val="cs-CZ"/>
        </w:rPr>
      </w:pPr>
      <w:r>
        <w:rPr>
          <w:rFonts w:ascii="Verdana" w:hAnsi="Verdana"/>
          <w:lang w:val="cs-CZ"/>
        </w:rPr>
        <w:t xml:space="preserve">I proto bych chtěl letos obzvláště poděkovat všem autorům, že zachovali konferenci přízeň a zaslali své příspěvky zaměřené na teoretické i empirické aspekty výzkumu v oblasti účetnictví a auditingu ve středoevropském regionu. Všechny příspěvky publikované ve sborníku prošly standardním recenzním řízením, který měl v gesci </w:t>
      </w:r>
      <w:r>
        <w:rPr>
          <w:rFonts w:ascii="Verdana" w:hAnsi="Verdana"/>
          <w:i/>
          <w:iCs/>
          <w:lang w:val="cs-CZ"/>
        </w:rPr>
        <w:t>Vědecký výbor</w:t>
      </w:r>
      <w:r>
        <w:rPr>
          <w:rFonts w:ascii="Verdana" w:hAnsi="Verdana"/>
          <w:lang w:val="cs-CZ"/>
        </w:rPr>
        <w:t xml:space="preserve"> a jím pověření recenzenti. Čtenář získá přehled nejen o aktuálním výzkumu v této sféře, ale i o interakci výzkumu s účetní a auditorskou profesí. Význam tohoto propojení se projevuje i v zaměření mnoha příspěvků, ve kterých se autoři zabývají dopadem pandemie COVID-19 na účetní závěrky a jejich ověřování auditory. </w:t>
      </w:r>
    </w:p>
    <w:p w:rsidR="005C3F63" w:rsidRDefault="005C3F63">
      <w:pPr>
        <w:rPr>
          <w:rFonts w:ascii="Verdana" w:hAnsi="Verdana"/>
          <w:lang w:val="cs-CZ"/>
        </w:rPr>
      </w:pPr>
    </w:p>
    <w:p w:rsidR="005C3F63" w:rsidRDefault="006536E7">
      <w:pPr>
        <w:rPr>
          <w:rFonts w:ascii="Verdana" w:hAnsi="Verdana"/>
          <w:lang w:val="sk-SK"/>
        </w:rPr>
      </w:pPr>
      <w:r>
        <w:rPr>
          <w:rFonts w:ascii="Verdana" w:hAnsi="Verdana"/>
          <w:lang w:val="cs-CZ"/>
        </w:rPr>
        <w:t>Poděkování patří všem, kteří se podíleli na přípravě a zajištění konference, zejména členům vědeckého a organizačního výboru konference a recenzentům. Doufám, že kromě odborné diskuze nad jednotlivými příspěvky bude mít konference pro účastníky jako tradičně i pozitivní společenský rozměr.</w:t>
      </w:r>
      <w:r>
        <w:rPr>
          <w:rFonts w:ascii="Verdana" w:hAnsi="Verdana"/>
          <w:lang w:val="sk-SK"/>
        </w:rPr>
        <w:t xml:space="preserve">  </w:t>
      </w:r>
    </w:p>
    <w:p w:rsidR="005C3F63" w:rsidRDefault="005C3F63">
      <w:pPr>
        <w:rPr>
          <w:rFonts w:ascii="Verdana" w:hAnsi="Verdana"/>
          <w:lang w:val="sk-SK"/>
        </w:rPr>
      </w:pPr>
    </w:p>
    <w:p w:rsidR="005C3F63" w:rsidRDefault="006536E7">
      <w:pPr>
        <w:rPr>
          <w:rFonts w:ascii="Verdana" w:hAnsi="Verdana"/>
          <w:lang w:val="sk-SK"/>
        </w:rPr>
      </w:pPr>
      <w:r>
        <w:rPr>
          <w:rFonts w:ascii="Verdana" w:hAnsi="Verdana"/>
          <w:lang w:val="sk-SK"/>
        </w:rPr>
        <w:t>Za Vědecký výbor konference</w:t>
      </w:r>
    </w:p>
    <w:p w:rsidR="005C3F63" w:rsidRDefault="005C3F63">
      <w:pPr>
        <w:rPr>
          <w:rFonts w:ascii="Verdana" w:hAnsi="Verdana"/>
          <w:lang w:val="sk-SK"/>
        </w:rPr>
      </w:pPr>
    </w:p>
    <w:p w:rsidR="005C3F63" w:rsidRDefault="005C3F63">
      <w:pPr>
        <w:rPr>
          <w:rFonts w:ascii="Verdana" w:hAnsi="Verdana"/>
          <w:lang w:val="sk-SK"/>
        </w:rPr>
      </w:pPr>
    </w:p>
    <w:p w:rsidR="005C3F63" w:rsidRDefault="006536E7">
      <w:pPr>
        <w:rPr>
          <w:rFonts w:ascii="Verdana" w:hAnsi="Verdana"/>
          <w:lang w:val="sk-SK"/>
        </w:rPr>
      </w:pPr>
      <w:r>
        <w:rPr>
          <w:rFonts w:ascii="Verdana" w:hAnsi="Verdana"/>
          <w:lang w:val="sk-SK"/>
        </w:rPr>
        <w:tab/>
      </w:r>
      <w:r>
        <w:rPr>
          <w:rFonts w:ascii="Verdana" w:hAnsi="Verdana"/>
          <w:lang w:val="sk-SK"/>
        </w:rPr>
        <w:tab/>
      </w:r>
      <w:r>
        <w:rPr>
          <w:rFonts w:ascii="Verdana" w:hAnsi="Verdana"/>
          <w:lang w:val="sk-SK"/>
        </w:rPr>
        <w:tab/>
      </w:r>
      <w:r>
        <w:rPr>
          <w:rFonts w:ascii="Verdana" w:hAnsi="Verdana"/>
          <w:lang w:val="sk-SK"/>
        </w:rPr>
        <w:tab/>
        <w:t>doc. Ing. David Procházka, Ph.D.</w:t>
      </w:r>
    </w:p>
    <w:p w:rsidR="005C3F63" w:rsidRDefault="006536E7">
      <w:pPr>
        <w:rPr>
          <w:rFonts w:ascii="Verdana" w:hAnsi="Verdana"/>
          <w:lang w:val="sk-SK"/>
        </w:rPr>
      </w:pPr>
      <w:r>
        <w:rPr>
          <w:rFonts w:ascii="Verdana" w:hAnsi="Verdana"/>
          <w:lang w:val="sk-SK"/>
        </w:rPr>
        <w:tab/>
      </w:r>
      <w:r>
        <w:rPr>
          <w:rFonts w:ascii="Verdana" w:hAnsi="Verdana"/>
          <w:lang w:val="sk-SK"/>
        </w:rPr>
        <w:tab/>
      </w:r>
      <w:r>
        <w:rPr>
          <w:rFonts w:ascii="Verdana" w:hAnsi="Verdana"/>
          <w:lang w:val="sk-SK"/>
        </w:rPr>
        <w:tab/>
      </w:r>
      <w:r>
        <w:rPr>
          <w:rFonts w:ascii="Verdana" w:hAnsi="Verdana"/>
          <w:lang w:val="sk-SK"/>
        </w:rPr>
        <w:tab/>
        <w:t>vedoucí katedry finančního účetnictví a auditingu</w:t>
      </w:r>
    </w:p>
    <w:p w:rsidR="005C3F63" w:rsidRDefault="006536E7">
      <w:pPr>
        <w:rPr>
          <w:rFonts w:ascii="Verdana" w:hAnsi="Verdana"/>
          <w:lang w:val="sk-SK"/>
        </w:rPr>
      </w:pPr>
      <w:r>
        <w:rPr>
          <w:rFonts w:ascii="Verdana" w:hAnsi="Verdana"/>
          <w:lang w:val="sk-SK"/>
        </w:rPr>
        <w:tab/>
      </w:r>
      <w:r>
        <w:rPr>
          <w:rFonts w:ascii="Verdana" w:hAnsi="Verdana"/>
          <w:lang w:val="sk-SK"/>
        </w:rPr>
        <w:tab/>
      </w:r>
      <w:r>
        <w:rPr>
          <w:rFonts w:ascii="Verdana" w:hAnsi="Verdana"/>
          <w:lang w:val="sk-SK"/>
        </w:rPr>
        <w:tab/>
      </w:r>
      <w:r>
        <w:rPr>
          <w:rFonts w:ascii="Verdana" w:hAnsi="Verdana"/>
          <w:lang w:val="sk-SK"/>
        </w:rPr>
        <w:tab/>
        <w:t>Vysoká škola ekonomická v Praze</w:t>
      </w:r>
    </w:p>
    <w:p w:rsidR="005C3F63" w:rsidRDefault="005C3F63">
      <w:pPr>
        <w:rPr>
          <w:rFonts w:ascii="Verdana" w:hAnsi="Verdana"/>
          <w:lang w:val="sk-SK"/>
        </w:rPr>
      </w:pPr>
    </w:p>
    <w:p w:rsidR="005C3F63" w:rsidRDefault="005C3F63">
      <w:pPr>
        <w:rPr>
          <w:rFonts w:ascii="Verdana" w:hAnsi="Verdana"/>
          <w:lang w:val="sk-SK"/>
        </w:rPr>
      </w:pPr>
    </w:p>
    <w:p w:rsidR="005C3F63" w:rsidRDefault="006536E7">
      <w:pPr>
        <w:rPr>
          <w:rFonts w:ascii="Verdana" w:hAnsi="Verdana"/>
          <w:lang w:val="sk-SK"/>
        </w:rPr>
      </w:pPr>
      <w:r>
        <w:rPr>
          <w:rFonts w:ascii="Verdana" w:hAnsi="Verdana"/>
          <w:lang w:val="sk-SK"/>
        </w:rPr>
        <w:t>V Praze 5. srpna 2020</w:t>
      </w:r>
    </w:p>
    <w:p w:rsidR="005C3F63" w:rsidRDefault="005C3F63">
      <w:pPr>
        <w:spacing w:line="360" w:lineRule="auto"/>
        <w:ind w:firstLine="426"/>
        <w:rPr>
          <w:szCs w:val="24"/>
          <w:lang w:val="cs-CZ" w:eastAsia="cs-CZ" w:bidi="ar-SA"/>
        </w:rPr>
      </w:pPr>
    </w:p>
    <w:p w:rsidR="005C3F63" w:rsidRDefault="005C3F63">
      <w:pPr>
        <w:jc w:val="center"/>
        <w:outlineLvl w:val="0"/>
        <w:rPr>
          <w:b/>
          <w:smallCaps/>
          <w:color w:val="333399"/>
          <w:sz w:val="22"/>
          <w:lang w:val="sk-SK" w:eastAsia="cs-CZ" w:bidi="ar-SA"/>
        </w:rPr>
      </w:pPr>
    </w:p>
    <w:p w:rsidR="005C3F63" w:rsidRDefault="005C3F63">
      <w:pPr>
        <w:pStyle w:val="1"/>
        <w:spacing w:before="0" w:after="240"/>
        <w:rPr>
          <w:szCs w:val="24"/>
          <w:lang w:val="sk-SK"/>
        </w:rPr>
      </w:pPr>
    </w:p>
    <w:p w:rsidR="005C3F63" w:rsidRDefault="006536E7">
      <w:pPr>
        <w:pStyle w:val="1"/>
        <w:spacing w:before="0" w:after="240"/>
        <w:rPr>
          <w:sz w:val="20"/>
          <w:szCs w:val="20"/>
          <w:lang w:val="sk-SK"/>
        </w:rPr>
      </w:pPr>
      <w:r>
        <w:rPr>
          <w:rFonts w:eastAsia="MS Mincho"/>
          <w:kern w:val="2"/>
          <w:sz w:val="20"/>
          <w:szCs w:val="20"/>
          <w:shd w:val="clear" w:color="auto" w:fill="FFFFFF"/>
          <w:lang w:val="sk-SK" w:eastAsia="ja-JP"/>
        </w:rPr>
        <w:br w:type="page"/>
      </w:r>
    </w:p>
    <w:p w:rsidR="005C3F63" w:rsidRDefault="006536E7">
      <w:pPr>
        <w:jc w:val="left"/>
        <w:rPr>
          <w:rFonts w:ascii="Verdana" w:hAnsi="Verdana" w:cs="Arial"/>
          <w:b/>
          <w:bCs/>
          <w:kern w:val="32"/>
          <w:szCs w:val="24"/>
          <w:lang w:val="sk-SK" w:eastAsia="cs-CZ" w:bidi="ar-SA"/>
        </w:rPr>
      </w:pPr>
      <w:r>
        <w:rPr>
          <w:szCs w:val="24"/>
          <w:lang w:val="sk-SK"/>
        </w:rPr>
        <w:lastRenderedPageBreak/>
        <w:br w:type="page"/>
      </w:r>
      <w:r>
        <w:rPr>
          <w:szCs w:val="24"/>
          <w:lang w:val="sk-SK"/>
        </w:rPr>
        <w:lastRenderedPageBreak/>
        <w:t>-</w:t>
      </w:r>
    </w:p>
    <w:p w:rsidR="005C3F63" w:rsidRDefault="006536E7">
      <w:pPr>
        <w:pStyle w:val="1"/>
        <w:spacing w:before="0" w:after="240"/>
      </w:pPr>
      <w:bookmarkStart w:id="2" w:name="_Toc47951494"/>
      <w:r>
        <w:rPr>
          <w:szCs w:val="24"/>
        </w:rPr>
        <w:t>Reverse Acquisitions</w:t>
      </w:r>
      <w:bookmarkEnd w:id="2"/>
      <w:r>
        <w:rPr>
          <w:szCs w:val="24"/>
        </w:rPr>
        <w:t xml:space="preserve"> and Steps how to Detect them</w:t>
      </w:r>
      <w:r>
        <w:rPr>
          <w:szCs w:val="24"/>
        </w:rPr>
        <w:br/>
      </w:r>
    </w:p>
    <w:p w:rsidR="005C3F63" w:rsidRDefault="006536E7">
      <w:pPr>
        <w:spacing w:after="120"/>
        <w:jc w:val="center"/>
        <w:rPr>
          <w:rFonts w:ascii="Verdana" w:hAnsi="Verdana"/>
          <w:b/>
          <w:sz w:val="20"/>
          <w:szCs w:val="20"/>
        </w:rPr>
      </w:pPr>
      <w:bookmarkStart w:id="3" w:name="_Toc47441473"/>
      <w:bookmarkStart w:id="4" w:name="_Toc47443648"/>
      <w:bookmarkStart w:id="5" w:name="_Toc47444265"/>
      <w:bookmarkStart w:id="6" w:name="_Toc47445929"/>
      <w:bookmarkStart w:id="7" w:name="_Toc47446344"/>
      <w:bookmarkStart w:id="8" w:name="_Toc47444582"/>
      <w:bookmarkStart w:id="9" w:name="_Toc47448086"/>
      <w:bookmarkStart w:id="10" w:name="_Toc47447950"/>
      <w:bookmarkStart w:id="11" w:name="_Toc47948702"/>
      <w:bookmarkStart w:id="12" w:name="_Toc47441177"/>
      <w:bookmarkStart w:id="13" w:name="_Toc47447130"/>
      <w:bookmarkStart w:id="14" w:name="_Toc47948764"/>
      <w:bookmarkStart w:id="15" w:name="_Toc47448169"/>
      <w:bookmarkStart w:id="16" w:name="_Toc47448032"/>
      <w:bookmarkStart w:id="17" w:name="_Toc47446083"/>
      <w:bookmarkStart w:id="18" w:name="_Toc47441593"/>
      <w:bookmarkStart w:id="19" w:name="_Toc47438941"/>
      <w:bookmarkStart w:id="20" w:name="_Toc47441659"/>
      <w:bookmarkStart w:id="21" w:name="_Toc47440069"/>
      <w:bookmarkStart w:id="22" w:name="_Toc47439750"/>
      <w:bookmarkStart w:id="23" w:name="_Toc47448584"/>
      <w:bookmarkStart w:id="24" w:name="_Toc47444112"/>
      <w:bookmarkStart w:id="25" w:name="_Toc47448291"/>
      <w:bookmarkStart w:id="26" w:name="_Toc47442652"/>
      <w:bookmarkStart w:id="27" w:name="_Toc47447896"/>
      <w:bookmarkStart w:id="28" w:name="_Toc47448810"/>
      <w:bookmarkStart w:id="29" w:name="_Toc47444423"/>
      <w:bookmarkStart w:id="30" w:name="_Toc47443547"/>
      <w:bookmarkStart w:id="31" w:name="_Toc47440850"/>
      <w:bookmarkStart w:id="32" w:name="_Toc47446684"/>
      <w:bookmarkStart w:id="33" w:name="_Toc47433518"/>
      <w:bookmarkStart w:id="34" w:name="_Toc47445711"/>
      <w:bookmarkStart w:id="35" w:name="_Toc47435412"/>
      <w:bookmarkStart w:id="36" w:name="_Toc47443414"/>
      <w:bookmarkStart w:id="37" w:name="_Toc47448529"/>
      <w:bookmarkStart w:id="38" w:name="_Toc47449285"/>
      <w:bookmarkStart w:id="39" w:name="_Toc47951495"/>
      <w:bookmarkStart w:id="40" w:name="_Toc47948960"/>
      <w:bookmarkStart w:id="41" w:name="_Toc47451126"/>
      <w:bookmarkStart w:id="42" w:name="_Toc47951337"/>
      <w:bookmarkStart w:id="43" w:name="_Toc47949274"/>
      <w:bookmarkStart w:id="44" w:name="_Toc47951429"/>
      <w:r>
        <w:rPr>
          <w:rStyle w:val="AutorChar"/>
          <w:rFonts w:eastAsia="Calibri"/>
          <w:sz w:val="20"/>
          <w:szCs w:val="20"/>
        </w:rPr>
        <w:t>Nikoleta Baloghová</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p>
    <w:p w:rsidR="005C3F63" w:rsidRDefault="006536E7">
      <w:pPr>
        <w:jc w:val="center"/>
        <w:rPr>
          <w:rFonts w:ascii="Verdana" w:hAnsi="Verdana"/>
          <w:sz w:val="18"/>
          <w:szCs w:val="18"/>
        </w:rPr>
      </w:pPr>
      <w:r>
        <w:rPr>
          <w:rFonts w:ascii="Verdana" w:hAnsi="Verdana"/>
          <w:sz w:val="18"/>
          <w:szCs w:val="18"/>
        </w:rPr>
        <w:t xml:space="preserve">University of Economics in Bratislava </w:t>
      </w:r>
    </w:p>
    <w:p w:rsidR="005C3F63" w:rsidRDefault="006536E7">
      <w:pPr>
        <w:jc w:val="center"/>
        <w:rPr>
          <w:rFonts w:ascii="Verdana" w:hAnsi="Verdana"/>
          <w:sz w:val="18"/>
          <w:szCs w:val="18"/>
        </w:rPr>
      </w:pPr>
      <w:r>
        <w:rPr>
          <w:rFonts w:ascii="Verdana" w:hAnsi="Verdana"/>
          <w:sz w:val="18"/>
          <w:szCs w:val="18"/>
        </w:rPr>
        <w:t>Faculty of Economic Informatics, Department of Accounting and Auditing</w:t>
      </w:r>
    </w:p>
    <w:p w:rsidR="005C3F63" w:rsidRDefault="006536E7">
      <w:pPr>
        <w:jc w:val="center"/>
        <w:rPr>
          <w:rFonts w:ascii="Verdana" w:hAnsi="Verdana"/>
          <w:sz w:val="18"/>
          <w:szCs w:val="18"/>
        </w:rPr>
      </w:pPr>
      <w:r>
        <w:rPr>
          <w:rFonts w:ascii="Verdana" w:hAnsi="Verdana"/>
          <w:sz w:val="18"/>
          <w:szCs w:val="18"/>
        </w:rPr>
        <w:t>Dolnozemská 1, 852 35 Bratislava, Slovakia</w:t>
      </w:r>
    </w:p>
    <w:p w:rsidR="005C3F63" w:rsidRDefault="006536E7">
      <w:pPr>
        <w:jc w:val="center"/>
        <w:rPr>
          <w:rFonts w:ascii="Verdana" w:hAnsi="Verdana"/>
          <w:sz w:val="18"/>
          <w:szCs w:val="18"/>
        </w:rPr>
      </w:pPr>
      <w:r>
        <w:rPr>
          <w:rFonts w:ascii="Verdana" w:hAnsi="Verdana"/>
          <w:sz w:val="18"/>
          <w:szCs w:val="18"/>
        </w:rPr>
        <w:t xml:space="preserve">E-mail: </w:t>
      </w:r>
      <w:hyperlink r:id="rId15" w:history="1">
        <w:r>
          <w:rPr>
            <w:rStyle w:val="af9"/>
            <w:rFonts w:ascii="Verdana" w:hAnsi="Verdana"/>
            <w:sz w:val="18"/>
            <w:szCs w:val="18"/>
          </w:rPr>
          <w:t>nikoleta.baloghova@euba.sk</w:t>
        </w:r>
      </w:hyperlink>
    </w:p>
    <w:p w:rsidR="005C3F63" w:rsidRDefault="005C3F63">
      <w:pPr>
        <w:jc w:val="center"/>
        <w:rPr>
          <w:rFonts w:ascii="Verdana" w:hAnsi="Verdana"/>
          <w:sz w:val="18"/>
          <w:szCs w:val="18"/>
          <w:lang w:val="en-GB"/>
        </w:rPr>
      </w:pPr>
    </w:p>
    <w:p w:rsidR="005C3F63" w:rsidRDefault="005C3F63">
      <w:pPr>
        <w:rPr>
          <w:rFonts w:ascii="Verdana" w:hAnsi="Verdana"/>
          <w:sz w:val="22"/>
          <w:lang w:val="en-GB"/>
        </w:rPr>
      </w:pPr>
    </w:p>
    <w:p w:rsidR="005C3F63" w:rsidRDefault="006536E7">
      <w:pPr>
        <w:spacing w:after="120"/>
        <w:rPr>
          <w:rFonts w:ascii="Verdana" w:hAnsi="Verdana"/>
          <w:i/>
          <w:sz w:val="20"/>
          <w:szCs w:val="20"/>
          <w:lang w:val="en-GB"/>
        </w:rPr>
      </w:pPr>
      <w:r>
        <w:rPr>
          <w:rFonts w:ascii="Verdana" w:hAnsi="Verdana"/>
          <w:b/>
          <w:i/>
          <w:sz w:val="20"/>
          <w:szCs w:val="20"/>
          <w:lang w:val="en-GB"/>
        </w:rPr>
        <w:t xml:space="preserve">Abstract: </w:t>
      </w:r>
      <w:r>
        <w:rPr>
          <w:rFonts w:ascii="Verdana" w:hAnsi="Verdana"/>
          <w:i/>
          <w:sz w:val="20"/>
          <w:szCs w:val="20"/>
          <w:lang w:val="en-GB"/>
        </w:rPr>
        <w:t>The reverse acquisitions as well as the accounting for reverse acquisitions have been considered as very interesting topic for the accountants and also for the specialists who make the steps in order to make the reverse acquisitions correctly and legally. European and also American legislations try to stabilize rules for the reverse acquisitions but it is not always easy to explain how these reverse acquisitions works and also it is hard to identify whether it is the reverse acquisition or not. That is why, in this article we point out the definitions of the reverse acquisitions and we explain the steps needed for separation between reverse acquisition and regular acquisition. The outcome of this article is the explanation and easier recognition of the reverse acquisitions. If we go step by step through the recommended moves, we will easily recognize whether it is reverse acquisition or not.</w:t>
      </w:r>
    </w:p>
    <w:p w:rsidR="005C3F63" w:rsidRDefault="005C3F63">
      <w:pPr>
        <w:spacing w:after="120"/>
        <w:rPr>
          <w:rFonts w:ascii="Verdana" w:hAnsi="Verdana"/>
          <w:i/>
          <w:sz w:val="20"/>
          <w:szCs w:val="20"/>
          <w:lang w:val="en-GB"/>
        </w:rPr>
      </w:pPr>
    </w:p>
    <w:p w:rsidR="005C3F63" w:rsidRDefault="006536E7">
      <w:pPr>
        <w:spacing w:after="120"/>
        <w:rPr>
          <w:rFonts w:ascii="Verdana" w:hAnsi="Verdana"/>
          <w:i/>
          <w:sz w:val="20"/>
          <w:szCs w:val="20"/>
          <w:lang w:val="en-GB"/>
        </w:rPr>
      </w:pPr>
      <w:r>
        <w:rPr>
          <w:rFonts w:ascii="Verdana" w:hAnsi="Verdana"/>
          <w:b/>
          <w:i/>
          <w:sz w:val="20"/>
          <w:szCs w:val="20"/>
          <w:lang w:val="en-GB"/>
        </w:rPr>
        <w:t>Keywords:</w:t>
      </w:r>
      <w:r>
        <w:rPr>
          <w:rFonts w:ascii="Verdana" w:hAnsi="Verdana"/>
          <w:i/>
          <w:sz w:val="20"/>
          <w:szCs w:val="20"/>
          <w:lang w:val="en-GB"/>
        </w:rPr>
        <w:t xml:space="preserve"> acquisition, reverse acquisition, business combinations, accounting</w:t>
      </w:r>
    </w:p>
    <w:p w:rsidR="005C3F63" w:rsidRDefault="005C3F63">
      <w:pPr>
        <w:spacing w:after="120"/>
        <w:rPr>
          <w:rFonts w:ascii="Verdana" w:hAnsi="Verdana"/>
          <w:i/>
          <w:sz w:val="20"/>
          <w:szCs w:val="20"/>
          <w:lang w:val="en-GB"/>
        </w:rPr>
      </w:pPr>
    </w:p>
    <w:p w:rsidR="005C3F63" w:rsidRDefault="006536E7">
      <w:pPr>
        <w:pStyle w:val="04-Anotacijostekstas"/>
        <w:spacing w:before="0" w:after="120"/>
        <w:ind w:left="0" w:right="-284"/>
        <w:rPr>
          <w:rFonts w:ascii="Verdana" w:hAnsi="Verdana"/>
          <w:i/>
        </w:rPr>
      </w:pPr>
      <w:r>
        <w:rPr>
          <w:rFonts w:ascii="Verdana" w:hAnsi="Verdana"/>
          <w:i/>
        </w:rPr>
        <w:t xml:space="preserve">JEL codes:M41, M40, </w:t>
      </w:r>
    </w:p>
    <w:p w:rsidR="005C3F63" w:rsidRDefault="006536E7">
      <w:pPr>
        <w:pStyle w:val="1"/>
        <w:jc w:val="both"/>
        <w:rPr>
          <w:sz w:val="22"/>
          <w:szCs w:val="22"/>
          <w:lang w:val="cs-CZ"/>
        </w:rPr>
      </w:pPr>
      <w:r>
        <w:rPr>
          <w:rStyle w:val="KapitolaChar"/>
          <w:rFonts w:eastAsia="Calibri"/>
          <w:b/>
          <w:lang w:val="sk-SK"/>
        </w:rPr>
        <w:t xml:space="preserve">1 </w:t>
      </w:r>
      <w:r>
        <w:rPr>
          <w:rStyle w:val="KapitolaChar"/>
          <w:rFonts w:eastAsia="Calibri"/>
          <w:b/>
          <w:lang w:val="cs-CZ"/>
        </w:rPr>
        <w:t>Úvod / Introduction</w:t>
      </w:r>
      <w:r>
        <w:rPr>
          <w:rStyle w:val="KapitolaChar"/>
          <w:rFonts w:eastAsia="Calibri"/>
          <w:lang w:val="cs-CZ"/>
        </w:rPr>
        <w:t xml:space="preserve"> </w:t>
      </w:r>
    </w:p>
    <w:p w:rsidR="005C3F63" w:rsidRPr="00975BA4" w:rsidRDefault="006536E7">
      <w:pPr>
        <w:spacing w:after="120"/>
        <w:rPr>
          <w:rFonts w:ascii="Verdana" w:hAnsi="Verdana"/>
          <w:sz w:val="20"/>
          <w:szCs w:val="20"/>
          <w:lang w:val="cs-CZ"/>
        </w:rPr>
      </w:pPr>
      <w:r w:rsidRPr="00975BA4">
        <w:rPr>
          <w:rFonts w:ascii="Verdana" w:hAnsi="Verdana"/>
          <w:sz w:val="20"/>
          <w:szCs w:val="20"/>
          <w:lang w:val="cs-CZ"/>
        </w:rPr>
        <w:t xml:space="preserve">Reverzné akvizície sú vďaka globalizácii čoraz populárnejšie. Hľadaním nových trhov, nových ľudských zdrojov a nových možností investovania sa dostávame až k pojmom fúzia či akvizícia. Pomocou fúzií a akvizícií sa zvyšujú daňové úspory, ako aj konkurencieschopnosť podnikov na trhu a ich trhová hodnota. Akvizícia predstavuje závažné rozhodnutie, kedy akcionár investuje do kúpy. Takýto proces musí byť dobre premyslený a taktiež naplánovaný. </w:t>
      </w:r>
    </w:p>
    <w:p w:rsidR="005C3F63" w:rsidRPr="00975BA4" w:rsidRDefault="006536E7">
      <w:pPr>
        <w:spacing w:after="120"/>
        <w:rPr>
          <w:rFonts w:ascii="Verdana" w:hAnsi="Verdana"/>
          <w:sz w:val="20"/>
          <w:szCs w:val="20"/>
          <w:lang w:val="cs-CZ"/>
        </w:rPr>
      </w:pPr>
      <w:r w:rsidRPr="00975BA4">
        <w:rPr>
          <w:rFonts w:ascii="Verdana" w:hAnsi="Verdana"/>
          <w:sz w:val="20"/>
          <w:szCs w:val="20"/>
          <w:lang w:val="cs-CZ"/>
        </w:rPr>
        <w:t>Spoločnosti zvažujú akvizície najmä kvôli posilneniu postavenia na trhu alebo kvôli snahe rozšíriť pôsobenie na trhu. Výsledkom akvizície býva predovšetkým zníženie nákladov na vstupoch, odstránenie konkurencie alebo zníženie daňového zaťaženia. (Ondrušová,  Parajka, 2014)</w:t>
      </w:r>
    </w:p>
    <w:p w:rsidR="005C3F63" w:rsidRPr="00975BA4" w:rsidRDefault="006536E7">
      <w:pPr>
        <w:spacing w:after="120"/>
        <w:rPr>
          <w:rFonts w:ascii="Verdana" w:hAnsi="Verdana"/>
          <w:sz w:val="20"/>
          <w:szCs w:val="20"/>
          <w:lang w:val="cs-CZ"/>
        </w:rPr>
      </w:pPr>
      <w:r w:rsidRPr="00975BA4">
        <w:rPr>
          <w:rFonts w:ascii="Verdana" w:hAnsi="Verdana"/>
          <w:sz w:val="20"/>
          <w:szCs w:val="20"/>
          <w:lang w:val="cs-CZ"/>
        </w:rPr>
        <w:t>Obsahom tohto príspevku je analýza reverznej akvizície, čo predstavuje ešte zložitejší proces ako je samotná akvizícia a preto sme sa venovali najmä príkladom, ktoré umožnia čitateľom ľahšie pochopiť princíp reverzných akvizícií.</w:t>
      </w:r>
    </w:p>
    <w:p w:rsidR="005C3F63" w:rsidRDefault="006536E7">
      <w:pPr>
        <w:spacing w:before="240" w:after="120"/>
        <w:rPr>
          <w:rFonts w:ascii="Verdana" w:hAnsi="Verdana" w:cs="Arial"/>
          <w:bCs/>
          <w:kern w:val="32"/>
          <w:sz w:val="18"/>
          <w:szCs w:val="18"/>
          <w:lang w:eastAsia="cs-CZ"/>
        </w:rPr>
      </w:pPr>
      <w:r>
        <w:rPr>
          <w:rStyle w:val="KapitolaChar"/>
          <w:rFonts w:eastAsia="Calibri"/>
          <w:lang w:val="sk-SK"/>
        </w:rPr>
        <w:t>2 Metodológia a zdrojové údaje / Methodology and Data</w:t>
      </w:r>
      <w:r>
        <w:rPr>
          <w:rFonts w:ascii="Verdana" w:hAnsi="Verdana"/>
          <w:b/>
          <w:sz w:val="22"/>
        </w:rPr>
        <w:t xml:space="preserve"> </w:t>
      </w:r>
    </w:p>
    <w:p w:rsidR="005C3F63" w:rsidRDefault="006536E7">
      <w:pPr>
        <w:pStyle w:val="HTML"/>
        <w:spacing w:after="120"/>
        <w:jc w:val="both"/>
        <w:rPr>
          <w:rFonts w:ascii="Verdana" w:hAnsi="Verdana"/>
        </w:rPr>
      </w:pPr>
      <w:r>
        <w:rPr>
          <w:rFonts w:ascii="Verdana" w:hAnsi="Verdana"/>
        </w:rPr>
        <w:t xml:space="preserve">Pomocou rôznych metód sme dospeli k záveru, kedy vieme jasne definovať, či ide o akvizíciu alebo reverznú akvizíciu. </w:t>
      </w:r>
    </w:p>
    <w:p w:rsidR="005C3F63" w:rsidRDefault="006536E7">
      <w:pPr>
        <w:pStyle w:val="HTML"/>
        <w:spacing w:after="120"/>
        <w:jc w:val="both"/>
        <w:rPr>
          <w:rFonts w:ascii="Verdana" w:hAnsi="Verdana"/>
        </w:rPr>
      </w:pPr>
      <w:r>
        <w:rPr>
          <w:rFonts w:ascii="Verdana" w:hAnsi="Verdana"/>
        </w:rPr>
        <w:t xml:space="preserve">Jednou z použitých metód je aj analýza, pričom ide o kvalitatívnu metódu potrebnú pri zbieraní údajov nevyhnutných pre dosiahnutie daného cieľa. Hĺbkovou analýzou sme dospeli ku krokom, ktoré pomôžu pri definovaní danej akvizície. </w:t>
      </w:r>
    </w:p>
    <w:p w:rsidR="005C3F63" w:rsidRDefault="006536E7">
      <w:pPr>
        <w:pStyle w:val="HTML"/>
        <w:spacing w:after="120"/>
        <w:jc w:val="both"/>
        <w:rPr>
          <w:rFonts w:ascii="Verdana" w:hAnsi="Verdana"/>
        </w:rPr>
      </w:pPr>
      <w:r>
        <w:rPr>
          <w:rFonts w:ascii="Verdana" w:hAnsi="Verdana"/>
        </w:rPr>
        <w:t xml:space="preserve">Syntézou sme spojili výsledné kroky do jedného celku. </w:t>
      </w:r>
    </w:p>
    <w:p w:rsidR="005C3F63" w:rsidRDefault="006536E7">
      <w:pPr>
        <w:pStyle w:val="HTML"/>
        <w:spacing w:after="120"/>
        <w:jc w:val="both"/>
        <w:rPr>
          <w:rFonts w:ascii="Verdana" w:hAnsi="Verdana"/>
        </w:rPr>
      </w:pPr>
      <w:r>
        <w:rPr>
          <w:rFonts w:ascii="Verdana" w:hAnsi="Verdana"/>
        </w:rPr>
        <w:t xml:space="preserve">Ďalšou z použitých metód je metóda komparácie, ktorú sme využili najmä pri uvádzaných príkladoch. Raz ide o akvizíciu a raz o reverznú akvizíciu, pričom tieto dva </w:t>
      </w:r>
      <w:r>
        <w:rPr>
          <w:rFonts w:ascii="Verdana" w:hAnsi="Verdana"/>
        </w:rPr>
        <w:lastRenderedPageBreak/>
        <w:t xml:space="preserve">pojmy sú porovnateľné a dokonca aj často omylne zameniteľné. V neposlednom rade sme porovnali aj prístupy k reverzným akvizíciám podľa amerických spisovateľov a európskych, prípadne aj slovenských. </w:t>
      </w:r>
    </w:p>
    <w:p w:rsidR="005C3F63" w:rsidRDefault="006536E7">
      <w:pPr>
        <w:pStyle w:val="HTML"/>
        <w:spacing w:after="120"/>
        <w:jc w:val="both"/>
        <w:rPr>
          <w:rFonts w:ascii="Verdana" w:hAnsi="Verdana"/>
        </w:rPr>
      </w:pPr>
      <w:r>
        <w:rPr>
          <w:rFonts w:ascii="Verdana" w:hAnsi="Verdana"/>
        </w:rPr>
        <w:t>Pomocou metódy aplikácia sme tiež teoretické znalosti v každom kroku preniesli do praktických príkladov.</w:t>
      </w:r>
    </w:p>
    <w:p w:rsidR="005C3F63" w:rsidRDefault="006536E7">
      <w:pPr>
        <w:pStyle w:val="HTML"/>
        <w:spacing w:after="120"/>
        <w:jc w:val="both"/>
        <w:rPr>
          <w:rFonts w:ascii="Verdana" w:hAnsi="Verdana"/>
        </w:rPr>
      </w:pPr>
      <w:r>
        <w:rPr>
          <w:rFonts w:ascii="Verdana" w:hAnsi="Verdana"/>
        </w:rPr>
        <w:t xml:space="preserve">Metódou indukcie a dedukcie sme dospeli k daným záverom na základe všeobecných faktov získaných z odbornej literatúry. </w:t>
      </w:r>
    </w:p>
    <w:p w:rsidR="005C3F63" w:rsidRDefault="006536E7">
      <w:pPr>
        <w:pStyle w:val="Kapitola"/>
        <w:jc w:val="both"/>
        <w:rPr>
          <w:lang w:val="cs-CZ"/>
        </w:rPr>
      </w:pPr>
      <w:r>
        <w:rPr>
          <w:szCs w:val="22"/>
          <w:lang w:val="cs-CZ"/>
        </w:rPr>
        <w:t>3 Výsledky a diskuse / Results and Discussion</w:t>
      </w:r>
    </w:p>
    <w:p w:rsidR="005C3F63" w:rsidRDefault="006536E7">
      <w:pPr>
        <w:spacing w:after="120"/>
        <w:rPr>
          <w:rFonts w:ascii="Verdana" w:hAnsi="Verdana"/>
          <w:sz w:val="20"/>
          <w:szCs w:val="20"/>
        </w:rPr>
      </w:pPr>
      <w:r>
        <w:rPr>
          <w:rFonts w:ascii="Verdana" w:hAnsi="Verdana"/>
          <w:sz w:val="20"/>
          <w:szCs w:val="20"/>
        </w:rPr>
        <w:t>Reverzné akvizície sú alternatívnym prostriedkom pre súkromnú spoločnosť aby sa stala verejnou. Pri spätnej akvizície získava súkromná spoločnosť kontrolný podiel na verejnej spoločnosti. Po dokončení akvizície prevezmú konatelia bývalej súkromnej spoločnosti kontrolu a riadenie kombinovaného subjektu, ktorým bude verejne obchodovaná spoločnosť. (Podmanická, 2014) Tieto akvizície si vyžadujú dôkladnú starostlivosť a precízne vedenie pri prechode zo súkromnej na verejnú spoločnosť. (Parajka, 2007)</w:t>
      </w:r>
    </w:p>
    <w:p w:rsidR="005C3F63" w:rsidRDefault="006536E7">
      <w:pPr>
        <w:spacing w:after="120"/>
        <w:rPr>
          <w:rFonts w:ascii="Verdana" w:hAnsi="Verdana"/>
          <w:sz w:val="20"/>
          <w:szCs w:val="20"/>
        </w:rPr>
      </w:pPr>
      <w:r>
        <w:rPr>
          <w:rFonts w:ascii="Verdana" w:hAnsi="Verdana"/>
          <w:sz w:val="20"/>
          <w:szCs w:val="20"/>
        </w:rPr>
        <w:t>K spätnému nadobudnutiu dôjde, keď sa účtovná jednotka, ktorá vydáva cenné papiere (zákonný nadobúdateľ), identifikuje ako účtovný nadobúdaný subjekt. Účtovná jednotka, ktorej majetkové podiely boli nadobudnuté (právny nadobúdaný subjekt), musí byť nadobúdateľom na účely účtovania transakcií, aby sa transakcia považovala za spätné nadobudnutie. Za reverznú akvizíciu sa nepovažuje súkromný subjekt, ktorý je prestavaný na verejne kótovanú spoločnosť (subjekt s verejným obchodovaním, ale bez prebiehajúcich obchodných činností) alebo nový subjekt, ktorý sa stal novým materským podnikom existujúcej skupiny podnikov prostredníctvom výmeny majetkových nástrojov. (Deloitte, 2010)</w:t>
      </w:r>
    </w:p>
    <w:p w:rsidR="005C3F63" w:rsidRDefault="006536E7">
      <w:pPr>
        <w:spacing w:after="120"/>
        <w:rPr>
          <w:rFonts w:ascii="Verdana" w:hAnsi="Verdana"/>
          <w:sz w:val="20"/>
          <w:szCs w:val="20"/>
        </w:rPr>
      </w:pPr>
      <w:r>
        <w:rPr>
          <w:rFonts w:ascii="Verdana" w:hAnsi="Verdana"/>
          <w:sz w:val="20"/>
          <w:szCs w:val="20"/>
        </w:rPr>
        <w:t>IFRS 3 definuje podnikovú kombináciu ako „transakciu alebo inú udalosť, pri ktorej nadobúdateľ získa kontrolu nad jedným alebo viacerými podnikmi.“ (IFRS 3, 2008)</w:t>
      </w:r>
    </w:p>
    <w:p w:rsidR="005C3F63" w:rsidRDefault="006536E7">
      <w:pPr>
        <w:pStyle w:val="HTML"/>
        <w:spacing w:after="120"/>
        <w:jc w:val="both"/>
        <w:rPr>
          <w:rFonts w:ascii="Verdana" w:eastAsia="Times New Roman" w:hAnsi="Verdana" w:cs="Times New Roman"/>
          <w:lang w:eastAsia="en-US" w:bidi="en-US"/>
        </w:rPr>
      </w:pPr>
      <w:r>
        <w:rPr>
          <w:rFonts w:ascii="Verdana" w:eastAsia="Times New Roman" w:hAnsi="Verdana" w:cs="Times New Roman"/>
          <w:lang w:eastAsia="en-US" w:bidi="en-US"/>
        </w:rPr>
        <w:t>Prvou etapou účtovania akvizície je zistiť, či transakcia alebo iná udalosť je podnikovou kombináciou, čo si vyžaduje, aby sa zhodnotil nadobudnutý majetok a prevzaté záväzky. (Tumpach, Užík, Juhászová, 2014)</w:t>
      </w:r>
    </w:p>
    <w:p w:rsidR="005C3F63" w:rsidRDefault="006536E7">
      <w:pPr>
        <w:pStyle w:val="HTML"/>
        <w:spacing w:after="120"/>
        <w:jc w:val="both"/>
        <w:rPr>
          <w:rFonts w:ascii="Verdana" w:eastAsia="Times New Roman" w:hAnsi="Verdana" w:cs="Times New Roman"/>
          <w:lang w:eastAsia="en-US" w:bidi="en-US"/>
        </w:rPr>
      </w:pPr>
      <w:r>
        <w:rPr>
          <w:rFonts w:ascii="Verdana" w:eastAsia="Times New Roman" w:hAnsi="Verdana" w:cs="Times New Roman"/>
          <w:lang w:eastAsia="en-US" w:bidi="en-US"/>
        </w:rPr>
        <w:t xml:space="preserve">Okrem určenia, či transakcia alebo iná udalosť je podnikovou kombináciou, sú uvedené štyri etapy uplatňovania metódy akvizície: </w:t>
      </w:r>
    </w:p>
    <w:p w:rsidR="005C3F63" w:rsidRDefault="006536E7">
      <w:pPr>
        <w:pStyle w:val="HTML"/>
        <w:tabs>
          <w:tab w:val="clear" w:pos="916"/>
        </w:tabs>
        <w:spacing w:after="120"/>
        <w:ind w:left="567" w:hanging="283"/>
        <w:jc w:val="both"/>
        <w:rPr>
          <w:rFonts w:ascii="Verdana" w:eastAsia="Times New Roman" w:hAnsi="Verdana" w:cs="Times New Roman"/>
          <w:lang w:eastAsia="en-US" w:bidi="en-US"/>
        </w:rPr>
      </w:pPr>
      <w:r>
        <w:rPr>
          <w:rFonts w:ascii="Verdana" w:eastAsia="Times New Roman" w:hAnsi="Verdana" w:cs="Times New Roman"/>
          <w:lang w:eastAsia="en-US" w:bidi="en-US"/>
        </w:rPr>
        <w:t>a) identifikácia nadobúdateľa;</w:t>
      </w:r>
    </w:p>
    <w:p w:rsidR="005C3F63" w:rsidRDefault="006536E7">
      <w:pPr>
        <w:pStyle w:val="HTML"/>
        <w:tabs>
          <w:tab w:val="clear" w:pos="916"/>
        </w:tabs>
        <w:spacing w:after="120"/>
        <w:ind w:left="567" w:hanging="283"/>
        <w:jc w:val="both"/>
        <w:rPr>
          <w:rFonts w:ascii="Verdana" w:eastAsia="Times New Roman" w:hAnsi="Verdana" w:cs="Times New Roman"/>
          <w:lang w:eastAsia="en-US" w:bidi="en-US"/>
        </w:rPr>
      </w:pPr>
      <w:r>
        <w:rPr>
          <w:rFonts w:ascii="Verdana" w:eastAsia="Times New Roman" w:hAnsi="Verdana" w:cs="Times New Roman"/>
          <w:lang w:eastAsia="en-US" w:bidi="en-US"/>
        </w:rPr>
        <w:t>b) určenie dátumu nadobudnutia;</w:t>
      </w:r>
    </w:p>
    <w:p w:rsidR="005C3F63" w:rsidRDefault="006536E7">
      <w:pPr>
        <w:pStyle w:val="HTML"/>
        <w:tabs>
          <w:tab w:val="clear" w:pos="916"/>
        </w:tabs>
        <w:spacing w:after="120"/>
        <w:ind w:left="567" w:hanging="283"/>
        <w:jc w:val="both"/>
        <w:rPr>
          <w:rFonts w:ascii="Verdana" w:eastAsia="Times New Roman" w:hAnsi="Verdana" w:cs="Times New Roman"/>
          <w:lang w:eastAsia="en-US" w:bidi="en-US"/>
        </w:rPr>
      </w:pPr>
      <w:r>
        <w:rPr>
          <w:rFonts w:ascii="Verdana" w:eastAsia="Times New Roman" w:hAnsi="Verdana" w:cs="Times New Roman"/>
          <w:lang w:eastAsia="en-US" w:bidi="en-US"/>
        </w:rPr>
        <w:t>c) vykazovanie a oceňovanie identifikovateľného nadobudnutého majetku, prevzatých záväzkov a akéhokoľvek nekontrolného podielu v nadobúdanom subjekte; a</w:t>
      </w:r>
    </w:p>
    <w:p w:rsidR="005C3F63" w:rsidRDefault="006536E7">
      <w:pPr>
        <w:pStyle w:val="HTML"/>
        <w:tabs>
          <w:tab w:val="clear" w:pos="916"/>
        </w:tabs>
        <w:spacing w:after="120"/>
        <w:ind w:left="567" w:hanging="283"/>
        <w:jc w:val="both"/>
        <w:rPr>
          <w:rFonts w:ascii="Verdana" w:eastAsia="Times New Roman" w:hAnsi="Verdana" w:cs="Times New Roman"/>
          <w:lang w:eastAsia="en-US" w:bidi="en-US"/>
        </w:rPr>
      </w:pPr>
      <w:r>
        <w:rPr>
          <w:rFonts w:ascii="Verdana" w:eastAsia="Times New Roman" w:hAnsi="Verdana" w:cs="Times New Roman"/>
          <w:lang w:eastAsia="en-US" w:bidi="en-US"/>
        </w:rPr>
        <w:t>d) vykazovanie a oceňovanie goodwillu alebo zisku z výhodnej kúpy. (Farkaš, 2013)</w:t>
      </w:r>
    </w:p>
    <w:p w:rsidR="005C3F63" w:rsidRDefault="006536E7">
      <w:pPr>
        <w:pStyle w:val="HTML"/>
        <w:spacing w:after="120"/>
        <w:jc w:val="both"/>
        <w:rPr>
          <w:rFonts w:ascii="Verdana" w:eastAsia="Times New Roman" w:hAnsi="Verdana" w:cs="Times New Roman"/>
          <w:lang w:eastAsia="en-US" w:bidi="en-US"/>
        </w:rPr>
      </w:pPr>
      <w:r>
        <w:rPr>
          <w:rFonts w:ascii="Verdana" w:eastAsia="Times New Roman" w:hAnsi="Verdana" w:cs="Times New Roman"/>
          <w:lang w:eastAsia="en-US" w:bidi="en-US"/>
        </w:rPr>
        <w:t>Konsolidovaná účtovná závierka zostavená po spätnom nadobudnutí sa vydáva pod menom zákonného podniku, teda „matky“, ale je opísaná v poznámkach ako pokračovanie účtovnej závierky právneho dcérskeho podniku. Je však dôležité aby účtovná závierka zobrazovala kapitál zákonného podniku. Porovnateľné informácie prezentované v tejto konsolidovanej účtovnej závierke sa tiež spätne upravujú, aby odrážali základné imanie zákonnej materskej spoločnosti. (Hornická, 2013)</w:t>
      </w:r>
    </w:p>
    <w:p w:rsidR="005C3F63" w:rsidRDefault="006536E7">
      <w:pPr>
        <w:pStyle w:val="HTML"/>
        <w:spacing w:after="120"/>
        <w:jc w:val="both"/>
        <w:rPr>
          <w:rFonts w:ascii="Verdana" w:hAnsi="Verdana"/>
          <w:lang w:eastAsia="en-US" w:bidi="en-US"/>
        </w:rPr>
      </w:pPr>
      <w:r>
        <w:rPr>
          <w:rFonts w:ascii="Verdana" w:eastAsia="Times New Roman" w:hAnsi="Verdana" w:cs="Times New Roman"/>
          <w:lang w:eastAsia="en-US" w:bidi="en-US"/>
        </w:rPr>
        <w:t>V prípade potreby by sa mala zostaviť samostatná účtovná závierka pre materskú spoločnosť. Ak bola účtovná jednotka založená krátko pred kombináciou, jej samostatná účtovná závierka by sa mala vzťahovať iba na jej skutočné účtovné obdobie. (</w:t>
      </w:r>
      <w:r>
        <w:rPr>
          <w:rFonts w:ascii="Verdana" w:hAnsi="Verdana"/>
          <w:lang w:eastAsia="en-US" w:bidi="en-US"/>
        </w:rPr>
        <w:t>Šlosárová, Blahušiaková, 2017)</w:t>
      </w:r>
    </w:p>
    <w:p w:rsidR="005C3F63" w:rsidRDefault="006536E7">
      <w:pPr>
        <w:pStyle w:val="HTML"/>
        <w:spacing w:after="120"/>
        <w:jc w:val="both"/>
        <w:rPr>
          <w:rFonts w:ascii="Verdana" w:eastAsia="Times New Roman" w:hAnsi="Verdana" w:cs="Times New Roman"/>
          <w:lang w:eastAsia="en-US" w:bidi="en-US"/>
        </w:rPr>
      </w:pPr>
      <w:r>
        <w:rPr>
          <w:rFonts w:ascii="Verdana" w:eastAsia="Times New Roman" w:hAnsi="Verdana" w:cs="Times New Roman"/>
          <w:lang w:eastAsia="en-US" w:bidi="en-US"/>
        </w:rPr>
        <w:t xml:space="preserve">Najľahšou cestou k vysvetleniu definície reverzná akvizícia je predstaviť si dve nesúvisiace konsolidované skupiny korporácií a to skupinu Alfa-Beta a skupinu Gama-Delta. Skupina Alfa-Beta a skupina Gama-Delta sa chcú spojiť do novej konsolidovanej skupiny tým, že jednu zo spoločných materských spoločností kúpia od svojich akcionárov </w:t>
      </w:r>
      <w:r>
        <w:rPr>
          <w:rFonts w:ascii="Verdana" w:eastAsia="Times New Roman" w:hAnsi="Verdana" w:cs="Times New Roman"/>
          <w:lang w:eastAsia="en-US" w:bidi="en-US"/>
        </w:rPr>
        <w:lastRenderedPageBreak/>
        <w:t>druhej spoločnej materskej spoločnosti, a to výlučne výmenou za akcie nadobúdajúcej spoločnej materskej spoločnosti.</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 xml:space="preserve">Predpokladajme, že akcionári spoločnosti Alfa a Gama si želajú použiť výslednú skupinu na konci kalendárneho roka. Dôležitejšie je, že výsledná skupina by chcela využiť čisté prenosy prevádzkových strát skupiny Alfa-Beta na vyrovnanie budúceho príjmu novej konsolidovanej skupiny. Na podporu týchto cieľov je transakcia štruktúrovaná tak, že spoločnosť Alfa nakupuje všetky akcie spoločnosti Delta výlučne výmenou za akcie Alfa. Pretože hodnota Gama-Delta je vyššia ako hodnota Alfa-Beta, bývalí akcionári spoločnosti Gama vlastnia 60% reálnej trhovej hodnoty akcií spoločnosti Alfa bezprostredne po vykonaní transakcii. Ak by naopak neexistovali pravidlá, nadobudnutie spoločnosti Gama spoločnosťou Alfa by viedlo k ukončeniu skupiny Gama-Delta. </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eastAsia="en-US" w:bidi="en-US"/>
        </w:rPr>
        <w:t>Pravidlá reverznej akvizície sa zameriavajú na formu transakcie a jej podstatu s hlavným</w:t>
      </w:r>
      <w:r>
        <w:rPr>
          <w:rFonts w:ascii="Verdana" w:eastAsia="Times New Roman" w:hAnsi="Verdana" w:cs="Times New Roman"/>
          <w:lang w:val="cs-CZ" w:eastAsia="en-US" w:bidi="en-US"/>
        </w:rPr>
        <w:t xml:space="preserve"> cieľom určiť, ktorá skupina končí a ktorá skupina pokračuje, čo ovplyvňuje aj daňovú stránku týchto skupín.</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 xml:space="preserve">Spoločnosť Alfa nadobudla spoločnosť Gama a viac ako 50-percentné nadobudnutie akcií spoločnosti Alfa bývalými akcionármi spoločnosti Gama naznačuje, že bývalí akcionári spoločnosti Gama teraz kontrolujú výslednú skupinu. Podstatou transakcie je to, že väčšia skupina Gama-Delta získala skupinu Alfa-Beta, čo je „opačná forma“. </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Z praktického hľadiska môžeme povedať, že spätná akvizícia nastáva vtedy, keď väčšia spoločnosť (napríklad z pohľadu trhovej hodnoty spoločnosti) je prevzatá menšou spoločnosťou ale akcionári tej väčšej spoločnosti získajú kontrolu nad menšou spoločnosťou ako výsledok tejto akvizície. V USA tomuto procesu hovoria „minnow swallowing the whale“, čo v preklade znamená, že malá rybka prehltne veľrybu.</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Z technického hľadiska je veľmi ťažké odhadnúť, či ide o spätné nadobudnutie alebo nie. Preto sa v americkej literatúre píše o týchto piatich krokoch, ktoré pomôžu pri určovaní, či ide o reverznú transakciu alebo nie:</w:t>
      </w:r>
    </w:p>
    <w:p w:rsidR="005C3F63" w:rsidRDefault="006536E7">
      <w:pPr>
        <w:pStyle w:val="HTML"/>
        <w:numPr>
          <w:ilvl w:val="0"/>
          <w:numId w:val="3"/>
        </w:numPr>
        <w:tabs>
          <w:tab w:val="clear" w:pos="916"/>
          <w:tab w:val="clear" w:pos="1832"/>
          <w:tab w:val="left" w:pos="567"/>
        </w:tabs>
        <w:spacing w:after="120"/>
        <w:ind w:left="567" w:hanging="283"/>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Identifikácia prvej spoločnosti.</w:t>
      </w:r>
    </w:p>
    <w:p w:rsidR="005C3F63" w:rsidRDefault="006536E7">
      <w:pPr>
        <w:pStyle w:val="HTML"/>
        <w:numPr>
          <w:ilvl w:val="0"/>
          <w:numId w:val="3"/>
        </w:numPr>
        <w:tabs>
          <w:tab w:val="clear" w:pos="916"/>
          <w:tab w:val="clear" w:pos="1832"/>
          <w:tab w:val="left" w:pos="567"/>
        </w:tabs>
        <w:spacing w:after="120"/>
        <w:ind w:left="567" w:hanging="283"/>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Identifikácia druhej spoločnosti.</w:t>
      </w:r>
    </w:p>
    <w:p w:rsidR="005C3F63" w:rsidRDefault="006536E7">
      <w:pPr>
        <w:pStyle w:val="HTML"/>
        <w:numPr>
          <w:ilvl w:val="0"/>
          <w:numId w:val="3"/>
        </w:numPr>
        <w:tabs>
          <w:tab w:val="clear" w:pos="916"/>
          <w:tab w:val="clear" w:pos="1832"/>
          <w:tab w:val="left" w:pos="567"/>
        </w:tabs>
        <w:spacing w:after="120"/>
        <w:ind w:left="567" w:hanging="283"/>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Určenie, či prvá spoločnosť a druhá spoločnosť sú členmi tej istej pridruženej skupiny.</w:t>
      </w:r>
    </w:p>
    <w:p w:rsidR="005C3F63" w:rsidRDefault="006536E7">
      <w:pPr>
        <w:pStyle w:val="HTML"/>
        <w:numPr>
          <w:ilvl w:val="0"/>
          <w:numId w:val="3"/>
        </w:numPr>
        <w:tabs>
          <w:tab w:val="clear" w:pos="916"/>
          <w:tab w:val="clear" w:pos="1832"/>
          <w:tab w:val="left" w:pos="567"/>
        </w:tabs>
        <w:spacing w:after="120"/>
        <w:ind w:left="567" w:hanging="283"/>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Určenie, či akcionári druhej spoločnosti (bezprostredne pred akvizíciou) vlastnia viac ako 50% reálnej trhovej hodnoty prvej spoločnosti (bezprostredne po akvizícii) ako dôsledok vlastníctva akcií druhej spoločnosti.</w:t>
      </w:r>
    </w:p>
    <w:p w:rsidR="005C3F63" w:rsidRDefault="006536E7">
      <w:pPr>
        <w:pStyle w:val="HTML"/>
        <w:numPr>
          <w:ilvl w:val="0"/>
          <w:numId w:val="3"/>
        </w:numPr>
        <w:tabs>
          <w:tab w:val="clear" w:pos="916"/>
          <w:tab w:val="clear" w:pos="1832"/>
          <w:tab w:val="left" w:pos="567"/>
        </w:tabs>
        <w:spacing w:after="120"/>
        <w:ind w:left="567" w:hanging="283"/>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Určenie, či pridružená skupina existuje po akvizícii. (</w:t>
      </w:r>
      <w:r>
        <w:rPr>
          <w:rFonts w:ascii="Verdana" w:hAnsi="Verdana"/>
          <w:lang w:val="cs-CZ"/>
        </w:rPr>
        <w:t>Nitty, 2012)</w:t>
      </w:r>
    </w:p>
    <w:p w:rsidR="005C3F63" w:rsidRDefault="006536E7">
      <w:pPr>
        <w:pStyle w:val="1"/>
        <w:jc w:val="both"/>
        <w:rPr>
          <w:sz w:val="22"/>
          <w:szCs w:val="22"/>
        </w:rPr>
      </w:pPr>
      <w:r>
        <w:rPr>
          <w:sz w:val="22"/>
          <w:szCs w:val="22"/>
        </w:rPr>
        <w:t>3.1 Krok po kroku k reverznej akvizícii</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Pre lepšie vysvetlenie týchto piatich bodov uvedieme aj detailnejšie vysvetlenie spolu s praktickými príkladmi na spoločnostiach Alfa-Beta a Gama-Delta. Pričom Alfa je materská spoločnosť konsolidovaného celku, kde Beta je dcérskou spoločnosťou a Gama je materskou spoločnosťou ešte väčšieho konsolidovaného celku, kde Delta je dcérskou spoločnosťou.</w:t>
      </w:r>
    </w:p>
    <w:p w:rsidR="005C3F63" w:rsidRDefault="006536E7">
      <w:pPr>
        <w:pStyle w:val="HTML"/>
        <w:spacing w:after="120"/>
        <w:jc w:val="both"/>
        <w:rPr>
          <w:rFonts w:ascii="Verdana" w:eastAsia="Times New Roman" w:hAnsi="Verdana" w:cs="Times New Roman"/>
          <w:i/>
          <w:lang w:val="cs-CZ" w:eastAsia="en-US" w:bidi="en-US"/>
        </w:rPr>
      </w:pPr>
      <w:r>
        <w:rPr>
          <w:rFonts w:ascii="Verdana" w:eastAsia="Times New Roman" w:hAnsi="Verdana" w:cs="Times New Roman"/>
          <w:i/>
          <w:lang w:val="cs-CZ" w:eastAsia="en-US" w:bidi="en-US"/>
        </w:rPr>
        <w:t>Krok 1: Identifikácia prvej spoločnosti</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 xml:space="preserve">Prvá spoločnosť je jednoducho povedané buď materská spoločnosť alebo dcérska spoločnosť nadobúdanej spoločnosti. Prvá spoločnosť však musí pri spätnom nadobudnutí plniť dvojakú úlohu: </w:t>
      </w:r>
    </w:p>
    <w:p w:rsidR="005C3F63" w:rsidRDefault="006536E7">
      <w:pPr>
        <w:pStyle w:val="HTML"/>
        <w:numPr>
          <w:ilvl w:val="0"/>
          <w:numId w:val="4"/>
        </w:numPr>
        <w:spacing w:after="120"/>
        <w:ind w:hanging="153"/>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V rámci akvizície musí byť buď člen skupiny, ktorý nadobudne akcie alebo majetok nadobúdanej spoločnosti celkovo alebo čiastočne vlastným majetkom alebo byť materskou spoločnosťou (bezprostredne pred akvizíciou), ktorá vlastní nadobúdajúcu spoločnosť ak sú použité akcie materskej spoločnosti,</w:t>
      </w:r>
    </w:p>
    <w:p w:rsidR="005C3F63" w:rsidRDefault="006536E7">
      <w:pPr>
        <w:pStyle w:val="HTML"/>
        <w:numPr>
          <w:ilvl w:val="0"/>
          <w:numId w:val="4"/>
        </w:numPr>
        <w:spacing w:after="120"/>
        <w:ind w:hanging="153"/>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Musí byť materskou spoločnosťou novej skupiny po akvizície.</w:t>
      </w:r>
    </w:p>
    <w:p w:rsidR="005C3F63" w:rsidRDefault="005C3F63">
      <w:pPr>
        <w:pStyle w:val="HTML"/>
        <w:spacing w:after="120"/>
        <w:jc w:val="both"/>
        <w:rPr>
          <w:rFonts w:ascii="Verdana" w:eastAsia="Times New Roman" w:hAnsi="Verdana" w:cs="Times New Roman"/>
          <w:lang w:val="cs-CZ" w:eastAsia="en-US" w:bidi="en-US"/>
        </w:rPr>
      </w:pPr>
    </w:p>
    <w:p w:rsidR="005C3F63" w:rsidRDefault="006536E7">
      <w:pPr>
        <w:pStyle w:val="HTML"/>
        <w:spacing w:after="120"/>
        <w:jc w:val="both"/>
        <w:rPr>
          <w:rFonts w:ascii="Verdana" w:eastAsia="Times New Roman" w:hAnsi="Verdana" w:cs="Times New Roman"/>
          <w:i/>
          <w:lang w:val="cs-CZ" w:eastAsia="en-US" w:bidi="en-US"/>
        </w:rPr>
      </w:pPr>
      <w:r>
        <w:rPr>
          <w:rFonts w:ascii="Verdana" w:eastAsia="Times New Roman" w:hAnsi="Verdana" w:cs="Times New Roman"/>
          <w:i/>
          <w:lang w:val="cs-CZ" w:eastAsia="en-US" w:bidi="en-US"/>
        </w:rPr>
        <w:t>Príklad 1</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 xml:space="preserve">Spoločnosť Alfa je materskou spoločnosťou konsolidovanej skupiny vrátane dcérskej spoločnosti Beta. Spoločnosť Gama je materskou spoločnosťou inej väčšej konsolidovanej skupiny. Spoločnosť Alfa získava spoločnosť Gama zlúčením spoločnosti Beta výmenou za akcie spoločnosti Alfa a bezprostredne po zlúčení akcionári spoločnosti Gama vlastnia viac ako 50% akcií spoločnosti Alfa. Zatiaľ, čo spoločnosť Beta je nadobúdajúcou spoločnosťou (pri fúzii získava v podstate všetok majetok spoločnosti Gama), nemôže spĺňať definíciu prvej spoločnosti, pretože akcie spoločnosti Alfa sú použité na nadobudnutie spoločnosti Gama a Beta nie je materskou spoločnosťou nového konsolidovaného celku. Spoločnosť Alfa však plní obidve úlohy, ktoré vyžaduje prvá spoločnosť a to, že je materskou spoločnosťou bezprostredne pred akvizíciou, ktorá vlastní dcérsky podnik Beta, ktorý používa akcie spoločnosti Alfa na získanie spoločnosti Gama a je tak v konečnom dôsledku materskou spoločnosťou nového celku bezprostredne po akvizícii. Aby došlo k reverznej akvizícii musí prvá spoločnosť použiť svoje akcie celkovo alebo čiastočne na získanie akcií druhej spoločnosti. Pravidlá reverznej akvizície sa teda neuplatňujú, ak nadobúdajúca spoločnosť používa na získanie novej (druhej) spoločnosti hotovosť alebo iný majetok aj keď podstatou akvizície je naďalej nadobudnutie väčšej spoločnosti pomocou menšej spoločnosti. </w:t>
      </w:r>
    </w:p>
    <w:p w:rsidR="005C3F63" w:rsidRDefault="006536E7">
      <w:pPr>
        <w:pStyle w:val="HTML"/>
        <w:spacing w:after="120"/>
        <w:jc w:val="both"/>
        <w:rPr>
          <w:rFonts w:ascii="Verdana" w:eastAsia="Times New Roman" w:hAnsi="Verdana" w:cs="Times New Roman"/>
          <w:i/>
          <w:lang w:val="cs-CZ" w:eastAsia="en-US" w:bidi="en-US"/>
        </w:rPr>
      </w:pPr>
      <w:r>
        <w:rPr>
          <w:rFonts w:ascii="Verdana" w:eastAsia="Times New Roman" w:hAnsi="Verdana" w:cs="Times New Roman"/>
          <w:i/>
          <w:lang w:val="cs-CZ" w:eastAsia="en-US" w:bidi="en-US"/>
        </w:rPr>
        <w:t>Krok 2: Identifikácia druhej spoločnosti</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Pokiaľ ide o spätnú akvizíciu, druhá spoločnosť je väčšia získaná spoločnosť. Na splnenie definície sa však musí druhá spoločnosť buď stať členom konsolidovanej skupiny po vykonanej transakcii, ktorej prvou spoločnosťou je materská spoločnosť, alebo musí mať v podstate všetok svoj majetok nadobudnutý prvou spoločnosťou alebo dcérskym členom spoločnej skupiny, ktorej prvou spoločnosťou je materská spoločnosť.</w:t>
      </w:r>
    </w:p>
    <w:p w:rsidR="005C3F63" w:rsidRDefault="006536E7">
      <w:pPr>
        <w:pStyle w:val="HTML"/>
        <w:spacing w:after="120"/>
        <w:jc w:val="both"/>
        <w:rPr>
          <w:rFonts w:ascii="Verdana" w:eastAsia="Times New Roman" w:hAnsi="Verdana" w:cs="Times New Roman"/>
          <w:i/>
          <w:lang w:val="cs-CZ" w:eastAsia="en-US" w:bidi="en-US"/>
        </w:rPr>
      </w:pPr>
      <w:r>
        <w:rPr>
          <w:rFonts w:ascii="Verdana" w:eastAsia="Times New Roman" w:hAnsi="Verdana" w:cs="Times New Roman"/>
          <w:i/>
          <w:lang w:val="cs-CZ" w:eastAsia="en-US" w:bidi="en-US"/>
        </w:rPr>
        <w:t>Príklad 2</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 xml:space="preserve">Alfa je materská spoločnosť konsolidovaného celku vrátane dcérskej spoločnosti Beta. Gama je materská spoločnosť ešte väčšieho konsolidovaného celku. Spoločnosť Gama získava spoločnosť Alfa zlúčením spoločnosti Beta výmenou za akciu Gama a hneď po transakcii vlastní spoločnosť Gama viac ako 50% akcií spoločnosti Alfa. Gama je druhá spoločnosť, keďže v podstate všetky svoje aktíva získala spoločnosť Beta. </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Nadobudnutie akcií nevylúčiteľnej spoločnosti nemôže predstavovať spätné nadobudnutie, pretože cieľová spoločnosť sa nemôže stať členom konsolidovanej skupiny prvej spoločnosti.</w:t>
      </w:r>
    </w:p>
    <w:p w:rsidR="005C3F63" w:rsidRDefault="006536E7">
      <w:pPr>
        <w:pStyle w:val="HTML"/>
        <w:spacing w:after="120"/>
        <w:jc w:val="both"/>
        <w:rPr>
          <w:rFonts w:ascii="Verdana" w:eastAsia="Times New Roman" w:hAnsi="Verdana" w:cs="Times New Roman"/>
          <w:i/>
          <w:lang w:val="cs-CZ" w:eastAsia="en-US" w:bidi="en-US"/>
        </w:rPr>
      </w:pPr>
      <w:r>
        <w:rPr>
          <w:rFonts w:ascii="Verdana" w:eastAsia="Times New Roman" w:hAnsi="Verdana" w:cs="Times New Roman"/>
          <w:i/>
          <w:lang w:val="cs-CZ" w:eastAsia="en-US" w:bidi="en-US"/>
        </w:rPr>
        <w:t>Krok 3: Určenie, či prvá spoločnosť a druhá spoločnosť sú členmi tej istej pridruženej skupiny</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 xml:space="preserve">Spätné nadobudnutie nemôže nastať medzi členmi tej istej konsolidovanej skupiny. Ak prvá a druhá spoločnosť zdieľajú iba spoločné vlastníctvo, ale nie sú členmi tej istej konsolidovanej skupiny, vtedy môže dôjsť k spätnému nadobudnutiu medzi oboma stranami. </w:t>
      </w:r>
    </w:p>
    <w:p w:rsidR="005C3F63" w:rsidRDefault="006536E7">
      <w:pPr>
        <w:pStyle w:val="HTML"/>
        <w:spacing w:after="120"/>
        <w:jc w:val="both"/>
        <w:rPr>
          <w:rFonts w:ascii="Verdana" w:eastAsia="Times New Roman" w:hAnsi="Verdana" w:cs="Times New Roman"/>
          <w:i/>
          <w:lang w:val="cs-CZ" w:eastAsia="en-US" w:bidi="en-US"/>
        </w:rPr>
      </w:pPr>
      <w:r>
        <w:rPr>
          <w:rFonts w:ascii="Verdana" w:eastAsia="Times New Roman" w:hAnsi="Verdana" w:cs="Times New Roman"/>
          <w:i/>
          <w:lang w:val="cs-CZ" w:eastAsia="en-US" w:bidi="en-US"/>
        </w:rPr>
        <w:t>Príklad 3</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Pán Kováč vlastní všetky akcie spoločnosti Alfa, ktorá predstavuje materskú spoločnosť konsolidovaného celku. Pán Kováč tiež vlastní všetky akcie spoločnosti Gama, ktorá je materskou spoločnosťou ešte väčšieho konsolidovaného celku. Pán Kováč prevedie všetky akcie spoločnosti Alfa na spoločnosť Gama výmenou za ďalšie akcie spoločnosti Gama a bezprostredne po vykonaní akvizície vlastní Pán Kováč viac ako 50 % spoločnosti Alfa v dôsledku svojho predchádzajúceho vlastníctva akcií v spoločnosti Gama. Došlo tak ku reverznej akvizícii. Spoločnosť Alfa tak končí a spoločnosť Gama bude pokračovať spolu v konsolidovanom celku so spoločnosťou Alfa ako materskou spoločnosťou.</w:t>
      </w:r>
    </w:p>
    <w:p w:rsidR="005C3F63" w:rsidRDefault="006536E7">
      <w:pPr>
        <w:pStyle w:val="HTML"/>
        <w:spacing w:after="120"/>
        <w:jc w:val="both"/>
        <w:rPr>
          <w:rFonts w:ascii="Verdana" w:eastAsia="Times New Roman" w:hAnsi="Verdana" w:cs="Times New Roman"/>
          <w:i/>
          <w:lang w:val="cs-CZ" w:eastAsia="en-US" w:bidi="en-US"/>
        </w:rPr>
      </w:pPr>
      <w:r>
        <w:rPr>
          <w:rFonts w:ascii="Verdana" w:eastAsia="Times New Roman" w:hAnsi="Verdana" w:cs="Times New Roman"/>
          <w:i/>
          <w:lang w:val="cs-CZ" w:eastAsia="en-US" w:bidi="en-US"/>
        </w:rPr>
        <w:lastRenderedPageBreak/>
        <w:t>Krok 4: Určenie, či akcionári druhej spoločnosti (bezprostredne pred akvizíciou) vlastnia viac ako 50% reálnej trhovej hodnoty prvej spoločnosti (bezprostredne po akvizícii) ako dôsledok vlastníctva akcií druhej spoločnosti</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Vyžaduje sa aby akcionári druhej spoločnosti bezprostredne pred transakciou vlastnili viac ako 50% hodnoty akcií prvej spoločnosti bezprostredne po transakcii. Pretože 50-percentná požiadavka sa zameriava čisto na hodnotu prvej spoločnosti, nie na schopnosť akcionárov druhej spoločnosti podieľať sa na operáciách prvej spoločnosti, tak sa zohľadňujú všetky akcie prvej spoločnosti. Ku spätnému získanie môže teda dôjsť aj vtedy, keď akcionári druhej spoločnosti dostanú prioritné akcie prvej spoločnosti bez hlasovacieho práva, za predpokladu, že preferované akcie bez hlasovacieho práva predstavujú viac ako 50% celkovej hodnoty všetkých nesplatených akcií prvej spoločnosti.</w:t>
      </w:r>
    </w:p>
    <w:p w:rsidR="005C3F63" w:rsidRDefault="006536E7">
      <w:pPr>
        <w:pStyle w:val="HTML"/>
        <w:spacing w:after="120"/>
        <w:jc w:val="both"/>
        <w:rPr>
          <w:rFonts w:ascii="Verdana" w:eastAsia="Times New Roman" w:hAnsi="Verdana" w:cs="Times New Roman"/>
          <w:i/>
          <w:lang w:val="cs-CZ" w:eastAsia="en-US" w:bidi="en-US"/>
        </w:rPr>
      </w:pPr>
      <w:r>
        <w:rPr>
          <w:rFonts w:ascii="Verdana" w:eastAsia="Times New Roman" w:hAnsi="Verdana" w:cs="Times New Roman"/>
          <w:i/>
          <w:lang w:val="cs-CZ" w:eastAsia="en-US" w:bidi="en-US"/>
        </w:rPr>
        <w:t>Príklad 4</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Pán Kováč je jediným akcionárom spoločnosti Alfa, ktorá je materskou spoločnosťou konsolidovanej skupiny. Akcie spoločnosti Alfa majú hodnotu 1 000 Eur. Pán Kováč prevedie 1 200 Eur v hotovosti a akcie spoločnosti Alfa do novozaloženej holdingovej spoločnosti Delta za výmenu všetkých akcií Delta. Aj keď pán Kováč vlastní 100 percent prvej spoločnosti (Delta) bezprostredne po transakcii, tak nedošlo ku spätnému nadobudnutiu, pretože pán Kováč nevlastní viac ako 50 % hodnoty akcií spoločnosti Delta v dôsledku vlastníctva akcií v deuhej spoločnosti Alfa. Pán Kováč vlastní iba 1 000 Eur/2 200 Eur z hodnoty Gama v dôsledku vlastníctva akcií. Zvyšok hodnoty spoločnosti Gama vlastní pán Kováč ako výsledok platenia v hotovosti.</w:t>
      </w:r>
    </w:p>
    <w:p w:rsidR="005C3F63" w:rsidRDefault="006536E7">
      <w:pPr>
        <w:pStyle w:val="HTML"/>
        <w:spacing w:after="120"/>
        <w:jc w:val="both"/>
        <w:rPr>
          <w:rFonts w:ascii="Verdana" w:eastAsia="Times New Roman" w:hAnsi="Verdana" w:cs="Times New Roman"/>
          <w:i/>
          <w:lang w:val="cs-CZ" w:eastAsia="en-US" w:bidi="en-US"/>
        </w:rPr>
      </w:pPr>
      <w:r>
        <w:rPr>
          <w:rFonts w:ascii="Verdana" w:eastAsia="Times New Roman" w:hAnsi="Verdana" w:cs="Times New Roman"/>
          <w:i/>
          <w:lang w:val="cs-CZ" w:eastAsia="en-US" w:bidi="en-US"/>
        </w:rPr>
        <w:t>Krok 5: Určenie, či pridružená skupina existuje po akvizícii</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Neexistuje požiadavka, aby prvá alebo druhá spoločnosť bola pred akvizíciou členom konsolidovaného celku. Preto môže dôjsť ku spätnému nadobudnutiu medzi dvoma konsolidovanými skupinami, samostatnou spoločnosťou a členom konsolidovanej skupiny a dvoma samostatnými spoločnosťami, ak sú korporácie pridružené po transakcii.</w:t>
      </w:r>
    </w:p>
    <w:p w:rsidR="005C3F63" w:rsidRDefault="006536E7">
      <w:pPr>
        <w:pStyle w:val="HTML"/>
        <w:spacing w:after="120"/>
        <w:jc w:val="both"/>
        <w:rPr>
          <w:rFonts w:ascii="Verdana" w:eastAsia="Times New Roman" w:hAnsi="Verdana" w:cs="Times New Roman"/>
          <w:i/>
          <w:lang w:val="cs-CZ" w:eastAsia="en-US" w:bidi="en-US"/>
        </w:rPr>
      </w:pPr>
      <w:r>
        <w:rPr>
          <w:rFonts w:ascii="Verdana" w:eastAsia="Times New Roman" w:hAnsi="Verdana" w:cs="Times New Roman"/>
          <w:i/>
          <w:lang w:val="cs-CZ" w:eastAsia="en-US" w:bidi="en-US"/>
        </w:rPr>
        <w:t>Príklad 5</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Alfa je pridružená spoločnosť. Gama je väčšia nepridružená spoločnosť. Alfa získava všetky akcie spoločnosti Gama výmenou za akcie Alfa a bezprostredne po transakcii vlastní akcionár viac ako 50% hodnoty akcií Alfa. Napriek tomu, že ani spoločnosť Alfa ani Gama neboli pred transakciou členmi konsolidovanej skupiny, uplatňujú sa pravidlá spätného nadobudnutia.</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Dôsledkami spätného nadobudnutia je predovšetkým určenie, ktorá skupina pokračuje vo svojej existencie a ktorá skupina končí, keď dôjde k spätnému nadobudnutiu. Toto určenie bude ďalej určovať nasledujúce dôsledky pre výslednú konsolidovanú skupinu.</w:t>
      </w:r>
    </w:p>
    <w:p w:rsidR="005C3F63" w:rsidRDefault="006536E7">
      <w:pPr>
        <w:pStyle w:val="Kapitola"/>
        <w:jc w:val="both"/>
        <w:rPr>
          <w:lang w:val="cs-CZ"/>
        </w:rPr>
      </w:pPr>
      <w:r>
        <w:rPr>
          <w:lang w:val="cs-CZ"/>
        </w:rPr>
        <w:t>Záver / Conclusions</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 xml:space="preserve">Reverzné akvizície sú mimoriadne komplikovanou oblasťou. Zmätok spôsobený v nariadeniach často vedie k tomu, že sa ťažko zisťuje, kedy transakcia predstavuje spätné nadobudnutie a kedy nie, čo má za následok nepriaznivé daňové dôsledky. Použitím päťkrokového prístupu sa zvyšuje predpoklad, že sa vytvorí jednoduchšia cesta k ľahšiemu rozpoznávaniu, či došlo ku spätnému nadobudnutiu alebo nie. </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Vďaka praktickým príkladom sme ľahšie pochopili základný princíp reverznej akvizície. Po porovnaní americkej literatúry s IFRS 3 musíme však konštatovať, že vysvetlenie problematiky v medzinárodných štandardoch je oveľa chaotickejšie a menej prehľadné. Taktiež chýbajú jednoduché praktické príklady na lepšie pochopenie. Podľa nášho názoru americká literatúra prehľadnejšia a detailnejšie opisuje veľa druhov reverzných akvizícií.</w:t>
      </w:r>
    </w:p>
    <w:p w:rsidR="005C3F63" w:rsidRDefault="006536E7">
      <w:pPr>
        <w:pStyle w:val="HTML"/>
        <w:spacing w:after="120"/>
        <w:jc w:val="both"/>
        <w:rPr>
          <w:rFonts w:ascii="Verdana" w:eastAsia="Times New Roman" w:hAnsi="Verdana" w:cs="Times New Roman"/>
          <w:lang w:val="cs-CZ" w:eastAsia="en-US" w:bidi="en-US"/>
        </w:rPr>
      </w:pPr>
      <w:r>
        <w:rPr>
          <w:rFonts w:ascii="Verdana" w:eastAsia="Times New Roman" w:hAnsi="Verdana" w:cs="Times New Roman"/>
          <w:lang w:val="cs-CZ" w:eastAsia="en-US" w:bidi="en-US"/>
        </w:rPr>
        <w:t xml:space="preserve">Keďže problematika rezervných akvizícií nie je celosvetovo jednoznačne definovaná a ukotvená v zákonoch, našim návrhom by bolo začlenenie päťstupnového systému do legislavíty a taktiež zjednotenie pojmov a to na celosvetovej úrovni, pričom by boli uvedené aj dané príklady pre lepšie pochopenie problematiky. Pri určovaní toho, či ide o </w:t>
      </w:r>
      <w:r>
        <w:rPr>
          <w:rFonts w:ascii="Verdana" w:eastAsia="Times New Roman" w:hAnsi="Verdana" w:cs="Times New Roman"/>
          <w:lang w:val="cs-CZ" w:eastAsia="en-US" w:bidi="en-US"/>
        </w:rPr>
        <w:lastRenderedPageBreak/>
        <w:t>akvizíciu alebo reverznú akvizíciu sa často stáva, že tieto dva pojmy su mylne zamenené. Preto je nutné určiť hranice, aby boli dané definície jednoduchšie odlíšiteľné.</w:t>
      </w:r>
    </w:p>
    <w:p w:rsidR="005C3F63" w:rsidRDefault="006536E7">
      <w:pPr>
        <w:pStyle w:val="Kapitola"/>
        <w:jc w:val="both"/>
        <w:rPr>
          <w:lang w:val="cs-CZ"/>
        </w:rPr>
      </w:pPr>
      <w:r>
        <w:rPr>
          <w:lang w:val="cs-CZ"/>
        </w:rPr>
        <w:t>Príslušnost ku grantovej úlohe / Acknowledgments</w:t>
      </w:r>
    </w:p>
    <w:p w:rsidR="005C3F63" w:rsidRDefault="006536E7">
      <w:pPr>
        <w:spacing w:after="120"/>
        <w:rPr>
          <w:rFonts w:ascii="Verdana" w:hAnsi="Verdana"/>
          <w:sz w:val="20"/>
          <w:szCs w:val="20"/>
          <w:lang w:val="cs-CZ"/>
        </w:rPr>
      </w:pPr>
      <w:r>
        <w:rPr>
          <w:rFonts w:ascii="Verdana" w:hAnsi="Verdana"/>
          <w:sz w:val="20"/>
          <w:szCs w:val="20"/>
          <w:lang w:val="cs-CZ"/>
        </w:rPr>
        <w:t>Tento príspevok je čiastkovým výstupom riešenia grantu Ekonomickej univerzity v Bratislave č. I-20-103-00 „Hodnotenie inovačného potenciálu v podmienkach nových manažérskych trendov na základe navrhnutých determinantov v automobilovom priemysle“ v rozsahu 100%.</w:t>
      </w:r>
    </w:p>
    <w:p w:rsidR="005C3F63" w:rsidRDefault="006536E7">
      <w:pPr>
        <w:pStyle w:val="Kapitola"/>
        <w:jc w:val="both"/>
        <w:rPr>
          <w:lang w:val="cs-CZ"/>
        </w:rPr>
      </w:pPr>
      <w:r>
        <w:rPr>
          <w:lang w:val="cs-CZ"/>
        </w:rPr>
        <w:t>Literárne zdroje a iné odkazy / References</w:t>
      </w:r>
    </w:p>
    <w:p w:rsidR="005C3F63" w:rsidRDefault="006536E7">
      <w:pPr>
        <w:spacing w:after="120"/>
        <w:rPr>
          <w:rFonts w:ascii="Verdana" w:hAnsi="Verdana"/>
          <w:sz w:val="20"/>
          <w:szCs w:val="20"/>
          <w:lang w:val="cs-CZ"/>
        </w:rPr>
      </w:pPr>
      <w:r>
        <w:rPr>
          <w:rFonts w:ascii="Verdana" w:hAnsi="Verdana"/>
          <w:sz w:val="20"/>
          <w:szCs w:val="20"/>
          <w:lang w:val="cs-CZ"/>
        </w:rPr>
        <w:t>Deloitte (2010). Accounting for reverse acquisition. Retrieved from: https://www2.deloitte.com/ng/en/pages/audit/articles/financial-reporting/accounting-for-reverse-acquisition-part1.html#</w:t>
      </w:r>
    </w:p>
    <w:p w:rsidR="005C3F63" w:rsidRDefault="006536E7">
      <w:pPr>
        <w:spacing w:after="120"/>
        <w:rPr>
          <w:rFonts w:ascii="Verdana" w:hAnsi="Verdana"/>
          <w:sz w:val="20"/>
          <w:szCs w:val="20"/>
          <w:lang w:val="cs-CZ"/>
        </w:rPr>
      </w:pPr>
      <w:r>
        <w:rPr>
          <w:rFonts w:ascii="Verdana" w:hAnsi="Verdana"/>
          <w:sz w:val="20"/>
          <w:szCs w:val="20"/>
          <w:lang w:val="cs-CZ"/>
        </w:rPr>
        <w:t>Farkaš, R., (2013). Konsolidovaná účtovná závierka v Slovenskej republike. Wolters Kluwer. Bratislava</w:t>
      </w:r>
    </w:p>
    <w:p w:rsidR="005C3F63" w:rsidRDefault="006536E7">
      <w:pPr>
        <w:spacing w:after="120"/>
        <w:rPr>
          <w:rFonts w:ascii="Verdana" w:hAnsi="Verdana"/>
          <w:sz w:val="20"/>
          <w:szCs w:val="20"/>
          <w:lang w:val="cs-CZ"/>
        </w:rPr>
      </w:pPr>
      <w:r>
        <w:rPr>
          <w:rFonts w:ascii="Verdana" w:hAnsi="Verdana"/>
          <w:sz w:val="20"/>
          <w:szCs w:val="20"/>
          <w:lang w:val="cs-CZ"/>
        </w:rPr>
        <w:t xml:space="preserve">Feldman D.N., (2006) Reverse mergers taking a company public without an IPOs. Second Edition. Bloomberg Press. New York. ISBN – 978-1576603406  </w:t>
      </w:r>
    </w:p>
    <w:p w:rsidR="005C3F63" w:rsidRDefault="006536E7">
      <w:pPr>
        <w:spacing w:after="120"/>
        <w:rPr>
          <w:rFonts w:ascii="Verdana" w:hAnsi="Verdana"/>
          <w:sz w:val="20"/>
          <w:szCs w:val="20"/>
          <w:lang w:val="cs-CZ"/>
        </w:rPr>
      </w:pPr>
      <w:r>
        <w:rPr>
          <w:rFonts w:ascii="Verdana" w:hAnsi="Verdana"/>
          <w:sz w:val="20"/>
          <w:szCs w:val="20"/>
          <w:lang w:val="cs-CZ"/>
        </w:rPr>
        <w:t>Hornická, R., (2013). Konsolidace a ekvivalence majetkových učástí dle IFRS. Wolters Kluwer. Praha</w:t>
      </w:r>
    </w:p>
    <w:p w:rsidR="005C3F63" w:rsidRDefault="006536E7">
      <w:pPr>
        <w:pStyle w:val="aff"/>
        <w:jc w:val="both"/>
        <w:rPr>
          <w:rFonts w:ascii="Verdana" w:eastAsia="Times New Roman" w:hAnsi="Verdana"/>
          <w:kern w:val="0"/>
          <w:sz w:val="20"/>
          <w:szCs w:val="20"/>
          <w:shd w:val="clear" w:color="auto" w:fill="auto"/>
          <w:lang w:val="cs-CZ" w:eastAsia="en-US" w:bidi="en-US"/>
        </w:rPr>
      </w:pPr>
      <w:r>
        <w:rPr>
          <w:rFonts w:ascii="Verdana" w:eastAsia="Times New Roman" w:hAnsi="Verdana"/>
          <w:kern w:val="0"/>
          <w:sz w:val="20"/>
          <w:szCs w:val="20"/>
          <w:shd w:val="clear" w:color="auto" w:fill="auto"/>
          <w:lang w:val="cs-CZ" w:eastAsia="en-US" w:bidi="en-US"/>
        </w:rPr>
        <w:t>IFRS 3. Business combinationst. IASB, 2008.</w:t>
      </w:r>
    </w:p>
    <w:p w:rsidR="005C3F63" w:rsidRDefault="006536E7">
      <w:pPr>
        <w:spacing w:after="120"/>
        <w:rPr>
          <w:rFonts w:ascii="Verdana" w:hAnsi="Verdana"/>
          <w:sz w:val="20"/>
          <w:szCs w:val="20"/>
          <w:lang w:val="cs-CZ"/>
        </w:rPr>
      </w:pPr>
      <w:r>
        <w:rPr>
          <w:rFonts w:ascii="Verdana" w:hAnsi="Verdana"/>
          <w:sz w:val="20"/>
          <w:szCs w:val="20"/>
          <w:lang w:val="cs-CZ"/>
        </w:rPr>
        <w:t>Nitty A.J., (2012). Identifying Reverse Acquisitions and the Resulting Tax Concequences. Retrieved from: https://www.withum.com/wp-content/uploads/2014/04/Identifying-Reverse-Acquisitions-and-the-Resulting-Tax-Consequences.pdf</w:t>
      </w:r>
    </w:p>
    <w:p w:rsidR="005C3F63" w:rsidRDefault="006536E7">
      <w:pPr>
        <w:spacing w:after="120"/>
        <w:rPr>
          <w:rFonts w:ascii="Verdana" w:hAnsi="Verdana"/>
          <w:sz w:val="20"/>
          <w:szCs w:val="20"/>
          <w:lang w:val="cs-CZ"/>
        </w:rPr>
      </w:pPr>
      <w:r>
        <w:rPr>
          <w:rFonts w:ascii="Verdana" w:hAnsi="Verdana"/>
          <w:sz w:val="20"/>
          <w:szCs w:val="20"/>
          <w:lang w:val="cs-CZ"/>
        </w:rPr>
        <w:t>Ondrušová, L.,Parajka, B., (2014). The Revaluation of assets and liabilities at fair value in merger. In Managing and modelling of financial risks. International scientific conference. Managing and modelling of financial risks : proceedings : 7th international scientific conference : 8th - 9th september 2014, Ostrava, Czech Republic p. 577-581.</w:t>
      </w:r>
    </w:p>
    <w:p w:rsidR="005C3F63" w:rsidRDefault="006536E7">
      <w:pPr>
        <w:spacing w:after="120"/>
        <w:rPr>
          <w:rFonts w:ascii="Verdana" w:hAnsi="Verdana"/>
          <w:sz w:val="20"/>
          <w:szCs w:val="20"/>
          <w:lang w:val="cs-CZ"/>
        </w:rPr>
      </w:pPr>
      <w:r>
        <w:rPr>
          <w:rFonts w:ascii="Verdana" w:hAnsi="Verdana"/>
          <w:sz w:val="20"/>
          <w:szCs w:val="20"/>
          <w:lang w:val="cs-CZ"/>
        </w:rPr>
        <w:t>Parajka, B., (2007). Úprava konsolidácie účtovnej závierky v rámci Európskej únie. In: Mladá věda '06: sborník z mezinárodní konference studentů doktorského studia, pp.405-412.</w:t>
      </w:r>
    </w:p>
    <w:p w:rsidR="005C3F63" w:rsidRDefault="006536E7">
      <w:pPr>
        <w:spacing w:after="120"/>
        <w:rPr>
          <w:rFonts w:ascii="Verdana" w:hAnsi="Verdana"/>
          <w:sz w:val="20"/>
          <w:szCs w:val="20"/>
          <w:lang w:val="cs-CZ"/>
        </w:rPr>
      </w:pPr>
      <w:r>
        <w:rPr>
          <w:rFonts w:ascii="Verdana" w:hAnsi="Verdana"/>
          <w:sz w:val="20"/>
          <w:szCs w:val="20"/>
          <w:lang w:val="cs-CZ"/>
        </w:rPr>
        <w:t>Podmanická, M., (2014). Verný a pravdivý obraz a legislatívne požiadavky na jeho dosiahnutie vo svetle súčasných vývojových tendencií finančného účtovníctva. In Účetnictví a auditing v procesu světové harmonizace. Mezinárodní vědecká konference. Účetnictví a auditing v procesu světové harmonizace : sborník zo [14.] mezinárodní vědecké konference : Brno, 3. - 5. září 2014. - Praha : Vysoká škola ekonomická v Praze, Nakladatelství Oeconomica, 2014. ISBN 978-80-245-2045-2, s. 136-141. VEGA 1/0122/14</w:t>
      </w:r>
    </w:p>
    <w:p w:rsidR="005C3F63" w:rsidRDefault="006536E7">
      <w:pPr>
        <w:spacing w:after="120"/>
        <w:rPr>
          <w:rFonts w:ascii="Verdana" w:hAnsi="Verdana"/>
          <w:sz w:val="20"/>
          <w:szCs w:val="20"/>
          <w:lang w:val="cs-CZ"/>
        </w:rPr>
      </w:pPr>
      <w:r>
        <w:rPr>
          <w:rFonts w:ascii="Verdana" w:hAnsi="Verdana"/>
          <w:sz w:val="20"/>
          <w:szCs w:val="20"/>
          <w:lang w:val="cs-CZ"/>
        </w:rPr>
        <w:t>Šlosárová, A., Blahušiaková, M., (2017).Analýza účtovnej závierky. Wolters Kluwer. Bratislava</w:t>
      </w:r>
    </w:p>
    <w:p w:rsidR="005C3F63" w:rsidRDefault="006536E7">
      <w:pPr>
        <w:spacing w:after="120"/>
        <w:rPr>
          <w:rFonts w:ascii="Verdana" w:hAnsi="Verdana"/>
          <w:sz w:val="20"/>
          <w:szCs w:val="20"/>
        </w:rPr>
      </w:pPr>
      <w:r>
        <w:rPr>
          <w:rFonts w:ascii="Verdana" w:hAnsi="Verdana"/>
          <w:color w:val="000000"/>
          <w:sz w:val="20"/>
          <w:szCs w:val="20"/>
        </w:rPr>
        <w:t>Tumpach, M., Užík, J., Juhászová, Z., (2014). Irregularities in accounting for provision in Slovakia. In Managing and modelling of financial risks. International scientific conference.</w:t>
      </w:r>
      <w:r>
        <w:rPr>
          <w:rFonts w:ascii="Verdana" w:hAnsi="Verdana"/>
          <w:i/>
          <w:iCs/>
          <w:color w:val="000000"/>
          <w:sz w:val="20"/>
          <w:szCs w:val="20"/>
        </w:rPr>
        <w:t>Managing and modelling of financial risks : proceedings : 7th international scientific conference : 8th - 9th september 2014, Ostrava, Czech Republic</w:t>
      </w:r>
      <w:r>
        <w:rPr>
          <w:rStyle w:val="apple-converted-space"/>
          <w:rFonts w:ascii="Verdana" w:hAnsi="Verdana"/>
          <w:color w:val="000000"/>
          <w:sz w:val="20"/>
          <w:szCs w:val="20"/>
        </w:rPr>
        <w:t> </w:t>
      </w:r>
      <w:r>
        <w:rPr>
          <w:rFonts w:ascii="Verdana" w:hAnsi="Verdana"/>
          <w:color w:val="000000"/>
          <w:sz w:val="20"/>
          <w:szCs w:val="20"/>
        </w:rPr>
        <w:t>[elektronický zdroj]. - Ostrava : VŠB - Technical University of Ostrava, 2014. ISBN 978-80-248-3631-7, p. 824-831</w:t>
      </w:r>
    </w:p>
    <w:p w:rsidR="005C3F63" w:rsidRDefault="005C3F63">
      <w:pPr>
        <w:spacing w:after="120"/>
        <w:rPr>
          <w:rFonts w:ascii="Verdana" w:hAnsi="Verdana"/>
          <w:sz w:val="20"/>
          <w:szCs w:val="20"/>
          <w:lang w:val="cs-CZ"/>
        </w:rPr>
      </w:pPr>
    </w:p>
    <w:p w:rsidR="005C3F63" w:rsidRDefault="006536E7">
      <w:pPr>
        <w:rPr>
          <w:rFonts w:ascii="Verdana" w:hAnsi="Verdana"/>
          <w:sz w:val="20"/>
          <w:szCs w:val="20"/>
          <w:lang w:val="cs-CZ"/>
        </w:rPr>
      </w:pPr>
      <w:r>
        <w:rPr>
          <w:rFonts w:ascii="Verdana" w:hAnsi="Verdana"/>
          <w:sz w:val="20"/>
          <w:szCs w:val="20"/>
          <w:lang w:val="cs-CZ"/>
        </w:rPr>
        <w:br w:type="page"/>
      </w:r>
    </w:p>
    <w:p w:rsidR="005C3F63" w:rsidRDefault="006536E7">
      <w:pPr>
        <w:pStyle w:val="1"/>
        <w:spacing w:before="0" w:after="240"/>
        <w:rPr>
          <w:szCs w:val="24"/>
        </w:rPr>
      </w:pPr>
      <w:bookmarkStart w:id="45" w:name="_Toc47951496"/>
      <w:r>
        <w:rPr>
          <w:szCs w:val="24"/>
        </w:rPr>
        <w:lastRenderedPageBreak/>
        <w:t>Holdings of Cryptocurrencies in IFRS</w:t>
      </w:r>
      <w:bookmarkEnd w:id="45"/>
    </w:p>
    <w:p w:rsidR="005C3F63" w:rsidRDefault="006536E7">
      <w:pPr>
        <w:spacing w:after="120"/>
        <w:jc w:val="center"/>
        <w:rPr>
          <w:rFonts w:ascii="Verdana" w:hAnsi="Verdana"/>
          <w:b/>
          <w:sz w:val="20"/>
          <w:szCs w:val="20"/>
          <w:lang w:val="sk-SK"/>
        </w:rPr>
      </w:pPr>
      <w:bookmarkStart w:id="46" w:name="_Toc47440071"/>
      <w:bookmarkStart w:id="47" w:name="_Toc47444114"/>
      <w:bookmarkStart w:id="48" w:name="_Toc47443416"/>
      <w:bookmarkStart w:id="49" w:name="_Toc47444267"/>
      <w:bookmarkStart w:id="50" w:name="_Toc47441475"/>
      <w:bookmarkStart w:id="51" w:name="_Toc47441661"/>
      <w:bookmarkStart w:id="52" w:name="_Toc47441595"/>
      <w:bookmarkStart w:id="53" w:name="_Toc47447898"/>
      <w:bookmarkStart w:id="54" w:name="_Toc47442654"/>
      <w:bookmarkStart w:id="55" w:name="_Toc47446346"/>
      <w:bookmarkStart w:id="56" w:name="_Toc47448034"/>
      <w:bookmarkStart w:id="57" w:name="_Toc47444425"/>
      <w:bookmarkStart w:id="58" w:name="_Toc47433522"/>
      <w:bookmarkStart w:id="59" w:name="_Toc47439753"/>
      <w:bookmarkStart w:id="60" w:name="_Toc47443549"/>
      <w:bookmarkStart w:id="61" w:name="_Toc47435416"/>
      <w:bookmarkStart w:id="62" w:name="_Toc47438944"/>
      <w:bookmarkStart w:id="63" w:name="_Toc47443650"/>
      <w:bookmarkStart w:id="64" w:name="_Toc47446085"/>
      <w:bookmarkStart w:id="65" w:name="_Toc47444584"/>
      <w:bookmarkStart w:id="66" w:name="_Toc47447132"/>
      <w:bookmarkStart w:id="67" w:name="_Toc47446686"/>
      <w:bookmarkStart w:id="68" w:name="_Toc47440852"/>
      <w:bookmarkStart w:id="69" w:name="_Toc47445931"/>
      <w:bookmarkStart w:id="70" w:name="_Toc47948766"/>
      <w:bookmarkStart w:id="71" w:name="_Toc47951339"/>
      <w:bookmarkStart w:id="72" w:name="_Toc47948704"/>
      <w:bookmarkStart w:id="73" w:name="_Toc47448293"/>
      <w:bookmarkStart w:id="74" w:name="_Toc47448586"/>
      <w:bookmarkStart w:id="75" w:name="_Toc47451128"/>
      <w:bookmarkStart w:id="76" w:name="_Toc47951497"/>
      <w:bookmarkStart w:id="77" w:name="_Toc47448171"/>
      <w:bookmarkStart w:id="78" w:name="_Toc47449287"/>
      <w:bookmarkStart w:id="79" w:name="_Toc47448812"/>
      <w:bookmarkStart w:id="80" w:name="_Toc47445713"/>
      <w:bookmarkStart w:id="81" w:name="_Toc47447952"/>
      <w:bookmarkStart w:id="82" w:name="_Toc47949276"/>
      <w:bookmarkStart w:id="83" w:name="_Toc47448088"/>
      <w:bookmarkStart w:id="84" w:name="_Toc47441179"/>
      <w:bookmarkStart w:id="85" w:name="_Toc47951431"/>
      <w:bookmarkStart w:id="86" w:name="_Toc47948962"/>
      <w:bookmarkStart w:id="87" w:name="_Toc47448531"/>
      <w:r>
        <w:rPr>
          <w:rStyle w:val="AutorChar"/>
          <w:sz w:val="20"/>
          <w:szCs w:val="20"/>
          <w:lang w:val="sk-SK"/>
        </w:rPr>
        <w:t>Miriama Blahušiaková</w:t>
      </w:r>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p>
    <w:p w:rsidR="005C3F63" w:rsidRDefault="006536E7">
      <w:pPr>
        <w:jc w:val="center"/>
        <w:rPr>
          <w:rFonts w:ascii="Verdana" w:hAnsi="Verdana"/>
          <w:sz w:val="18"/>
          <w:szCs w:val="18"/>
          <w:lang w:val="sk-SK"/>
        </w:rPr>
      </w:pPr>
      <w:r>
        <w:rPr>
          <w:rFonts w:ascii="Verdana" w:hAnsi="Verdana"/>
          <w:sz w:val="18"/>
          <w:szCs w:val="18"/>
          <w:lang w:val="sk-SK"/>
        </w:rPr>
        <w:t xml:space="preserve">University of Economics in Bratislava </w:t>
      </w:r>
    </w:p>
    <w:p w:rsidR="005C3F63" w:rsidRDefault="006536E7">
      <w:pPr>
        <w:jc w:val="center"/>
        <w:rPr>
          <w:rFonts w:ascii="Verdana" w:hAnsi="Verdana"/>
          <w:sz w:val="18"/>
          <w:szCs w:val="18"/>
          <w:lang w:val="sk-SK"/>
        </w:rPr>
      </w:pPr>
      <w:r>
        <w:rPr>
          <w:rFonts w:ascii="Verdana" w:hAnsi="Verdana"/>
          <w:sz w:val="18"/>
          <w:szCs w:val="18"/>
          <w:lang w:val="sk-SK"/>
        </w:rPr>
        <w:t>Faculty of Economic Informatics , Department of Accounting and Auditing</w:t>
      </w:r>
    </w:p>
    <w:p w:rsidR="005C3F63" w:rsidRDefault="006536E7">
      <w:pPr>
        <w:jc w:val="center"/>
        <w:rPr>
          <w:rFonts w:ascii="Verdana" w:hAnsi="Verdana"/>
          <w:sz w:val="18"/>
          <w:szCs w:val="18"/>
          <w:lang w:val="sk-SK"/>
        </w:rPr>
      </w:pPr>
      <w:r>
        <w:rPr>
          <w:rFonts w:ascii="Verdana" w:hAnsi="Verdana"/>
          <w:sz w:val="18"/>
          <w:szCs w:val="18"/>
          <w:lang w:val="sk-SK"/>
        </w:rPr>
        <w:t>Dolnozemská cesta 1, 852 35 Bratislava, Slovakia</w:t>
      </w:r>
    </w:p>
    <w:p w:rsidR="005C3F63" w:rsidRDefault="006536E7">
      <w:pPr>
        <w:jc w:val="center"/>
        <w:rPr>
          <w:rFonts w:ascii="Verdana" w:hAnsi="Verdana"/>
          <w:sz w:val="18"/>
          <w:szCs w:val="18"/>
          <w:lang w:val="sk-SK"/>
        </w:rPr>
      </w:pPr>
      <w:r>
        <w:rPr>
          <w:rFonts w:ascii="Verdana" w:hAnsi="Verdana"/>
          <w:sz w:val="18"/>
          <w:szCs w:val="18"/>
          <w:lang w:val="sk-SK"/>
        </w:rPr>
        <w:t xml:space="preserve">E-mail: </w:t>
      </w:r>
      <w:hyperlink r:id="rId16" w:history="1">
        <w:r>
          <w:rPr>
            <w:rStyle w:val="af9"/>
            <w:rFonts w:ascii="Verdana" w:hAnsi="Verdana"/>
            <w:sz w:val="18"/>
            <w:szCs w:val="18"/>
            <w:lang w:val="sk-SK"/>
          </w:rPr>
          <w:t>miriama.blahusiakova@euba.sk</w:t>
        </w:r>
      </w:hyperlink>
    </w:p>
    <w:p w:rsidR="005C3F63" w:rsidRDefault="005C3F63">
      <w:pPr>
        <w:rPr>
          <w:rFonts w:ascii="Verdana" w:hAnsi="Verdana"/>
          <w:sz w:val="22"/>
          <w:lang w:val="sk-SK"/>
        </w:rPr>
      </w:pPr>
    </w:p>
    <w:p w:rsidR="005C3F63" w:rsidRDefault="006536E7">
      <w:pPr>
        <w:spacing w:after="120"/>
        <w:rPr>
          <w:rFonts w:ascii="Verdana" w:hAnsi="Verdana"/>
          <w:i/>
          <w:sz w:val="20"/>
          <w:szCs w:val="20"/>
          <w:lang w:val="en-GB"/>
        </w:rPr>
      </w:pPr>
      <w:r>
        <w:rPr>
          <w:rFonts w:ascii="Verdana" w:hAnsi="Verdana"/>
          <w:b/>
          <w:i/>
          <w:sz w:val="20"/>
          <w:szCs w:val="20"/>
          <w:lang w:val="sk-SK"/>
        </w:rPr>
        <w:t xml:space="preserve">Abstract: </w:t>
      </w:r>
      <w:r>
        <w:rPr>
          <w:rFonts w:ascii="Verdana" w:hAnsi="Verdana"/>
          <w:i/>
          <w:sz w:val="20"/>
          <w:szCs w:val="20"/>
          <w:lang w:val="en-GB"/>
        </w:rPr>
        <w:t xml:space="preserve">In June 2019, IFRS IC published as a result of international discussion a material „Holdings of Cryptocurrencies“ on how an entity should apply existing IFRS standards to its holdings of cryptocurrencies. The aim of the paper is to provide a detailed analysis of approaches leading to adoption this agenda decision concerning accounting for, measurement and disclosure of cryptocurrency in accounting entities reporting in accordance with IFRS. </w:t>
      </w:r>
    </w:p>
    <w:p w:rsidR="005C3F63" w:rsidRDefault="006536E7">
      <w:pPr>
        <w:spacing w:after="120"/>
        <w:rPr>
          <w:rFonts w:ascii="Verdana" w:hAnsi="Verdana"/>
          <w:i/>
          <w:sz w:val="20"/>
          <w:szCs w:val="20"/>
          <w:lang w:val="sk-SK"/>
        </w:rPr>
      </w:pPr>
      <w:r>
        <w:rPr>
          <w:rFonts w:ascii="Verdana" w:hAnsi="Verdana"/>
          <w:b/>
          <w:i/>
          <w:sz w:val="20"/>
          <w:szCs w:val="20"/>
          <w:lang w:val="sk-SK"/>
        </w:rPr>
        <w:t>Keywords:</w:t>
      </w:r>
      <w:r>
        <w:rPr>
          <w:rFonts w:ascii="Verdana" w:hAnsi="Verdana"/>
          <w:i/>
          <w:sz w:val="20"/>
          <w:szCs w:val="20"/>
          <w:lang w:val="sk-SK"/>
        </w:rPr>
        <w:t xml:space="preserve"> holdings of cryptocurrencies, IFRS, measurement, accounting for</w:t>
      </w:r>
    </w:p>
    <w:p w:rsidR="005C3F63" w:rsidRDefault="006536E7">
      <w:pPr>
        <w:pStyle w:val="04-Anotacijostekstas"/>
        <w:spacing w:before="0" w:after="120"/>
        <w:ind w:left="0" w:right="-284"/>
        <w:jc w:val="left"/>
        <w:rPr>
          <w:rFonts w:ascii="Verdana" w:hAnsi="Verdana"/>
          <w:i/>
          <w:lang w:val="sk-SK"/>
        </w:rPr>
      </w:pPr>
      <w:r>
        <w:rPr>
          <w:rFonts w:ascii="Verdana" w:hAnsi="Verdana"/>
          <w:i/>
          <w:lang w:val="sk-SK"/>
        </w:rPr>
        <w:t>JEL codes: M41</w:t>
      </w:r>
    </w:p>
    <w:p w:rsidR="005C3F63" w:rsidRDefault="006536E7">
      <w:pPr>
        <w:spacing w:before="240" w:after="120"/>
        <w:rPr>
          <w:rStyle w:val="KapitolaChar"/>
          <w:rFonts w:eastAsia="Calibri"/>
          <w:lang w:val="sk-SK"/>
        </w:rPr>
      </w:pPr>
      <w:r>
        <w:rPr>
          <w:rStyle w:val="KapitolaChar"/>
          <w:rFonts w:eastAsia="Calibri"/>
          <w:lang w:val="sk-SK"/>
        </w:rPr>
        <w:t>1 Úvod / Introduction</w:t>
      </w:r>
    </w:p>
    <w:p w:rsidR="005C3F63" w:rsidRDefault="006536E7">
      <w:pPr>
        <w:spacing w:after="120"/>
        <w:rPr>
          <w:rFonts w:ascii="Verdana" w:hAnsi="Verdana"/>
          <w:sz w:val="20"/>
          <w:szCs w:val="20"/>
          <w:lang w:val="sk-SK"/>
        </w:rPr>
      </w:pPr>
      <w:r>
        <w:rPr>
          <w:rFonts w:ascii="Verdana" w:hAnsi="Verdana"/>
          <w:b/>
          <w:sz w:val="20"/>
          <w:szCs w:val="20"/>
          <w:lang w:val="sk-SK"/>
        </w:rPr>
        <w:t>Kryptomajetok</w:t>
      </w:r>
      <w:r>
        <w:rPr>
          <w:rFonts w:ascii="Verdana" w:hAnsi="Verdana"/>
          <w:sz w:val="20"/>
          <w:szCs w:val="20"/>
          <w:lang w:val="sk-SK"/>
        </w:rPr>
        <w:t xml:space="preserve"> predstavuje prenosné digitálne médium navrhnuté tak, aby sa zabránilo jeho kopírovaniu alebo rozmnožovaniu. Jednou z najznámejších podskupín kryptomajetku sú kryptomeny, ktoré sa využívajú najmä na obchodovanie a vyznačujú sa podobnými charakteristikami ako tradičné FIAT peniaze. FIAT peniaze nie sú nikde presne definované, ale spojením viacerých charakteristík by sme ich mohli definovať ako vládou uznané zákonné platidlo s nízkou alebo žiadnou vnútornou hodnotou, ktoré nie je kryté drahými kovmi, a ktoré môže byť použité ako prostriedok výmeny. Základný rozdiel medzi kryptomenou a klasickými FIAT peniazmi spočíva v tom, že nie je možné zvýšiť množstvo kryptomeny v obehu, počet konkrétnej kryptomeny je vopred pevne stanovený, kryptomena sa v porovnaní s FIAT peniazmi vyznačuje decentralizáciou, dereguláciou, jednoduchosťou platieb, deflačným charakterom a anonymitou transakcií. </w:t>
      </w:r>
    </w:p>
    <w:p w:rsidR="005C3F63" w:rsidRDefault="006536E7">
      <w:pPr>
        <w:spacing w:after="120"/>
        <w:rPr>
          <w:rFonts w:ascii="Verdana" w:hAnsi="Verdana"/>
          <w:sz w:val="20"/>
          <w:szCs w:val="20"/>
          <w:lang w:val="sk-SK"/>
        </w:rPr>
      </w:pPr>
      <w:r>
        <w:rPr>
          <w:rFonts w:ascii="Verdana" w:hAnsi="Verdana"/>
          <w:b/>
          <w:sz w:val="20"/>
          <w:szCs w:val="20"/>
          <w:lang w:val="sk-SK"/>
        </w:rPr>
        <w:t xml:space="preserve">Kryptomena </w:t>
      </w:r>
      <w:r>
        <w:rPr>
          <w:rFonts w:ascii="Verdana" w:hAnsi="Verdana"/>
          <w:sz w:val="20"/>
          <w:szCs w:val="20"/>
          <w:lang w:val="sk-SK"/>
        </w:rPr>
        <w:t xml:space="preserve">môže byť všeobecne definovaná ako digitálny majetok slúžiaci ako prostriedok výmeny, ktorý využíva silné šifrovanie na zabezpečenie finančných transakcií. Kryptomena je založená na zložitom kryptografickom algoritme, využíva a implementuje princípy kryptografie na vytvorenie distribuovanej, decentralizovanej a bezpečnej digitálnej meny. Nemá vnútornú hodnotu, nie je krytá zlatom ani inou komoditou. Nemá fyzickú formu, nie je uznaná za zákonné platidlo. Jej hodnota závisí od ponuky a dopytu na trhu. Prvá kryptomena, ktorá sa objavila na trhu v roku 2009, bol </w:t>
      </w:r>
      <w:r>
        <w:rPr>
          <w:rFonts w:ascii="Verdana" w:hAnsi="Verdana"/>
          <w:b/>
          <w:sz w:val="20"/>
          <w:szCs w:val="20"/>
          <w:lang w:val="sk-SK"/>
        </w:rPr>
        <w:t>Bitcoin</w:t>
      </w:r>
      <w:r>
        <w:rPr>
          <w:rFonts w:ascii="Verdana" w:hAnsi="Verdana"/>
          <w:sz w:val="20"/>
          <w:szCs w:val="20"/>
          <w:lang w:val="sk-SK"/>
        </w:rPr>
        <w:t xml:space="preserve">, kedy bol vytvorený prvý blok v blockchaine. Blockchain je bezpečná distribuovaná databáza chránená šifrovaním tak, že zaručuje bezpečnosť informácií a chráni pred prístupom a úpravami od nevyžiadaných tretích strán. Dáta sa ukladajú do samostatných blokov (block), ktoré sa ukladajú jeden za druhým do reťazca (chain). Blockchain technológia je bezpečná, lacná a rýchla, transparentná, ale zároveň anonymná. (Šlosárová and Blahušiaková, 2018) Hodnota blockchain nespočíva iba vo vlastníctve kryptomeny, ale aj v možnosti dovoliť integráciu veľkého množstva systémov tej istej platformy decentralizovaným a bezpečným spôsobom. (Lopes and Alexandre, 2019) </w:t>
      </w:r>
    </w:p>
    <w:p w:rsidR="005C3F63" w:rsidRDefault="006536E7">
      <w:pPr>
        <w:spacing w:after="120"/>
        <w:rPr>
          <w:rFonts w:ascii="Verdana" w:hAnsi="Verdana"/>
          <w:sz w:val="20"/>
          <w:szCs w:val="20"/>
          <w:lang w:val="sk-SK"/>
        </w:rPr>
      </w:pPr>
      <w:r>
        <w:rPr>
          <w:rFonts w:ascii="Verdana" w:hAnsi="Verdana"/>
          <w:sz w:val="20"/>
          <w:szCs w:val="20"/>
          <w:lang w:val="sk-SK"/>
        </w:rPr>
        <w:t>Byström (2019) uvádza, že v účtovníctve „by blockchain mohol zlepšiť kvalitu poskytovaných informácií pre potenciálnych investorov dvomi spôsobmi: tým, že zvýši dôveryhodnosť týchto informácií a tým, že informácie budú poskytnuté včas.“</w:t>
      </w:r>
    </w:p>
    <w:p w:rsidR="005C3F63" w:rsidRDefault="006536E7">
      <w:pPr>
        <w:spacing w:after="120"/>
        <w:rPr>
          <w:rFonts w:ascii="Verdana" w:hAnsi="Verdana"/>
          <w:sz w:val="20"/>
          <w:szCs w:val="20"/>
          <w:lang w:val="sk-SK"/>
        </w:rPr>
      </w:pPr>
      <w:r>
        <w:rPr>
          <w:rFonts w:ascii="Verdana" w:hAnsi="Verdana"/>
          <w:sz w:val="20"/>
          <w:szCs w:val="20"/>
          <w:lang w:val="sk-SK"/>
        </w:rPr>
        <w:t xml:space="preserve">Kryptomene nebola spočiatku venovaná žiadna, resp. minimálna pozornosť. Viacero autorov sa postupne zaoberalo kryptomenou, ale skôr z hľadiska technológie jej ťažby, kryptografie, ochrany dát, príp. z hľadiska predikcie jej ceny v rámci času, ako napr. Smales (2020), Scharding (2019), Ortisi (2016), Lansky (2018), Swan and Filippi (2017) a pod. Až s rastom transakcií spojených s kryptomenou, rastom jej hodnoty sa o ňu začali zaujímať jurisdikcie po celom svete, a to najmä z hľadiska zdaňovania príjmov plynúcich z obchodovania s kryptomenou. V tejto súvislosti sa očakávalo, že Európska </w:t>
      </w:r>
      <w:r>
        <w:rPr>
          <w:rFonts w:ascii="Verdana" w:hAnsi="Verdana"/>
          <w:sz w:val="20"/>
          <w:szCs w:val="20"/>
          <w:lang w:val="sk-SK"/>
        </w:rPr>
        <w:lastRenderedPageBreak/>
        <w:t xml:space="preserve">únia pripraví spoločný rámec pre všetky členské štáty Európskej únie v oblasti identifikácie, oceňovania, účtovania, zdaňovania a vykazovania kryptomeny v účtovnej závierke, a to najmä z toho dôvodu, že táto oblasť nebola doteraz v rámci Medzinárodných štandardov finančného vykazovania (angl. International Financial Reporting Standards – IFRS, ďalej aj „IFRS“) riešená. </w:t>
      </w:r>
    </w:p>
    <w:p w:rsidR="005C3F63" w:rsidRDefault="006536E7">
      <w:pPr>
        <w:spacing w:after="120"/>
        <w:rPr>
          <w:rFonts w:ascii="Verdana" w:hAnsi="Verdana"/>
          <w:sz w:val="20"/>
          <w:szCs w:val="20"/>
          <w:lang w:val="sk-SK"/>
        </w:rPr>
      </w:pPr>
      <w:r>
        <w:rPr>
          <w:rFonts w:ascii="Verdana" w:hAnsi="Verdana"/>
          <w:sz w:val="20"/>
          <w:szCs w:val="20"/>
          <w:lang w:val="sk-SK"/>
        </w:rPr>
        <w:t>Prvý potenciálny projekt týkajúci sa kryptomeny pre Radu pre medzinárodné účtovné štandardy (angl. International Accounting Standards Board – IASB, ďalej aj „Rada IASB“) bol identifikovaný v roku 2015. V tom čase sa však Rada IASB rozhodla zatiaľ v tejto súvislosti nekonať, ale iba monitorovať vývoj v tejto oblasti.</w:t>
      </w:r>
    </w:p>
    <w:p w:rsidR="005C3F63" w:rsidRDefault="006536E7">
      <w:pPr>
        <w:spacing w:after="120"/>
        <w:rPr>
          <w:rFonts w:ascii="Verdana" w:hAnsi="Verdana"/>
          <w:sz w:val="20"/>
          <w:szCs w:val="20"/>
          <w:lang w:val="sk-SK"/>
        </w:rPr>
      </w:pPr>
      <w:r>
        <w:rPr>
          <w:rFonts w:ascii="Verdana" w:hAnsi="Verdana"/>
          <w:sz w:val="20"/>
          <w:szCs w:val="20"/>
          <w:lang w:val="sk-SK"/>
        </w:rPr>
        <w:t xml:space="preserve">V decembri 2016 sa konalo stretnutie Poradného fóra pre účtovné štandardy (angl. Accounting Standards Advisory Forum – ASAF, ďalej aj „ASAF“), ktoré predstavuje poradné fórum nadácie IFRS pozostávajúce zo zástupcov národných a medzinárodných tvorcov účtovných štandardov. Cieľom stretnutia bolo pomôcť Rade IASB pri tvorbe a novelizácii IFRS v oblasti kryptomajetku. Diskusia k tejto téme bola zameraná na klasifikáciu kryptomajetku z pohľadu držiteľa. Jedným z bodov tohto stretnutia bola analýza potreby legislatívnej úpravy vykazovania kryptomeny v účtovnej závierke v spoločnosti vykazujúcej podľa IFRS. Žiadne formálne stanovisko Rady IASB však nebolo v tom čase vydané. </w:t>
      </w:r>
    </w:p>
    <w:p w:rsidR="005C3F63" w:rsidRDefault="006536E7">
      <w:pPr>
        <w:spacing w:after="120"/>
        <w:rPr>
          <w:rFonts w:ascii="Verdana" w:hAnsi="Verdana"/>
          <w:sz w:val="20"/>
          <w:szCs w:val="20"/>
          <w:lang w:val="sk-SK"/>
        </w:rPr>
      </w:pPr>
      <w:r>
        <w:rPr>
          <w:rFonts w:ascii="Verdana" w:hAnsi="Verdana"/>
          <w:sz w:val="20"/>
          <w:szCs w:val="20"/>
          <w:lang w:val="sk-SK"/>
        </w:rPr>
        <w:t>V nadväznosti na uvedené skutočnosti sa do procesu legislatívnej úpravy účtovania kryptomeny zapojila aj Rada pre Austrálske účtovné štandardy (angl. Australian Accounting Standards Board – AASB, ďalej aj „Rada AASB“), ktorá pripravila článok, v ktorom hlavný autor Henri Venter (Venter, 2016) uvádza názory a návrhy, ako upraviť kryptomenu v rámci IFRS. V článku sa uvádza, že kryptomena by mala byť považovaná za majetok, a to buď peňažné prostriedky alebo peňažné ekvivalenty, finančné nástroje (iné ako peňažné prostriedky), nehmotný majetok alebo zásoby. Jasnú odpoveď na otázku, ako účtovať a vykazovať kryptomenu, však neuvádza.</w:t>
      </w:r>
    </w:p>
    <w:p w:rsidR="005C3F63" w:rsidRDefault="006536E7">
      <w:pPr>
        <w:spacing w:after="120"/>
        <w:rPr>
          <w:rFonts w:ascii="Verdana" w:hAnsi="Verdana"/>
          <w:sz w:val="20"/>
          <w:szCs w:val="20"/>
          <w:lang w:val="sk-SK"/>
        </w:rPr>
      </w:pPr>
      <w:r>
        <w:rPr>
          <w:rFonts w:ascii="Verdana" w:hAnsi="Verdana"/>
          <w:sz w:val="20"/>
          <w:szCs w:val="20"/>
          <w:lang w:val="sk-SK"/>
        </w:rPr>
        <w:t>V roku 2017 Pierre Moscovici, komisár Európskej únie pre ekonomické a finančné záležitosti, dane a povinnosti v interview Bloomberg agentúry uviedol, že Európska únia študuje kryptomenu veľmi dôkladne, ale relevantné finančné autority neplánujú v tejto oblasti žiadne regulácie, obmedzenia alebo pravidlá. (Gazdarica, 2018)</w:t>
      </w:r>
    </w:p>
    <w:p w:rsidR="005C3F63" w:rsidRDefault="006536E7">
      <w:pPr>
        <w:spacing w:after="120"/>
        <w:rPr>
          <w:rFonts w:ascii="Verdana" w:hAnsi="Verdana"/>
          <w:sz w:val="20"/>
          <w:szCs w:val="20"/>
          <w:lang w:val="sk-SK"/>
        </w:rPr>
      </w:pPr>
      <w:r>
        <w:rPr>
          <w:rFonts w:ascii="Verdana" w:hAnsi="Verdana"/>
          <w:sz w:val="20"/>
          <w:szCs w:val="20"/>
          <w:lang w:val="sk-SK"/>
        </w:rPr>
        <w:t>Začiatkom roka 2018 Európska centrálna banka vyzvala vlády členských štátov Európskej únie, aby začali regulovať a zdaňovať príjmy z kryptomien, ktoré označila za špekulatívny nástroj na pranie špinavých peňazí. (Gazdarica, 2018)</w:t>
      </w:r>
    </w:p>
    <w:p w:rsidR="005C3F63" w:rsidRDefault="006536E7">
      <w:pPr>
        <w:spacing w:after="120"/>
        <w:rPr>
          <w:rFonts w:ascii="Verdana" w:hAnsi="Verdana"/>
          <w:sz w:val="20"/>
          <w:szCs w:val="20"/>
          <w:lang w:val="sk-SK"/>
        </w:rPr>
      </w:pPr>
      <w:r>
        <w:rPr>
          <w:rFonts w:ascii="Verdana" w:hAnsi="Verdana"/>
          <w:sz w:val="20"/>
          <w:szCs w:val="20"/>
          <w:lang w:val="sk-SK"/>
        </w:rPr>
        <w:t xml:space="preserve">V júli 2018 Rada IASB požiadala Výbor pre interpretácie medzinárodných štandardov finančného vykazovania (angl. International Financial Reporting Standards Interpretations Committee – IFRS IC, ďalej aj „Výbor IFRS IC“), aby zvážil vydanie príručky pre účtovanie transakcií s kryptomenami, napr. vo forme agendy rozhodnutí, v ktorom by bol uvedený návod, ako má postupovať účtovná jednotka v rámci existujúcich IFRS. (Leopold and Vollmann, 2019) </w:t>
      </w:r>
    </w:p>
    <w:p w:rsidR="005C3F63" w:rsidRDefault="006536E7">
      <w:pPr>
        <w:spacing w:after="120"/>
        <w:rPr>
          <w:rFonts w:ascii="Verdana" w:hAnsi="Verdana"/>
          <w:sz w:val="20"/>
          <w:szCs w:val="20"/>
          <w:lang w:val="sk-SK"/>
        </w:rPr>
      </w:pPr>
      <w:r>
        <w:rPr>
          <w:rFonts w:ascii="Verdana" w:hAnsi="Verdana"/>
          <w:sz w:val="20"/>
          <w:szCs w:val="20"/>
          <w:lang w:val="sk-SK"/>
        </w:rPr>
        <w:t>V nadväznosti na požiadavku Rady IASB publikoval Výbor IFRS IC v júni 2019 rozhodnutie agendy týkajúce sa „Držby kryptomien“ (angl. Holdings of Cryptocurrencies), v ktorom uvádzal odporúčania, ako má účtovná jednotka vykazujúca v súlade s IFRS aplikovať existujúce IFRS na držby kryptomien ako jednej z podskupín kryptomajetku. V rámci diskusie Výbor IFRS IC považoval za kryptomenu tú časť kryptomajetku, ktorá spĺňala všetky nasledujúce kritériá (IFRS, 2019):</w:t>
      </w:r>
    </w:p>
    <w:p w:rsidR="005C3F63" w:rsidRDefault="006536E7">
      <w:pPr>
        <w:pStyle w:val="afd"/>
        <w:numPr>
          <w:ilvl w:val="0"/>
          <w:numId w:val="5"/>
        </w:numPr>
        <w:spacing w:after="120"/>
        <w:rPr>
          <w:rFonts w:ascii="Verdana" w:hAnsi="Verdana"/>
          <w:sz w:val="20"/>
          <w:szCs w:val="20"/>
          <w:lang w:val="sk-SK"/>
        </w:rPr>
      </w:pPr>
      <w:r>
        <w:rPr>
          <w:rFonts w:ascii="Verdana" w:hAnsi="Verdana"/>
          <w:sz w:val="20"/>
          <w:szCs w:val="20"/>
          <w:lang w:val="sk-SK"/>
        </w:rPr>
        <w:t>za kryptomenu je považovaná tá časť kryptomajetku, ktorá je vo forme digitálnej alebo virtuálnej meny zaznamenanej v distribuovanej knihe, ktorá využíva na zabezpečenie kryptografiu,</w:t>
      </w:r>
    </w:p>
    <w:p w:rsidR="005C3F63" w:rsidRDefault="006536E7">
      <w:pPr>
        <w:pStyle w:val="afd"/>
        <w:numPr>
          <w:ilvl w:val="0"/>
          <w:numId w:val="5"/>
        </w:numPr>
        <w:spacing w:after="120"/>
        <w:rPr>
          <w:rFonts w:ascii="Verdana" w:hAnsi="Verdana"/>
          <w:sz w:val="20"/>
          <w:szCs w:val="20"/>
          <w:lang w:val="sk-SK"/>
        </w:rPr>
      </w:pPr>
      <w:r>
        <w:rPr>
          <w:rFonts w:ascii="Verdana" w:hAnsi="Verdana"/>
          <w:sz w:val="20"/>
          <w:szCs w:val="20"/>
          <w:lang w:val="sk-SK"/>
        </w:rPr>
        <w:t>kryptomena nie je vydaná žiadnou jurisdikčnou autoritou alebo inou stranou,</w:t>
      </w:r>
    </w:p>
    <w:p w:rsidR="005C3F63" w:rsidRDefault="006536E7">
      <w:pPr>
        <w:pStyle w:val="afd"/>
        <w:numPr>
          <w:ilvl w:val="0"/>
          <w:numId w:val="5"/>
        </w:numPr>
        <w:spacing w:after="120"/>
        <w:rPr>
          <w:rFonts w:ascii="Verdana" w:hAnsi="Verdana"/>
          <w:sz w:val="20"/>
          <w:szCs w:val="20"/>
          <w:lang w:val="sk-SK"/>
        </w:rPr>
      </w:pPr>
      <w:r>
        <w:rPr>
          <w:rFonts w:ascii="Verdana" w:hAnsi="Verdana"/>
          <w:sz w:val="20"/>
          <w:szCs w:val="20"/>
          <w:lang w:val="sk-SK"/>
        </w:rPr>
        <w:t xml:space="preserve">kryptomena nezakladá zmluvný vzťah medzi držiteľom a druhou stranou. </w:t>
      </w:r>
    </w:p>
    <w:p w:rsidR="005C3F63" w:rsidRDefault="006536E7">
      <w:pPr>
        <w:spacing w:after="120"/>
        <w:rPr>
          <w:rFonts w:ascii="Verdana" w:hAnsi="Verdana"/>
          <w:sz w:val="20"/>
          <w:szCs w:val="20"/>
          <w:lang w:val="sk-SK"/>
        </w:rPr>
      </w:pPr>
      <w:r>
        <w:rPr>
          <w:rFonts w:ascii="Verdana" w:hAnsi="Verdana"/>
          <w:sz w:val="20"/>
          <w:szCs w:val="20"/>
          <w:lang w:val="sk-SK"/>
        </w:rPr>
        <w:t xml:space="preserve">Vzhľadom na to, že v súčasnosti v rámci IFRS neexistuje samostatný štandard, ktorý by sa venoval kryptomene, bolo v rámci IFRS potrebné zaujať jednotný postoj k tomuto fenoménu 21. storočia. </w:t>
      </w:r>
    </w:p>
    <w:p w:rsidR="005C3F63" w:rsidRDefault="006536E7">
      <w:pPr>
        <w:spacing w:after="120"/>
        <w:rPr>
          <w:rFonts w:ascii="Verdana" w:hAnsi="Verdana"/>
          <w:sz w:val="20"/>
          <w:szCs w:val="20"/>
          <w:lang w:val="sk-SK"/>
        </w:rPr>
      </w:pPr>
      <w:r>
        <w:rPr>
          <w:rFonts w:ascii="Verdana" w:hAnsi="Verdana"/>
          <w:sz w:val="20"/>
          <w:szCs w:val="20"/>
          <w:lang w:val="sk-SK"/>
        </w:rPr>
        <w:lastRenderedPageBreak/>
        <w:t xml:space="preserve">Cieľom príspevku je uskutočniť podrobnú analýzu názorov a prístupov vedúcich k prijatiu agendy Holdings of Cryptocurrencies, ktorá je výsledkom bohatej diskusie v rámci nadnárodnej úpravy na tému, ako vykazovať a oceňovať kryptomenu v účtovných jednotkách postupujúcich v súlade s IFRS. </w:t>
      </w:r>
    </w:p>
    <w:p w:rsidR="005C3F63" w:rsidRDefault="006536E7">
      <w:pPr>
        <w:spacing w:before="240" w:after="120"/>
        <w:jc w:val="left"/>
        <w:rPr>
          <w:rFonts w:ascii="Verdana" w:hAnsi="Verdana" w:cs="Arial"/>
          <w:bCs/>
          <w:kern w:val="32"/>
          <w:sz w:val="18"/>
          <w:szCs w:val="18"/>
          <w:lang w:val="sk-SK" w:eastAsia="cs-CZ" w:bidi="ar-SA"/>
        </w:rPr>
      </w:pPr>
      <w:r>
        <w:rPr>
          <w:rStyle w:val="KapitolaChar"/>
          <w:lang w:val="sk-SK"/>
        </w:rPr>
        <w:t>2 Metodológia a zdrojové údaje / Methodology and Data</w:t>
      </w:r>
    </w:p>
    <w:p w:rsidR="005C3F63" w:rsidRDefault="006536E7">
      <w:pPr>
        <w:spacing w:after="120"/>
        <w:rPr>
          <w:rFonts w:ascii="Verdana" w:hAnsi="Verdana"/>
          <w:sz w:val="20"/>
          <w:szCs w:val="20"/>
          <w:lang w:val="sk-SK"/>
        </w:rPr>
      </w:pPr>
      <w:r>
        <w:rPr>
          <w:rFonts w:ascii="Verdana" w:hAnsi="Verdana"/>
          <w:sz w:val="20"/>
          <w:szCs w:val="20"/>
          <w:lang w:val="sk-SK"/>
        </w:rPr>
        <w:t xml:space="preserve">Objektom skúmania je kryptomena, a to najmä z pohľadu jej účtovného zobrazenia, ktorá sa považuje za novodobý fenomén 21. storočia. Hoci prvá kryptomena bitcoin sa objavila na trhu už v roku 2009, jej hodnota bola veľmi nízka a pre trh bola nezaujímavá. Až s postupom času začali pribúdať transakcie s bitcoinmi, vznikali nové kryptomeny, pre ktoré je typická vysoká miera volatility. Tieto prudké výkyvy v trhovej cene kryptomeny viedli k zvýšeniu záujmu o obchodovanie s kryptomenou. Postupne si jurisdikcie viacerých štátov začali uvedomovať, že príjmy z kryptomien nie sú nijakým spôsobom upravené, vedú k daňovým únikom, a preto bolo potrebné čo najskôr upraviť oblasť ich účtovania a zdaňovania. Paradoxne preto vo viacerých krajinách (Slovensko nevynímajúc) bola ako prvá riešená oblasť zdaňovania týchto príjmov, než samotné účtovné zobrazenie kryptomeny. </w:t>
      </w:r>
    </w:p>
    <w:p w:rsidR="005C3F63" w:rsidRDefault="006536E7">
      <w:pPr>
        <w:spacing w:after="120"/>
        <w:rPr>
          <w:rFonts w:ascii="Verdana" w:hAnsi="Verdana"/>
          <w:sz w:val="20"/>
          <w:szCs w:val="20"/>
          <w:lang w:val="sk-SK"/>
        </w:rPr>
      </w:pPr>
      <w:r>
        <w:rPr>
          <w:rFonts w:ascii="Verdana" w:hAnsi="Verdana"/>
          <w:sz w:val="20"/>
          <w:szCs w:val="20"/>
          <w:lang w:val="sk-SK"/>
        </w:rPr>
        <w:t xml:space="preserve">Pri písaní príspevku sme vychádzali z dostupnej literatúry, printových, ale najmä elektronických zdrojov. Postupovali sme od všeobecného ku konkrétnemu. Primárnou výskumnou metódou bola metóda analýzy a komparácie. Uskutočnili sme podrobný prierez krokov, ktoré sa uskutočňovali na úrovni Európskej únie vo vzťahu k riešeniu problematiky kryptomeny až po prijatie agendy Holdings of Cryptocurrencies, ktorá je považovaná za prvú a základnú úpravu účtovného zobrazenia kryptomien v tých subjektoch, ktoré vedú účtovníctvo v súlade s IFRS. </w:t>
      </w:r>
    </w:p>
    <w:p w:rsidR="005C3F63" w:rsidRDefault="006536E7">
      <w:pPr>
        <w:pStyle w:val="Kapitola"/>
        <w:rPr>
          <w:lang w:val="sk-SK"/>
        </w:rPr>
      </w:pPr>
      <w:r>
        <w:rPr>
          <w:szCs w:val="22"/>
          <w:lang w:val="sk-SK"/>
        </w:rPr>
        <w:t>3 Výsledky a diskusia / Results and Discussion</w:t>
      </w:r>
    </w:p>
    <w:p w:rsidR="005C3F63" w:rsidRDefault="006536E7">
      <w:pPr>
        <w:spacing w:after="120"/>
        <w:rPr>
          <w:rFonts w:ascii="Verdana" w:hAnsi="Verdana"/>
          <w:sz w:val="20"/>
          <w:szCs w:val="20"/>
          <w:lang w:val="sk-SK"/>
        </w:rPr>
      </w:pPr>
      <w:r>
        <w:rPr>
          <w:rFonts w:ascii="Verdana" w:hAnsi="Verdana"/>
          <w:sz w:val="20"/>
          <w:szCs w:val="20"/>
          <w:lang w:val="sk-SK"/>
        </w:rPr>
        <w:t xml:space="preserve">Ako už bolo uvedené, v rámci Európskej únie neexistuje žiadny samostatný štandard, ktorý by sa zaoberal iba kryptomenou, IFRS neobsahujú špecifický návod na účtovanie kryptomajetku a keďže v tejto oblasti neexistuje ani žiadna praktická skúsenosť, musí sa pri účtovnom zobrazení kryptomeny odkazovať na viaceré existujúce štandardy. V rámci diskusie Rady IASB a Výboru IFRS IC, do ktorej bolo zapojených veľa odborníkov z viacerých členských štátov Európskej únie, sa názory na účtovné zobrazenie kryptomeny líšili. Niektorí respondenti navrhovali považovať kryptomenu za hotovosť, pretože predstavuje formu digitálnych peňazí a v niektorých transakciách môže byť použitá ako prostriedok výmeny. Dokonca navrhovali úpravu definície hotovosti v rámci IFRS. (IASPLUS, 2019) Kryptomena však nemôže byť považovaná za hotovosť alebo ekvivalent peňažnej hotovosti, pretože nemôže byť ľahko zamenená za tovar alebo službu. Napriek tomu, že narastá počet subjektov, ktoré akceptujú kryptomenu ako platidlo, kryptomeny nie sú zákonným platidlom. Subjekty sa môžu rozhodnúť akceptovať digitálne meny ako formu platby, ale neexistuje žiadne nariadenie, ktoré by im to prikazovalo. (Accaglobal, 2019) Ďalším argumentom je, že kryptomeny nemajú niektoré základné vlastnosti hotovosti a meny, a to najmä (Leopold and Vollmann, 2019): </w:t>
      </w:r>
    </w:p>
    <w:p w:rsidR="005C3F63" w:rsidRDefault="006536E7">
      <w:pPr>
        <w:pStyle w:val="afd"/>
        <w:numPr>
          <w:ilvl w:val="0"/>
          <w:numId w:val="6"/>
        </w:numPr>
        <w:spacing w:after="120"/>
        <w:rPr>
          <w:rFonts w:ascii="Verdana" w:hAnsi="Verdana"/>
          <w:sz w:val="20"/>
          <w:szCs w:val="20"/>
          <w:lang w:val="sk-SK"/>
        </w:rPr>
      </w:pPr>
      <w:r>
        <w:rPr>
          <w:rFonts w:ascii="Verdana" w:hAnsi="Verdana"/>
          <w:sz w:val="20"/>
          <w:szCs w:val="20"/>
          <w:lang w:val="sk-SK"/>
        </w:rPr>
        <w:t>kryptomeny nie sú zákonným platidlom a väčšinou nie sú kryté žiadnou vládou alebo štátom,</w:t>
      </w:r>
    </w:p>
    <w:p w:rsidR="005C3F63" w:rsidRDefault="006536E7">
      <w:pPr>
        <w:pStyle w:val="afd"/>
        <w:numPr>
          <w:ilvl w:val="0"/>
          <w:numId w:val="6"/>
        </w:numPr>
        <w:spacing w:after="120"/>
        <w:rPr>
          <w:rFonts w:ascii="Verdana" w:hAnsi="Verdana"/>
          <w:sz w:val="20"/>
          <w:szCs w:val="20"/>
          <w:lang w:val="sk-SK"/>
        </w:rPr>
      </w:pPr>
      <w:r>
        <w:rPr>
          <w:rFonts w:ascii="Verdana" w:hAnsi="Verdana"/>
          <w:sz w:val="20"/>
          <w:szCs w:val="20"/>
          <w:lang w:val="sk-SK"/>
        </w:rPr>
        <w:t>kryptomeny nie sú momentálne schopné stanoviť ceny tovarov a služieb priamo. Môžu byť akceptované na vyrovnanie niektorých transakcií, ale nie sú priamo spojené so stanovením ceny tovarov a služieb v ekonomike.</w:t>
      </w:r>
    </w:p>
    <w:p w:rsidR="005C3F63" w:rsidRDefault="006536E7">
      <w:pPr>
        <w:spacing w:after="120"/>
        <w:rPr>
          <w:rFonts w:ascii="Verdana" w:hAnsi="Verdana"/>
          <w:sz w:val="20"/>
          <w:szCs w:val="20"/>
          <w:lang w:val="sk-SK"/>
        </w:rPr>
      </w:pPr>
      <w:r>
        <w:rPr>
          <w:rFonts w:ascii="Verdana" w:hAnsi="Verdana"/>
          <w:sz w:val="20"/>
          <w:szCs w:val="20"/>
          <w:lang w:val="sk-SK"/>
        </w:rPr>
        <w:t>V rámci diskusie padli návrhy považovať kryptomenu za peňažné ekvivalenty, ktoré sú v </w:t>
      </w:r>
      <w:r>
        <w:rPr>
          <w:rFonts w:ascii="Verdana" w:hAnsi="Verdana"/>
          <w:i/>
          <w:sz w:val="20"/>
          <w:szCs w:val="20"/>
          <w:lang w:val="sk-SK"/>
        </w:rPr>
        <w:t>IAS 7 – Výkaz peňažných tokov</w:t>
      </w:r>
      <w:r>
        <w:rPr>
          <w:rFonts w:ascii="Verdana" w:hAnsi="Verdana"/>
          <w:sz w:val="20"/>
          <w:szCs w:val="20"/>
          <w:lang w:val="sk-SK"/>
        </w:rPr>
        <w:t xml:space="preserve"> (ďalej aj „IAS 7“) definované ako „krátkodobé, vysoko likvidné investície, ktoré sú ľahko zameniteľné za známu sumu peňažných prostriedkov a pri ktorých existuje nepatrné riziko zmeny hodnoty“. (IFRS Standards, 2019, IAS 7.6) Vzhľadom na to, že kryptomeny sa vyznačujú vysokou volatilitou, nemôžu byť považované za peňažné ekvivalenty.</w:t>
      </w:r>
    </w:p>
    <w:p w:rsidR="005C3F63" w:rsidRDefault="006536E7">
      <w:pPr>
        <w:spacing w:after="120"/>
        <w:rPr>
          <w:rFonts w:ascii="Verdana" w:hAnsi="Verdana"/>
          <w:sz w:val="20"/>
          <w:szCs w:val="20"/>
          <w:lang w:val="sk-SK"/>
        </w:rPr>
      </w:pPr>
      <w:r>
        <w:rPr>
          <w:rFonts w:ascii="Verdana" w:hAnsi="Verdana"/>
          <w:sz w:val="20"/>
          <w:szCs w:val="20"/>
          <w:lang w:val="sk-SK"/>
        </w:rPr>
        <w:lastRenderedPageBreak/>
        <w:t xml:space="preserve">Keďže kryptomena nespĺňa definíciu finančného nástroja podľa </w:t>
      </w:r>
      <w:r>
        <w:rPr>
          <w:rFonts w:ascii="Verdana" w:hAnsi="Verdana"/>
          <w:i/>
          <w:sz w:val="20"/>
          <w:szCs w:val="20"/>
          <w:lang w:val="sk-SK"/>
        </w:rPr>
        <w:t xml:space="preserve">IFRS 9 – Finančné nástroje </w:t>
      </w:r>
      <w:r>
        <w:rPr>
          <w:rFonts w:ascii="Verdana" w:hAnsi="Verdana"/>
          <w:sz w:val="20"/>
          <w:szCs w:val="20"/>
          <w:lang w:val="sk-SK"/>
        </w:rPr>
        <w:t xml:space="preserve">(ďalej aj „IFRS 9“), čiže nereprezentuje hotovosť, majetkový podiel v účtovnej jednotke alebo zmluvu zakladajúcu právo alebo povinnosť doručiť alebo prijať hotovosť alebo iný finančný nástroj, nemôže byť považovaná za finančný nástroj, ani za finančný majetok. </w:t>
      </w:r>
    </w:p>
    <w:p w:rsidR="005C3F63" w:rsidRDefault="006536E7">
      <w:pPr>
        <w:spacing w:after="120"/>
        <w:rPr>
          <w:rFonts w:ascii="Verdana" w:hAnsi="Verdana"/>
          <w:sz w:val="20"/>
          <w:szCs w:val="20"/>
          <w:lang w:val="sk-SK"/>
        </w:rPr>
      </w:pPr>
      <w:r>
        <w:rPr>
          <w:rFonts w:ascii="Verdana" w:hAnsi="Verdana"/>
          <w:sz w:val="20"/>
          <w:szCs w:val="20"/>
          <w:lang w:val="sk-SK"/>
        </w:rPr>
        <w:t xml:space="preserve">Na základe vykonanej analýzy, ktorá bola schválená na stretnutí Výboru IFRS IC a Rady IASB v novembri 2018, bolo uznesené, že kryptomeny nespĺňajú definíciu finančného majetku podľa </w:t>
      </w:r>
      <w:r>
        <w:rPr>
          <w:rFonts w:ascii="Verdana" w:hAnsi="Verdana"/>
          <w:i/>
          <w:sz w:val="20"/>
          <w:szCs w:val="20"/>
          <w:lang w:val="sk-SK"/>
        </w:rPr>
        <w:t>IFRS 9</w:t>
      </w:r>
      <w:r>
        <w:rPr>
          <w:rFonts w:ascii="Verdana" w:hAnsi="Verdana"/>
          <w:sz w:val="20"/>
          <w:szCs w:val="20"/>
          <w:lang w:val="sk-SK"/>
        </w:rPr>
        <w:t xml:space="preserve">, hotovosti, ekvivalentu hotovosti ani peňažných ekvivalentov podľa </w:t>
      </w:r>
      <w:r>
        <w:rPr>
          <w:rFonts w:ascii="Verdana" w:hAnsi="Verdana"/>
          <w:i/>
          <w:sz w:val="20"/>
          <w:szCs w:val="20"/>
          <w:lang w:val="sk-SK"/>
        </w:rPr>
        <w:t>IAS 7</w:t>
      </w:r>
      <w:r>
        <w:rPr>
          <w:rFonts w:ascii="Verdana" w:hAnsi="Verdana"/>
          <w:sz w:val="20"/>
          <w:szCs w:val="20"/>
          <w:lang w:val="sk-SK"/>
        </w:rPr>
        <w:t xml:space="preserve">. </w:t>
      </w:r>
    </w:p>
    <w:p w:rsidR="005C3F63" w:rsidRDefault="006536E7">
      <w:pPr>
        <w:spacing w:after="120"/>
        <w:rPr>
          <w:rFonts w:ascii="Verdana" w:hAnsi="Verdana"/>
          <w:sz w:val="20"/>
          <w:szCs w:val="20"/>
          <w:lang w:val="sk-SK"/>
        </w:rPr>
      </w:pPr>
      <w:r>
        <w:rPr>
          <w:rFonts w:ascii="Verdana" w:hAnsi="Verdana"/>
          <w:sz w:val="20"/>
          <w:szCs w:val="20"/>
          <w:lang w:val="sk-SK"/>
        </w:rPr>
        <w:t>V nadväznosti na uvedené skutočnosti, v rámci agendy Výboru IFRS IC „Držby kryptomien“ z júna 2019 bolo prijaté uznesenie, z ktorého vyplynulo, že pokiaľ účtovná jednotka drží kryptomenu za účelom predaja pri bežnom podnikaní, aktívne obchoduje s kryptomenou, nakupuje ju s plánom jej ďalšieho predaja v blízkej budúcnosti za účelom dosiahnutia zisku zo zmeny ceny kryptomeny, mala by sa kryptomena považovať za zásoby v súlade s </w:t>
      </w:r>
      <w:r>
        <w:rPr>
          <w:rFonts w:ascii="Verdana" w:hAnsi="Verdana"/>
          <w:i/>
          <w:sz w:val="20"/>
          <w:szCs w:val="20"/>
          <w:lang w:val="sk-SK"/>
        </w:rPr>
        <w:t>IAS 2 – Zásoby</w:t>
      </w:r>
      <w:r>
        <w:rPr>
          <w:rFonts w:ascii="Verdana" w:hAnsi="Verdana"/>
          <w:sz w:val="20"/>
          <w:szCs w:val="20"/>
          <w:lang w:val="sk-SK"/>
        </w:rPr>
        <w:t xml:space="preserve"> (ďalej aj „IAS 2“). V prípade, že nie je možné aplikovať </w:t>
      </w:r>
      <w:r>
        <w:rPr>
          <w:rFonts w:ascii="Verdana" w:hAnsi="Verdana"/>
          <w:i/>
          <w:sz w:val="20"/>
          <w:szCs w:val="20"/>
          <w:lang w:val="sk-SK"/>
        </w:rPr>
        <w:t>IAS 2</w:t>
      </w:r>
      <w:r>
        <w:rPr>
          <w:rFonts w:ascii="Verdana" w:hAnsi="Verdana"/>
          <w:sz w:val="20"/>
          <w:szCs w:val="20"/>
          <w:lang w:val="sk-SK"/>
        </w:rPr>
        <w:t xml:space="preserve">, účtovná jednotka aplikuje na držby kryptomien </w:t>
      </w:r>
      <w:r>
        <w:rPr>
          <w:rFonts w:ascii="Verdana" w:hAnsi="Verdana"/>
          <w:i/>
          <w:sz w:val="20"/>
          <w:szCs w:val="20"/>
          <w:lang w:val="sk-SK"/>
        </w:rPr>
        <w:t>IAS 38 – Nehmotný majetok</w:t>
      </w:r>
      <w:r>
        <w:rPr>
          <w:rFonts w:ascii="Verdana" w:hAnsi="Verdana"/>
          <w:sz w:val="20"/>
          <w:szCs w:val="20"/>
          <w:lang w:val="sk-SK"/>
        </w:rPr>
        <w:t xml:space="preserve"> (ďalej aj „IAS 38“). Je to najmä z toho dôvodu, že držby kryptomien spĺňajú definíciu nehmotného majetku podľa </w:t>
      </w:r>
      <w:r>
        <w:rPr>
          <w:rFonts w:ascii="Verdana" w:hAnsi="Verdana"/>
          <w:i/>
          <w:sz w:val="20"/>
          <w:szCs w:val="20"/>
          <w:lang w:val="sk-SK"/>
        </w:rPr>
        <w:t>IAS 38</w:t>
      </w:r>
      <w:r>
        <w:rPr>
          <w:rFonts w:ascii="Verdana" w:hAnsi="Verdana"/>
          <w:sz w:val="20"/>
          <w:szCs w:val="20"/>
          <w:lang w:val="sk-SK"/>
        </w:rPr>
        <w:t xml:space="preserve"> v tom, že (EY, 2019):</w:t>
      </w:r>
    </w:p>
    <w:p w:rsidR="005C3F63" w:rsidRDefault="006536E7">
      <w:pPr>
        <w:pStyle w:val="afd"/>
        <w:numPr>
          <w:ilvl w:val="0"/>
          <w:numId w:val="7"/>
        </w:numPr>
        <w:spacing w:after="120"/>
        <w:rPr>
          <w:rFonts w:ascii="Verdana" w:hAnsi="Verdana"/>
          <w:sz w:val="20"/>
          <w:szCs w:val="20"/>
          <w:lang w:val="sk-SK"/>
        </w:rPr>
      </w:pPr>
      <w:r>
        <w:rPr>
          <w:rFonts w:ascii="Verdana" w:hAnsi="Verdana"/>
          <w:sz w:val="20"/>
          <w:szCs w:val="20"/>
          <w:lang w:val="sk-SK"/>
        </w:rPr>
        <w:t>je možné kryptomenu oddeliť od držiteľa a môže byť predaná alebo prevedená individuálne,</w:t>
      </w:r>
    </w:p>
    <w:p w:rsidR="005C3F63" w:rsidRDefault="006536E7">
      <w:pPr>
        <w:pStyle w:val="afd"/>
        <w:numPr>
          <w:ilvl w:val="0"/>
          <w:numId w:val="7"/>
        </w:numPr>
        <w:spacing w:after="120"/>
        <w:rPr>
          <w:rFonts w:ascii="Verdana" w:hAnsi="Verdana"/>
          <w:sz w:val="20"/>
          <w:szCs w:val="20"/>
          <w:lang w:val="sk-SK"/>
        </w:rPr>
      </w:pPr>
      <w:r>
        <w:rPr>
          <w:rFonts w:ascii="Verdana" w:hAnsi="Verdana"/>
          <w:sz w:val="20"/>
          <w:szCs w:val="20"/>
          <w:lang w:val="sk-SK"/>
        </w:rPr>
        <w:t xml:space="preserve">nedáva držiteľovi právo prijať fixnú alebo stanoviteľnú sumu jednotiek meny. </w:t>
      </w:r>
    </w:p>
    <w:p w:rsidR="005C3F63" w:rsidRDefault="006536E7">
      <w:pPr>
        <w:spacing w:after="120"/>
        <w:rPr>
          <w:rFonts w:ascii="Verdana" w:hAnsi="Verdana"/>
          <w:sz w:val="20"/>
          <w:szCs w:val="20"/>
          <w:lang w:val="sk-SK"/>
        </w:rPr>
      </w:pPr>
      <w:r>
        <w:rPr>
          <w:rFonts w:ascii="Verdana" w:hAnsi="Verdana"/>
          <w:sz w:val="20"/>
          <w:szCs w:val="20"/>
          <w:lang w:val="sk-SK"/>
        </w:rPr>
        <w:t>S kryptomenami sa obchoduje na trhu a preto existuje predpoklad, že v účtovnej jednotke dôjde k zvýšeniu ekonomických úžitkov. Podliehajú veľkým variáciám v cene, preto sú vo svojej podstate nepeňažné. Zároveň sú formou digitálnych peňazí a nemajú fyzickú formu. Z tohto dôvodu je najvhodnejšie považovať ich za nehmotný majetok. (Accaglobal, 2019)</w:t>
      </w:r>
    </w:p>
    <w:p w:rsidR="005C3F63" w:rsidRDefault="006536E7">
      <w:pPr>
        <w:spacing w:after="120"/>
        <w:rPr>
          <w:rFonts w:ascii="Verdana" w:hAnsi="Verdana"/>
          <w:sz w:val="20"/>
          <w:szCs w:val="20"/>
          <w:lang w:val="sk-SK"/>
        </w:rPr>
      </w:pPr>
      <w:r>
        <w:rPr>
          <w:rFonts w:ascii="Verdana" w:hAnsi="Verdana"/>
          <w:sz w:val="20"/>
          <w:szCs w:val="20"/>
          <w:lang w:val="sk-SK"/>
        </w:rPr>
        <w:t>V súvislosti s kryptomenou je dôležité venovať sa jej </w:t>
      </w:r>
      <w:r>
        <w:rPr>
          <w:rFonts w:ascii="Verdana" w:hAnsi="Verdana"/>
          <w:b/>
          <w:sz w:val="20"/>
          <w:szCs w:val="20"/>
          <w:lang w:val="sk-SK"/>
        </w:rPr>
        <w:t>oceňovaniu.</w:t>
      </w:r>
      <w:r>
        <w:rPr>
          <w:rFonts w:ascii="Verdana" w:hAnsi="Verdana"/>
          <w:sz w:val="20"/>
          <w:szCs w:val="20"/>
          <w:lang w:val="sk-SK"/>
        </w:rPr>
        <w:t xml:space="preserve"> Berengueres (2018) sa zaoberal oceňovaním kryptomien získaných ťažením, ktoré sa majú oceňovať metódou čistej hodnoty vyťažených mincí. V rámci IFRS je dôležité rozlišovať, ktorý štandard účtovná jednotka na držby kryptomien aplikuje. Ak účtovná jednotka drží kryptomenu za účelom predaja pri bežnom podnikaní, kryptomena je považovaná za zásoby podľa </w:t>
      </w:r>
      <w:r>
        <w:rPr>
          <w:rFonts w:ascii="Verdana" w:hAnsi="Verdana"/>
          <w:i/>
          <w:sz w:val="20"/>
          <w:szCs w:val="20"/>
          <w:lang w:val="sk-SK"/>
        </w:rPr>
        <w:t>IAS 2</w:t>
      </w:r>
      <w:r>
        <w:rPr>
          <w:rFonts w:ascii="Verdana" w:hAnsi="Verdana"/>
          <w:sz w:val="20"/>
          <w:szCs w:val="20"/>
          <w:lang w:val="sk-SK"/>
        </w:rPr>
        <w:t xml:space="preserve"> a pri obstaraní (prvotnom ocenení) sa oceňuje v obstarávacích nákladoch. Ku dňu, ku ktorému sa zostavuje účtovná závierka (nasledujúce ocenenie), sa oceňuje buď v pôvodných obstarávacích nákladoch, alebo v čistej realizačnej hodnote, pokiaľ je nižšia ako obstarávacie náklady. Pokiaľ účtovná jednotka vystupuje ako obchodník (maklér) s kryptomenami, pri prvotnom ocenení oceňuje kryptomenu v obstarávacích nákladoch a pri nasledujúcom ocenení v reálnej hodnote zníženej o náklady na predaj. Pokiaľ sa na držby kryptomien aplikuje </w:t>
      </w:r>
      <w:r>
        <w:rPr>
          <w:rFonts w:ascii="Verdana" w:hAnsi="Verdana"/>
          <w:i/>
          <w:sz w:val="20"/>
          <w:szCs w:val="20"/>
          <w:lang w:val="sk-SK"/>
        </w:rPr>
        <w:t>IAS 38</w:t>
      </w:r>
      <w:r>
        <w:rPr>
          <w:rFonts w:ascii="Verdana" w:hAnsi="Verdana"/>
          <w:sz w:val="20"/>
          <w:szCs w:val="20"/>
          <w:lang w:val="sk-SK"/>
        </w:rPr>
        <w:t>, kryptomena sa oceňuje buď nákladovým modelom alebo modelom precenenia. Ak účtovná jednotka aplikuje nákladový model, kryptomena sa oceňuje pri prvotnom ocenení v obstarávacích nákladoch a pri nasledujúcom ocenení sa oceňuje v týchto obstarávacích nákladoch znížených o akumulovanú amortizáciu a straty zo zníženia hodnoty (v súvislosti s tvorbou opravných položiek.). Ak účtovná jednotka aplikuje na oceňovanie kryptomeny model precenenia, pri prvotnom ocenení oceňuje kryptomenu v obstarávacích nákladoch a pri nasledujúcom ocenení v reálnej hodnote zníženej o amortizáciu a straty zo zníženia hodnoty. Model precenenia môže účtovná jednotka použiť na ocenenie kryptomeny vtedy, ak existuje aktívny trh. V súlade s </w:t>
      </w:r>
      <w:r>
        <w:rPr>
          <w:rFonts w:ascii="Verdana" w:hAnsi="Verdana"/>
          <w:i/>
          <w:sz w:val="20"/>
          <w:szCs w:val="20"/>
          <w:lang w:val="sk-SK"/>
        </w:rPr>
        <w:t>IAS 38</w:t>
      </w:r>
      <w:r>
        <w:rPr>
          <w:rFonts w:ascii="Verdana" w:hAnsi="Verdana"/>
          <w:sz w:val="20"/>
          <w:szCs w:val="20"/>
          <w:lang w:val="sk-SK"/>
        </w:rPr>
        <w:t xml:space="preserve"> musí byť pre všetok majetok zaradený v rovnakej triede majetku použitý rovnaký oceňovací model. Pokiaľ sú v rámci rovnakej triedy majetku, ktorá sa oceňuje modelom precenia, kryptomeny, pre ktoré neexistuje aktívny trh, potom by tieto kryptomeny mali byť ocenené nákladovým modelom. </w:t>
      </w:r>
    </w:p>
    <w:p w:rsidR="005C3F63" w:rsidRDefault="006536E7">
      <w:pPr>
        <w:spacing w:after="120"/>
        <w:rPr>
          <w:rFonts w:ascii="Verdana" w:hAnsi="Verdana"/>
          <w:sz w:val="20"/>
          <w:szCs w:val="20"/>
          <w:lang w:val="sk-SK"/>
        </w:rPr>
      </w:pPr>
      <w:r>
        <w:rPr>
          <w:rFonts w:ascii="Verdana" w:hAnsi="Verdana"/>
          <w:sz w:val="20"/>
          <w:szCs w:val="20"/>
          <w:lang w:val="sk-SK"/>
        </w:rPr>
        <w:t xml:space="preserve">V prípade, že účtovná jednotka uplatňuje model precenenia, na stanovenie reálnej hodnoty by mal byť aplikovaný štandard </w:t>
      </w:r>
      <w:r>
        <w:rPr>
          <w:rFonts w:ascii="Verdana" w:hAnsi="Verdana"/>
          <w:i/>
          <w:sz w:val="20"/>
          <w:szCs w:val="20"/>
          <w:lang w:val="sk-SK"/>
        </w:rPr>
        <w:t>IFRS 13 – Oceňovanie reálnou hodnotou</w:t>
      </w:r>
      <w:r>
        <w:rPr>
          <w:rFonts w:ascii="Verdana" w:hAnsi="Verdana"/>
          <w:sz w:val="20"/>
          <w:szCs w:val="20"/>
          <w:lang w:val="sk-SK"/>
        </w:rPr>
        <w:t xml:space="preserve">. Vzhľadom na to, že napr. s bitcoinmi (aj inými kryptomenami) sa obchoduje na dennej </w:t>
      </w:r>
      <w:r>
        <w:rPr>
          <w:rFonts w:ascii="Verdana" w:hAnsi="Verdana"/>
          <w:sz w:val="20"/>
          <w:szCs w:val="20"/>
          <w:lang w:val="sk-SK"/>
        </w:rPr>
        <w:lastRenderedPageBreak/>
        <w:t>báze, je ľahko preukázateľné, že pre túto kryptomenu aktívny trh existuje. Kótované trhové ceny na aktívnom trhu poskytujú dostatočne spoľahlivý dôkaz o reálnej hodnote.</w:t>
      </w:r>
    </w:p>
    <w:p w:rsidR="005C3F63" w:rsidRDefault="006536E7">
      <w:pPr>
        <w:spacing w:after="120"/>
        <w:rPr>
          <w:rFonts w:ascii="Verdana" w:hAnsi="Verdana"/>
          <w:sz w:val="20"/>
          <w:szCs w:val="20"/>
          <w:lang w:val="sk-SK"/>
        </w:rPr>
      </w:pPr>
      <w:r>
        <w:rPr>
          <w:rFonts w:ascii="Verdana" w:hAnsi="Verdana"/>
          <w:sz w:val="20"/>
          <w:szCs w:val="20"/>
          <w:lang w:val="sk-SK"/>
        </w:rPr>
        <w:t xml:space="preserve">V tejto súvislosti je veľmi dôležité uviesť, že pokiaľ je kryptomena považovaná za nehmotný majetok, účtovná jednotka by mala určiť, či má kryptomena určitú alebo neurčitú životnosť. Všeobecne sa predpokladá, že kryptomeny ako nehmotný majetok by mali mať neurčitú dobu životnosti, pretože sa nedá určiť presná doba životnosti, t. j. obdobie, počas ktorého sa od kryptomeny očakáva, že bude účtovnej jednotke generovať peňažné toky. Preto sa kryptomena neodpisuje, ale musí sa každoročne testovať na zníženie hodnoty. </w:t>
      </w:r>
    </w:p>
    <w:p w:rsidR="005C3F63" w:rsidRDefault="006536E7">
      <w:pPr>
        <w:pStyle w:val="Kapitola"/>
        <w:rPr>
          <w:lang w:val="sk-SK"/>
        </w:rPr>
      </w:pPr>
      <w:r>
        <w:rPr>
          <w:lang w:val="sk-SK"/>
        </w:rPr>
        <w:t>Záver / Conclusions</w:t>
      </w:r>
    </w:p>
    <w:p w:rsidR="005C3F63" w:rsidRDefault="006536E7">
      <w:pPr>
        <w:spacing w:after="120"/>
        <w:rPr>
          <w:rFonts w:ascii="Verdana" w:hAnsi="Verdana"/>
          <w:sz w:val="20"/>
          <w:szCs w:val="20"/>
          <w:lang w:val="sk-SK"/>
        </w:rPr>
      </w:pPr>
      <w:r>
        <w:rPr>
          <w:rFonts w:ascii="Verdana" w:hAnsi="Verdana"/>
          <w:sz w:val="20"/>
          <w:szCs w:val="20"/>
          <w:lang w:val="sk-SK"/>
        </w:rPr>
        <w:t xml:space="preserve">V júni 2019 Výbor IFRS IC prijal agendu „Držby kryptomien“, ktorou boli stanovené usmernenia pre účtovné jednotky postupujúce v súlade s IFRS, ako účtovať a vykazovať transakcie s kryptomenami. Hoci prijatiu uvedenej agendy predchádzala búrlivá diskusia, v rámci ktorej boli prezentované rôzne názory na možnosti účtovania kryptomeny, záverom týchto diskusií bolo rozhodnutie aplikovať na Držby kryptomien buď </w:t>
      </w:r>
      <w:r>
        <w:rPr>
          <w:rFonts w:ascii="Verdana" w:hAnsi="Verdana"/>
          <w:i/>
          <w:sz w:val="20"/>
          <w:szCs w:val="20"/>
          <w:lang w:val="sk-SK"/>
        </w:rPr>
        <w:t>IAS 2</w:t>
      </w:r>
      <w:r>
        <w:rPr>
          <w:rFonts w:ascii="Verdana" w:hAnsi="Verdana"/>
          <w:sz w:val="20"/>
          <w:szCs w:val="20"/>
          <w:lang w:val="sk-SK"/>
        </w:rPr>
        <w:t xml:space="preserve"> v prípade, ak je kryptomena držaná za účelom predaja pri bežnom podnikaní, alebo </w:t>
      </w:r>
      <w:r>
        <w:rPr>
          <w:rFonts w:ascii="Verdana" w:hAnsi="Verdana"/>
          <w:i/>
          <w:sz w:val="20"/>
          <w:szCs w:val="20"/>
          <w:lang w:val="sk-SK"/>
        </w:rPr>
        <w:t>IAS 38</w:t>
      </w:r>
      <w:r>
        <w:rPr>
          <w:rFonts w:ascii="Verdana" w:hAnsi="Verdana"/>
          <w:sz w:val="20"/>
          <w:szCs w:val="20"/>
          <w:lang w:val="sk-SK"/>
        </w:rPr>
        <w:t xml:space="preserve">, pokiaľ nie je možné aplikovať </w:t>
      </w:r>
      <w:r>
        <w:rPr>
          <w:rFonts w:ascii="Verdana" w:hAnsi="Verdana"/>
          <w:i/>
          <w:sz w:val="20"/>
          <w:szCs w:val="20"/>
          <w:lang w:val="sk-SK"/>
        </w:rPr>
        <w:t>IAS 2</w:t>
      </w:r>
      <w:r>
        <w:rPr>
          <w:rFonts w:ascii="Verdana" w:hAnsi="Verdana"/>
          <w:sz w:val="20"/>
          <w:szCs w:val="20"/>
          <w:lang w:val="sk-SK"/>
        </w:rPr>
        <w:t xml:space="preserve">. V nadväznosti na to, ktorý štandard sa na držby kryptomien aplikuje, sa aj kryptomena oceňuje. Pri prvotnom ocenení sa kryptomena oceňuje v obstarávacích nákladoch bez ohľadu na to, či je považovaná za zásoby alebo nehmotný majetok. Pri nasledujúcom ocenení sa kryptomena považovaná za zásoby podľa </w:t>
      </w:r>
      <w:r>
        <w:rPr>
          <w:rFonts w:ascii="Verdana" w:hAnsi="Verdana"/>
          <w:i/>
          <w:sz w:val="20"/>
          <w:szCs w:val="20"/>
          <w:lang w:val="sk-SK"/>
        </w:rPr>
        <w:t>IAS 2</w:t>
      </w:r>
      <w:r>
        <w:rPr>
          <w:rFonts w:ascii="Verdana" w:hAnsi="Verdana"/>
          <w:sz w:val="20"/>
          <w:szCs w:val="20"/>
          <w:lang w:val="sk-SK"/>
        </w:rPr>
        <w:t xml:space="preserve"> oceňuje v čistej realizačnej hodnote alebo sa kryptomena oceňuje v reálnej hodnote zníženej o náklady na predaj (ak účtovná jednotka vystupuje v pozícii makléra). V prípade, že je kryptomena považovaná za nehmotný majetok, účtovná jednotka si môže pri nasledujúcom ocenení zvoliť nákladový model alebo model precenenia. V prípade nákladového modelu sa kryptomena ocení v pôvodných obstarávacích nákladoch znížených o amortizáciu a stratu zo zníženia hodnoty, v prípade modelu precenenia sa kryptomena ocení v reálnej hodnote zníženej o amortizáciu a stratu zo zníženia hodnoty.</w:t>
      </w:r>
    </w:p>
    <w:p w:rsidR="005C3F63" w:rsidRDefault="006536E7">
      <w:pPr>
        <w:pStyle w:val="Kapitola"/>
        <w:rPr>
          <w:lang w:val="sk-SK"/>
        </w:rPr>
      </w:pPr>
      <w:r>
        <w:rPr>
          <w:lang w:val="sk-SK"/>
        </w:rPr>
        <w:t>Literárne zdroje a iné odkazy / References</w:t>
      </w:r>
    </w:p>
    <w:p w:rsidR="005C3F63" w:rsidRDefault="006536E7">
      <w:pPr>
        <w:spacing w:after="40"/>
        <w:rPr>
          <w:rStyle w:val="af9"/>
          <w:rFonts w:ascii="Verdana" w:hAnsi="Verdana"/>
          <w:color w:val="auto"/>
          <w:sz w:val="20"/>
          <w:szCs w:val="20"/>
          <w:lang w:val="en-GB"/>
        </w:rPr>
      </w:pPr>
      <w:r>
        <w:rPr>
          <w:rFonts w:ascii="Verdana" w:hAnsi="Verdana"/>
          <w:sz w:val="20"/>
          <w:szCs w:val="20"/>
          <w:lang w:val="en-GB"/>
        </w:rPr>
        <w:t xml:space="preserve">Accaglobal, 2019: Accaglobal – </w:t>
      </w:r>
      <w:r>
        <w:rPr>
          <w:rFonts w:ascii="Verdana" w:hAnsi="Verdana"/>
          <w:i/>
          <w:sz w:val="20"/>
          <w:szCs w:val="20"/>
          <w:lang w:val="en-GB"/>
        </w:rPr>
        <w:t xml:space="preserve">Accounting for Cryptocurrencies. </w:t>
      </w:r>
      <w:r>
        <w:rPr>
          <w:rFonts w:ascii="Verdana" w:hAnsi="Verdana"/>
          <w:sz w:val="20"/>
          <w:szCs w:val="20"/>
          <w:lang w:val="en-GB"/>
        </w:rPr>
        <w:t xml:space="preserve">Retrieved from: </w:t>
      </w:r>
      <w:hyperlink r:id="rId17" w:history="1">
        <w:r>
          <w:rPr>
            <w:rStyle w:val="af9"/>
            <w:rFonts w:ascii="Verdana" w:hAnsi="Verdana"/>
            <w:sz w:val="20"/>
            <w:szCs w:val="20"/>
            <w:lang w:val="en-GB"/>
          </w:rPr>
          <w:t>https://www.accaglobal.com/in/en/student/exam-support-resources/professional-exams-study-resources/strategic-business-reporting/technical-articles/cryptocurrencies.html</w:t>
        </w:r>
      </w:hyperlink>
    </w:p>
    <w:p w:rsidR="005C3F63" w:rsidRDefault="006536E7">
      <w:pPr>
        <w:pStyle w:val="aff"/>
      </w:pPr>
      <w:r>
        <w:rPr>
          <w:rStyle w:val="af9"/>
          <w:color w:val="auto"/>
          <w:u w:val="none"/>
        </w:rPr>
        <w:t xml:space="preserve">Berengueres, J. (2018). Valuation of Cryptocurrency Mining Operations. </w:t>
      </w:r>
      <w:r>
        <w:rPr>
          <w:rStyle w:val="af9"/>
          <w:i/>
          <w:color w:val="auto"/>
          <w:u w:val="none"/>
        </w:rPr>
        <w:t>Ledger, 3</w:t>
      </w:r>
      <w:r>
        <w:rPr>
          <w:rStyle w:val="af9"/>
          <w:color w:val="auto"/>
          <w:u w:val="none"/>
        </w:rPr>
        <w:t xml:space="preserve">. Retrieved from: </w:t>
      </w:r>
      <w:hyperlink r:id="rId18" w:history="1">
        <w:r>
          <w:rPr>
            <w:rStyle w:val="af9"/>
          </w:rPr>
          <w:t>https://doi.org/10.5195/ledger.2018.123</w:t>
        </w:r>
      </w:hyperlink>
    </w:p>
    <w:p w:rsidR="005C3F63" w:rsidRDefault="006536E7">
      <w:pPr>
        <w:pStyle w:val="aff"/>
        <w:rPr>
          <w:rStyle w:val="af9"/>
          <w:color w:val="auto"/>
        </w:rPr>
      </w:pPr>
      <w:r>
        <w:t xml:space="preserve">Byström, H. (2019). Blockchains, Real-time Accounting, and the Future of Credit Risk Modeling. </w:t>
      </w:r>
      <w:r>
        <w:rPr>
          <w:i/>
        </w:rPr>
        <w:t>Ledger, 4</w:t>
      </w:r>
      <w:r>
        <w:t xml:space="preserve">. Retrieved from: </w:t>
      </w:r>
      <w:hyperlink r:id="rId19" w:history="1">
        <w:r>
          <w:rPr>
            <w:rStyle w:val="af9"/>
          </w:rPr>
          <w:t>https://doi.org/10.5195/ledger.2019.100</w:t>
        </w:r>
      </w:hyperlink>
    </w:p>
    <w:p w:rsidR="005C3F63" w:rsidRDefault="006536E7">
      <w:pPr>
        <w:spacing w:after="40"/>
        <w:rPr>
          <w:rStyle w:val="af9"/>
          <w:rFonts w:ascii="Verdana" w:hAnsi="Verdana"/>
          <w:sz w:val="20"/>
          <w:szCs w:val="20"/>
          <w:lang w:val="en-GB"/>
        </w:rPr>
      </w:pPr>
      <w:r>
        <w:rPr>
          <w:rFonts w:ascii="Verdana" w:hAnsi="Verdana"/>
          <w:sz w:val="20"/>
          <w:szCs w:val="20"/>
          <w:lang w:val="en-GB"/>
        </w:rPr>
        <w:t xml:space="preserve">EY, 2019: EY – </w:t>
      </w:r>
      <w:r>
        <w:rPr>
          <w:rFonts w:ascii="Verdana" w:hAnsi="Verdana"/>
          <w:i/>
          <w:sz w:val="20"/>
          <w:szCs w:val="20"/>
          <w:lang w:val="en-GB"/>
        </w:rPr>
        <w:t>Holdings of Cryptocurrencies</w:t>
      </w:r>
      <w:r>
        <w:rPr>
          <w:rFonts w:ascii="Verdana" w:hAnsi="Verdana"/>
          <w:sz w:val="20"/>
          <w:szCs w:val="20"/>
          <w:lang w:val="en-GB"/>
        </w:rPr>
        <w:t xml:space="preserve">. Retrieved from: </w:t>
      </w:r>
      <w:hyperlink r:id="rId20" w:history="1">
        <w:r>
          <w:rPr>
            <w:rStyle w:val="af9"/>
            <w:rFonts w:ascii="Verdana" w:hAnsi="Verdana"/>
            <w:sz w:val="20"/>
            <w:szCs w:val="20"/>
            <w:lang w:val="en-GB"/>
          </w:rPr>
          <w:t>https://www.ey.com/Publication/vwLUAssets/ey-devel150-cryptocurrency-holdings-august-2019/$File/ey-devel150-cryptocurrency-holdings-august-2019.pdf</w:t>
        </w:r>
      </w:hyperlink>
    </w:p>
    <w:p w:rsidR="005C3F63" w:rsidRDefault="00085067">
      <w:pPr>
        <w:pStyle w:val="aff"/>
        <w:rPr>
          <w:rStyle w:val="af9"/>
          <w:color w:val="auto"/>
          <w:spacing w:val="-15"/>
        </w:rPr>
      </w:pPr>
      <w:hyperlink r:id="rId21" w:history="1">
        <w:r w:rsidR="006536E7">
          <w:rPr>
            <w:rStyle w:val="post-meta-author"/>
            <w:bCs/>
          </w:rPr>
          <w:t>Gazdarica</w:t>
        </w:r>
      </w:hyperlink>
      <w:r w:rsidR="006536E7">
        <w:rPr>
          <w:rStyle w:val="post-meta-author"/>
          <w:bCs/>
        </w:rPr>
        <w:t>, M. (</w:t>
      </w:r>
      <w:hyperlink r:id="rId22" w:history="1">
        <w:r w:rsidR="006536E7">
          <w:rPr>
            <w:rStyle w:val="post-meta-date"/>
            <w:bCs/>
          </w:rPr>
          <w:t>2018</w:t>
        </w:r>
      </w:hyperlink>
      <w:r w:rsidR="006536E7">
        <w:rPr>
          <w:rStyle w:val="post-meta-date"/>
          <w:bCs/>
        </w:rPr>
        <w:t xml:space="preserve">): </w:t>
      </w:r>
      <w:r w:rsidR="006536E7">
        <w:rPr>
          <w:i/>
          <w:spacing w:val="-15"/>
        </w:rPr>
        <w:t xml:space="preserve">Európska centrálna banka vyzýva na reguláciu a danenie kryptomien. </w:t>
      </w:r>
      <w:r w:rsidR="006536E7">
        <w:rPr>
          <w:spacing w:val="-15"/>
        </w:rPr>
        <w:t xml:space="preserve">Retrieved from: </w:t>
      </w:r>
      <w:hyperlink r:id="rId23" w:history="1">
        <w:r w:rsidR="006536E7">
          <w:rPr>
            <w:rStyle w:val="af9"/>
            <w:spacing w:val="-15"/>
          </w:rPr>
          <w:t>https://kryptoportal.sk/europska-centralna-banka-vyzyva-na-regulaciu-danenie-kryptomien/</w:t>
        </w:r>
      </w:hyperlink>
    </w:p>
    <w:p w:rsidR="005C3F63" w:rsidRDefault="006536E7">
      <w:pPr>
        <w:spacing w:after="40"/>
        <w:rPr>
          <w:rFonts w:ascii="Verdana" w:hAnsi="Verdana"/>
          <w:spacing w:val="-15"/>
          <w:sz w:val="20"/>
          <w:szCs w:val="20"/>
          <w:lang w:val="en-GB"/>
        </w:rPr>
      </w:pPr>
      <w:r>
        <w:rPr>
          <w:rFonts w:ascii="Verdana" w:hAnsi="Verdana"/>
          <w:sz w:val="20"/>
          <w:szCs w:val="20"/>
          <w:lang w:val="en-GB"/>
        </w:rPr>
        <w:t xml:space="preserve">IASPLUS, 2019: IASPLUS – </w:t>
      </w:r>
      <w:r>
        <w:rPr>
          <w:rFonts w:ascii="Verdana" w:hAnsi="Verdana"/>
          <w:i/>
          <w:sz w:val="20"/>
          <w:szCs w:val="20"/>
          <w:lang w:val="en-GB"/>
        </w:rPr>
        <w:t>Holdings of Cryptocurrencies</w:t>
      </w:r>
      <w:r>
        <w:rPr>
          <w:rFonts w:ascii="Verdana" w:hAnsi="Verdana"/>
          <w:sz w:val="20"/>
          <w:szCs w:val="20"/>
          <w:lang w:val="en-GB"/>
        </w:rPr>
        <w:t xml:space="preserve">. Retrieved from: </w:t>
      </w:r>
      <w:hyperlink r:id="rId24" w:history="1">
        <w:r>
          <w:rPr>
            <w:rStyle w:val="af9"/>
            <w:rFonts w:ascii="Verdana" w:hAnsi="Verdana"/>
            <w:sz w:val="20"/>
            <w:szCs w:val="20"/>
            <w:lang w:val="en-GB"/>
          </w:rPr>
          <w:t>https://www.iasplus.com/en/meeting-notes/ifrs-ic/2019/june/holdings-of-cryptocurrencies</w:t>
        </w:r>
      </w:hyperlink>
    </w:p>
    <w:p w:rsidR="005C3F63" w:rsidRDefault="006536E7">
      <w:pPr>
        <w:spacing w:after="40"/>
        <w:rPr>
          <w:rStyle w:val="af9"/>
          <w:rFonts w:ascii="Verdana" w:hAnsi="Verdana"/>
          <w:sz w:val="20"/>
          <w:szCs w:val="20"/>
          <w:lang w:val="en-GB"/>
        </w:rPr>
      </w:pPr>
      <w:r>
        <w:rPr>
          <w:rFonts w:ascii="Verdana" w:hAnsi="Verdana"/>
          <w:sz w:val="20"/>
          <w:szCs w:val="20"/>
          <w:lang w:val="en-GB"/>
        </w:rPr>
        <w:t xml:space="preserve">IFRS, 2019: IFRS - </w:t>
      </w:r>
      <w:r>
        <w:rPr>
          <w:rFonts w:ascii="Verdana" w:hAnsi="Verdana"/>
          <w:i/>
          <w:sz w:val="20"/>
          <w:szCs w:val="20"/>
          <w:lang w:val="en-GB"/>
        </w:rPr>
        <w:t xml:space="preserve">Holdings of Cryptocurrencies. </w:t>
      </w:r>
      <w:r>
        <w:rPr>
          <w:rFonts w:ascii="Verdana" w:hAnsi="Verdana"/>
          <w:sz w:val="20"/>
          <w:szCs w:val="20"/>
          <w:lang w:val="en-GB"/>
        </w:rPr>
        <w:t xml:space="preserve">Retrieved from: </w:t>
      </w:r>
      <w:hyperlink r:id="rId25" w:history="1">
        <w:r>
          <w:rPr>
            <w:rStyle w:val="af9"/>
            <w:rFonts w:ascii="Verdana" w:hAnsi="Verdana"/>
            <w:sz w:val="20"/>
            <w:szCs w:val="20"/>
            <w:lang w:val="en-GB"/>
          </w:rPr>
          <w:t>https://www.ifrs.org/projects/2019/holdings-of-cryptocurrencies/</w:t>
        </w:r>
      </w:hyperlink>
    </w:p>
    <w:p w:rsidR="005C3F63" w:rsidRDefault="006536E7">
      <w:pPr>
        <w:pStyle w:val="aff"/>
      </w:pPr>
      <w:r>
        <w:t>IFRS Standards, 2019: IFRS Standards issued on 1st January 2019. IASB.</w:t>
      </w:r>
    </w:p>
    <w:p w:rsidR="005C3F63" w:rsidRDefault="006536E7">
      <w:pPr>
        <w:spacing w:after="40"/>
        <w:rPr>
          <w:rFonts w:ascii="Verdana" w:hAnsi="Verdana"/>
          <w:sz w:val="20"/>
          <w:szCs w:val="20"/>
          <w:lang w:val="en-GB"/>
        </w:rPr>
      </w:pPr>
      <w:r>
        <w:rPr>
          <w:rFonts w:ascii="Verdana" w:hAnsi="Verdana"/>
          <w:sz w:val="20"/>
          <w:szCs w:val="20"/>
          <w:shd w:val="clear" w:color="auto" w:fill="FFFFFF"/>
          <w:lang w:val="en-GB"/>
        </w:rPr>
        <w:t xml:space="preserve">Lansky, J. (2018). </w:t>
      </w:r>
      <w:hyperlink r:id="rId26" w:history="1">
        <w:r>
          <w:rPr>
            <w:rStyle w:val="af9"/>
            <w:rFonts w:ascii="Verdana" w:hAnsi="Verdana"/>
            <w:sz w:val="20"/>
            <w:szCs w:val="20"/>
            <w:lang w:val="en-GB"/>
          </w:rPr>
          <w:t>Possible State Approaches to Cryptocurrencies</w:t>
        </w:r>
      </w:hyperlink>
      <w:r>
        <w:rPr>
          <w:rFonts w:ascii="Verdana" w:hAnsi="Verdana"/>
          <w:sz w:val="20"/>
          <w:szCs w:val="20"/>
          <w:shd w:val="clear" w:color="auto" w:fill="FFFFFF"/>
          <w:lang w:val="en-GB"/>
        </w:rPr>
        <w:t xml:space="preserve">. </w:t>
      </w:r>
      <w:r>
        <w:rPr>
          <w:rFonts w:ascii="Verdana" w:hAnsi="Verdana"/>
          <w:i/>
          <w:iCs/>
          <w:sz w:val="20"/>
          <w:szCs w:val="20"/>
          <w:shd w:val="clear" w:color="auto" w:fill="FFFFFF"/>
          <w:lang w:val="en-GB"/>
        </w:rPr>
        <w:t>Journal of Systems Integration</w:t>
      </w:r>
      <w:r>
        <w:rPr>
          <w:rFonts w:ascii="Verdana" w:hAnsi="Verdana"/>
          <w:sz w:val="20"/>
          <w:szCs w:val="20"/>
          <w:shd w:val="clear" w:color="auto" w:fill="FFFFFF"/>
          <w:lang w:val="en-GB"/>
        </w:rPr>
        <w:t xml:space="preserve">. Retrieved from: </w:t>
      </w:r>
      <w:hyperlink r:id="rId27" w:history="1">
        <w:r>
          <w:rPr>
            <w:rStyle w:val="af9"/>
            <w:rFonts w:ascii="Verdana" w:hAnsi="Verdana"/>
            <w:sz w:val="20"/>
            <w:szCs w:val="20"/>
          </w:rPr>
          <w:t>http://www.si-journal.org/index.php/JSI/article/viewFile/335/325</w:t>
        </w:r>
      </w:hyperlink>
    </w:p>
    <w:p w:rsidR="005C3F63" w:rsidRDefault="006536E7">
      <w:pPr>
        <w:spacing w:after="40"/>
        <w:rPr>
          <w:rStyle w:val="af9"/>
          <w:rFonts w:ascii="Verdana" w:hAnsi="Verdana"/>
          <w:sz w:val="20"/>
          <w:szCs w:val="20"/>
          <w:lang w:val="en-GB"/>
        </w:rPr>
      </w:pPr>
      <w:r>
        <w:rPr>
          <w:rFonts w:ascii="Verdana" w:hAnsi="Verdana"/>
          <w:sz w:val="20"/>
          <w:szCs w:val="20"/>
          <w:lang w:val="en-GB"/>
        </w:rPr>
        <w:t xml:space="preserve">Leopold, R. and Vollmann, P. (2019). </w:t>
      </w:r>
      <w:r>
        <w:rPr>
          <w:rFonts w:ascii="Verdana" w:hAnsi="Verdana"/>
          <w:i/>
          <w:sz w:val="20"/>
          <w:szCs w:val="20"/>
          <w:lang w:val="en-GB"/>
        </w:rPr>
        <w:t xml:space="preserve">In depth. A look at current financial reporting issues. Cryptographic assets and related transactions: accounting considerations under </w:t>
      </w:r>
      <w:r>
        <w:rPr>
          <w:rFonts w:ascii="Verdana" w:hAnsi="Verdana"/>
          <w:i/>
          <w:sz w:val="20"/>
          <w:szCs w:val="20"/>
          <w:lang w:val="en-GB"/>
        </w:rPr>
        <w:lastRenderedPageBreak/>
        <w:t xml:space="preserve">IFRS. </w:t>
      </w:r>
      <w:r>
        <w:rPr>
          <w:rFonts w:ascii="Verdana" w:hAnsi="Verdana"/>
          <w:sz w:val="20"/>
          <w:szCs w:val="20"/>
          <w:lang w:val="en-GB"/>
        </w:rPr>
        <w:t xml:space="preserve">Retrieved from: </w:t>
      </w:r>
      <w:hyperlink r:id="rId28" w:history="1">
        <w:r>
          <w:rPr>
            <w:rStyle w:val="af9"/>
            <w:rFonts w:ascii="Verdana" w:hAnsi="Verdana"/>
            <w:sz w:val="20"/>
            <w:szCs w:val="20"/>
            <w:lang w:val="en-GB"/>
          </w:rPr>
          <w:t>https://www.pwc.com/gx/en/services/audit-assurance/assets/pwc-cryptographic-assets-and-related-transactions-accounting-considerations-under-ifrs.pdf</w:t>
        </w:r>
      </w:hyperlink>
    </w:p>
    <w:p w:rsidR="005C3F63" w:rsidRDefault="006536E7">
      <w:pPr>
        <w:pStyle w:val="aff"/>
        <w:rPr>
          <w:rStyle w:val="af9"/>
        </w:rPr>
      </w:pPr>
      <w:r>
        <w:t xml:space="preserve">Lopes, V., and Alexandre, L. A. (2019). An Overview of Blockchain Integration with Robotics and Artificial Intelligence. </w:t>
      </w:r>
      <w:r>
        <w:rPr>
          <w:i/>
        </w:rPr>
        <w:t>Ledger, 4</w:t>
      </w:r>
      <w:r>
        <w:t xml:space="preserve">. Retrieved from: </w:t>
      </w:r>
      <w:hyperlink r:id="rId29" w:history="1">
        <w:r>
          <w:rPr>
            <w:rStyle w:val="af9"/>
          </w:rPr>
          <w:t>https://doi.org/10.5195/ledger.2019.171</w:t>
        </w:r>
      </w:hyperlink>
    </w:p>
    <w:p w:rsidR="005C3F63" w:rsidRDefault="006536E7">
      <w:pPr>
        <w:spacing w:after="40"/>
        <w:rPr>
          <w:rFonts w:ascii="Verdana" w:hAnsi="Verdana"/>
          <w:sz w:val="20"/>
          <w:szCs w:val="20"/>
          <w:lang w:val="en-GB"/>
        </w:rPr>
      </w:pPr>
      <w:r>
        <w:rPr>
          <w:rFonts w:ascii="Verdana" w:hAnsi="Verdana"/>
          <w:sz w:val="20"/>
          <w:szCs w:val="20"/>
          <w:shd w:val="clear" w:color="auto" w:fill="FFFFFF"/>
          <w:lang w:val="en-GB"/>
        </w:rPr>
        <w:t xml:space="preserve">Ortisi, M. (2016). Bitcoin Market Volataility Analysis Using Grand Canonical Minority Game. </w:t>
      </w:r>
      <w:r>
        <w:rPr>
          <w:rFonts w:ascii="Verdana" w:hAnsi="Verdana"/>
          <w:i/>
          <w:sz w:val="20"/>
          <w:szCs w:val="20"/>
          <w:shd w:val="clear" w:color="auto" w:fill="FFFFFF"/>
          <w:lang w:val="en-GB"/>
        </w:rPr>
        <w:t>Ledger, 1</w:t>
      </w:r>
      <w:r>
        <w:rPr>
          <w:rFonts w:ascii="Verdana" w:hAnsi="Verdana"/>
          <w:sz w:val="20"/>
          <w:szCs w:val="20"/>
          <w:shd w:val="clear" w:color="auto" w:fill="FFFFFF"/>
          <w:lang w:val="en-GB"/>
        </w:rPr>
        <w:t xml:space="preserve">, 111-118. Retrieved from: </w:t>
      </w:r>
      <w:hyperlink r:id="rId30" w:history="1">
        <w:r>
          <w:rPr>
            <w:rStyle w:val="af9"/>
            <w:rFonts w:ascii="Verdana" w:hAnsi="Verdana"/>
            <w:sz w:val="20"/>
            <w:szCs w:val="20"/>
            <w:shd w:val="clear" w:color="auto" w:fill="FFFFFF"/>
            <w:lang w:val="en-GB"/>
          </w:rPr>
          <w:t>https://doi.org/10.5195/ledger.2016.61</w:t>
        </w:r>
      </w:hyperlink>
    </w:p>
    <w:p w:rsidR="005C3F63" w:rsidRDefault="006536E7">
      <w:pPr>
        <w:spacing w:after="40"/>
        <w:rPr>
          <w:rFonts w:ascii="Verdana" w:hAnsi="Verdana"/>
          <w:sz w:val="20"/>
          <w:szCs w:val="20"/>
          <w:shd w:val="clear" w:color="auto" w:fill="FFFFFF"/>
          <w:lang w:val="en-GB"/>
        </w:rPr>
      </w:pPr>
      <w:r>
        <w:rPr>
          <w:rFonts w:ascii="Verdana" w:hAnsi="Verdana"/>
          <w:sz w:val="20"/>
          <w:szCs w:val="20"/>
          <w:lang w:val="en-GB"/>
        </w:rPr>
        <w:t xml:space="preserve">Scharding, T. (2019). National currency, world currency, cryptocurrency: A Fichtean approach to the Ethics of Bitcoin. </w:t>
      </w:r>
      <w:r>
        <w:rPr>
          <w:rFonts w:ascii="Verdana" w:hAnsi="Verdana"/>
          <w:i/>
          <w:sz w:val="20"/>
          <w:szCs w:val="20"/>
          <w:lang w:val="en-GB"/>
        </w:rPr>
        <w:t>Business and Society Review, 2 (124)</w:t>
      </w:r>
      <w:r>
        <w:rPr>
          <w:rFonts w:ascii="Verdana" w:hAnsi="Verdana"/>
          <w:sz w:val="20"/>
          <w:szCs w:val="20"/>
          <w:lang w:val="en-GB"/>
        </w:rPr>
        <w:t xml:space="preserve">. Retrieved from: </w:t>
      </w:r>
      <w:hyperlink r:id="rId31" w:history="1">
        <w:r>
          <w:rPr>
            <w:rStyle w:val="af9"/>
            <w:rFonts w:ascii="Verdana" w:hAnsi="Verdana"/>
            <w:sz w:val="20"/>
            <w:szCs w:val="20"/>
            <w:lang w:val="en-GB"/>
          </w:rPr>
          <w:t>https://doi.org/10.1111/basr.12169</w:t>
        </w:r>
      </w:hyperlink>
    </w:p>
    <w:p w:rsidR="005C3F63" w:rsidRDefault="006536E7">
      <w:pPr>
        <w:spacing w:after="40"/>
        <w:rPr>
          <w:rFonts w:ascii="Verdana" w:hAnsi="Verdana"/>
          <w:sz w:val="20"/>
          <w:szCs w:val="20"/>
          <w:shd w:val="clear" w:color="auto" w:fill="FFFFFF"/>
          <w:lang w:val="en-GB"/>
        </w:rPr>
      </w:pPr>
      <w:r>
        <w:rPr>
          <w:rFonts w:ascii="Verdana" w:hAnsi="Verdana"/>
          <w:sz w:val="20"/>
          <w:szCs w:val="20"/>
          <w:shd w:val="clear" w:color="auto" w:fill="FFFFFF"/>
          <w:lang w:val="en-GB"/>
        </w:rPr>
        <w:t xml:space="preserve">Smales, L. A. (2020). One Cryptocurrency to Explain Them All? Understanding the Importance of Bitcoin in Cryptocurrency Returns. </w:t>
      </w:r>
      <w:r>
        <w:rPr>
          <w:rFonts w:ascii="Verdana" w:hAnsi="Verdana"/>
          <w:i/>
          <w:sz w:val="20"/>
          <w:szCs w:val="20"/>
          <w:shd w:val="clear" w:color="auto" w:fill="FFFFFF"/>
          <w:lang w:val="en-GB"/>
        </w:rPr>
        <w:t>Economic Papers: A journal of applied economics and policy, Early View.</w:t>
      </w:r>
      <w:r>
        <w:rPr>
          <w:rFonts w:ascii="Verdana" w:hAnsi="Verdana"/>
          <w:sz w:val="20"/>
          <w:szCs w:val="20"/>
          <w:shd w:val="clear" w:color="auto" w:fill="FFFFFF"/>
          <w:lang w:val="en-GB"/>
        </w:rPr>
        <w:t xml:space="preserve"> Retrieved from: </w:t>
      </w:r>
      <w:hyperlink r:id="rId32" w:history="1">
        <w:r>
          <w:rPr>
            <w:rStyle w:val="af9"/>
            <w:rFonts w:ascii="Verdana" w:hAnsi="Verdana"/>
            <w:sz w:val="20"/>
            <w:szCs w:val="20"/>
            <w:shd w:val="clear" w:color="auto" w:fill="FFFFFF"/>
            <w:lang w:val="en-GB"/>
          </w:rPr>
          <w:t>https://doi.org/10.1111/1759-3441.12282</w:t>
        </w:r>
      </w:hyperlink>
    </w:p>
    <w:p w:rsidR="005C3F63" w:rsidRDefault="006536E7">
      <w:pPr>
        <w:pStyle w:val="aff"/>
      </w:pPr>
      <w:r>
        <w:t xml:space="preserve">Swan, M., and Filippi, P. (2017). Toward a Philosophy of Blockchain: A Symposium: Introduction. </w:t>
      </w:r>
      <w:r>
        <w:rPr>
          <w:i/>
        </w:rPr>
        <w:t>Metaphilosophy, 5 (48)</w:t>
      </w:r>
      <w:r>
        <w:t xml:space="preserve">. Retrieved from: </w:t>
      </w:r>
      <w:hyperlink r:id="rId33" w:history="1">
        <w:r>
          <w:rPr>
            <w:rStyle w:val="af9"/>
          </w:rPr>
          <w:t>https://doi.org/10.1111/meta.12270</w:t>
        </w:r>
      </w:hyperlink>
    </w:p>
    <w:p w:rsidR="005C3F63" w:rsidRDefault="006536E7">
      <w:pPr>
        <w:pStyle w:val="aff"/>
        <w:rPr>
          <w:rStyle w:val="af9"/>
          <w:color w:val="auto"/>
        </w:rPr>
      </w:pPr>
      <w:r>
        <w:t>Šlosárová, A., and Blahušiaková, M. (2018). Virtuálna mena v účtovníctve podnikateľa účtujúceho v sústave podvojného účtovníctva. </w:t>
      </w:r>
      <w:r>
        <w:rPr>
          <w:i/>
          <w:iCs/>
        </w:rPr>
        <w:t>Účtovníctvo - Audítorstvo - Daňovníctvo: V Teórii A Praxi</w:t>
      </w:r>
      <w:r>
        <w:t>, </w:t>
      </w:r>
      <w:r>
        <w:rPr>
          <w:i/>
          <w:iCs/>
        </w:rPr>
        <w:t>26</w:t>
      </w:r>
      <w:r>
        <w:t>(11), 2-6.</w:t>
      </w:r>
    </w:p>
    <w:p w:rsidR="005C3F63" w:rsidRDefault="006536E7">
      <w:pPr>
        <w:jc w:val="left"/>
        <w:rPr>
          <w:rStyle w:val="af9"/>
          <w:rFonts w:ascii="Verdana" w:eastAsia="MS Mincho" w:hAnsi="Verdana"/>
          <w:kern w:val="2"/>
          <w:sz w:val="20"/>
          <w:szCs w:val="20"/>
          <w:shd w:val="clear" w:color="auto" w:fill="FFFFFF"/>
          <w:lang w:val="en-GB" w:eastAsia="ja-JP" w:bidi="ar-SA"/>
        </w:rPr>
      </w:pPr>
      <w:r>
        <w:rPr>
          <w:rFonts w:ascii="Verdana" w:hAnsi="Verdana"/>
          <w:sz w:val="20"/>
          <w:szCs w:val="20"/>
          <w:lang w:val="en-GB"/>
        </w:rPr>
        <w:t xml:space="preserve">Venter, H. (2016). </w:t>
      </w:r>
      <w:r>
        <w:rPr>
          <w:rFonts w:ascii="Verdana" w:hAnsi="Verdana"/>
          <w:bCs/>
          <w:i/>
          <w:sz w:val="20"/>
          <w:szCs w:val="20"/>
          <w:lang w:val="en-GB"/>
        </w:rPr>
        <w:t xml:space="preserve">Digital currency – A case for standard setting activity. </w:t>
      </w:r>
      <w:r>
        <w:rPr>
          <w:rFonts w:ascii="Verdana" w:hAnsi="Verdana"/>
          <w:i/>
          <w:sz w:val="20"/>
          <w:szCs w:val="20"/>
          <w:lang w:val="en-GB"/>
        </w:rPr>
        <w:t>A perspective by the Australian Accounting Standards Board (AASB)</w:t>
      </w:r>
      <w:r>
        <w:rPr>
          <w:rFonts w:ascii="Verdana" w:hAnsi="Verdana"/>
          <w:sz w:val="20"/>
          <w:szCs w:val="20"/>
          <w:lang w:val="en-GB"/>
        </w:rPr>
        <w:t xml:space="preserve">. Retrieved from: </w:t>
      </w:r>
      <w:hyperlink r:id="rId34" w:history="1">
        <w:r>
          <w:rPr>
            <w:rStyle w:val="af9"/>
            <w:rFonts w:ascii="Verdana" w:hAnsi="Verdana"/>
            <w:color w:val="auto"/>
            <w:sz w:val="20"/>
            <w:szCs w:val="20"/>
            <w:lang w:val="en-GB"/>
          </w:rPr>
          <w:t>https://www.aasb.gov.au/admin/file/content102/c3/AASB_ASAF_DigitalCurrency.pdf</w:t>
        </w:r>
      </w:hyperlink>
      <w:r>
        <w:rPr>
          <w:rStyle w:val="af9"/>
          <w:rFonts w:ascii="Verdana" w:hAnsi="Verdana"/>
          <w:sz w:val="20"/>
          <w:szCs w:val="20"/>
          <w:lang w:val="en-GB"/>
        </w:rPr>
        <w:br w:type="page"/>
      </w:r>
    </w:p>
    <w:p w:rsidR="005C3F63" w:rsidRDefault="006536E7">
      <w:pPr>
        <w:pStyle w:val="1"/>
        <w:spacing w:before="0" w:after="240"/>
      </w:pPr>
      <w:bookmarkStart w:id="88" w:name="_Toc47951498"/>
      <w:r>
        <w:rPr>
          <w:szCs w:val="24"/>
        </w:rPr>
        <w:lastRenderedPageBreak/>
        <w:t>Evaluation of the impact of the COVID 19 pandemic on the financial statements of companies as at the closing date of 31 December 2019 in Czech Republic</w:t>
      </w:r>
      <w:bookmarkEnd w:id="88"/>
    </w:p>
    <w:p w:rsidR="005C3F63" w:rsidRDefault="006536E7">
      <w:pPr>
        <w:spacing w:after="120"/>
        <w:jc w:val="center"/>
        <w:rPr>
          <w:rFonts w:ascii="Verdana" w:hAnsi="Verdana"/>
          <w:b/>
          <w:sz w:val="20"/>
          <w:szCs w:val="20"/>
          <w:lang w:val="sk-SK"/>
        </w:rPr>
      </w:pPr>
      <w:bookmarkStart w:id="89" w:name="_Toc47948964"/>
      <w:bookmarkStart w:id="90" w:name="_Toc47948706"/>
      <w:bookmarkStart w:id="91" w:name="_Toc47951499"/>
      <w:bookmarkStart w:id="92" w:name="_Toc47949278"/>
      <w:bookmarkStart w:id="93" w:name="_Toc47951341"/>
      <w:bookmarkStart w:id="94" w:name="_Toc47948768"/>
      <w:bookmarkStart w:id="95" w:name="_Toc47951433"/>
      <w:r>
        <w:rPr>
          <w:rStyle w:val="AutorChar"/>
          <w:sz w:val="20"/>
          <w:szCs w:val="20"/>
        </w:rPr>
        <w:t>Václav Černý</w:t>
      </w:r>
      <w:r>
        <w:rPr>
          <w:rStyle w:val="AutorChar"/>
          <w:sz w:val="20"/>
          <w:szCs w:val="20"/>
          <w:vertAlign w:val="superscript"/>
        </w:rPr>
        <w:t>1</w:t>
      </w:r>
      <w:bookmarkEnd w:id="89"/>
      <w:bookmarkEnd w:id="90"/>
      <w:bookmarkEnd w:id="91"/>
      <w:bookmarkEnd w:id="92"/>
      <w:bookmarkEnd w:id="93"/>
      <w:bookmarkEnd w:id="94"/>
      <w:bookmarkEnd w:id="95"/>
      <w:r>
        <w:rPr>
          <w:rFonts w:ascii="Verdana" w:hAnsi="Verdana"/>
          <w:b/>
          <w:sz w:val="20"/>
          <w:szCs w:val="20"/>
          <w:lang w:val="sk-SK"/>
        </w:rPr>
        <w:t xml:space="preserve"> </w:t>
      </w:r>
    </w:p>
    <w:p w:rsidR="005C3F63" w:rsidRDefault="005C3F63">
      <w:pPr>
        <w:jc w:val="center"/>
        <w:rPr>
          <w:rFonts w:ascii="Verdana" w:hAnsi="Verdana"/>
          <w:sz w:val="18"/>
          <w:szCs w:val="18"/>
        </w:rPr>
      </w:pPr>
    </w:p>
    <w:p w:rsidR="005C3F63" w:rsidRDefault="006536E7">
      <w:pPr>
        <w:jc w:val="center"/>
        <w:rPr>
          <w:rFonts w:ascii="Verdana" w:hAnsi="Verdana"/>
          <w:sz w:val="18"/>
          <w:szCs w:val="18"/>
        </w:rPr>
      </w:pPr>
      <w:r>
        <w:rPr>
          <w:rFonts w:ascii="Verdana" w:hAnsi="Verdana"/>
          <w:sz w:val="18"/>
          <w:szCs w:val="18"/>
          <w:vertAlign w:val="superscript"/>
        </w:rPr>
        <w:t xml:space="preserve">1 </w:t>
      </w:r>
      <w:r>
        <w:rPr>
          <w:rFonts w:ascii="Verdana" w:hAnsi="Verdana"/>
          <w:sz w:val="18"/>
          <w:szCs w:val="18"/>
        </w:rPr>
        <w:t>University of Economics</w:t>
      </w:r>
    </w:p>
    <w:p w:rsidR="005C3F63" w:rsidRDefault="006536E7">
      <w:pPr>
        <w:jc w:val="center"/>
        <w:rPr>
          <w:rFonts w:ascii="Verdana" w:hAnsi="Verdana"/>
          <w:sz w:val="18"/>
          <w:szCs w:val="18"/>
        </w:rPr>
      </w:pPr>
      <w:r>
        <w:rPr>
          <w:rFonts w:ascii="Verdana" w:hAnsi="Verdana"/>
          <w:sz w:val="18"/>
          <w:szCs w:val="18"/>
        </w:rPr>
        <w:t>Faculty of Finance and Accounting, Department Financial Accounting and Auditing</w:t>
      </w:r>
    </w:p>
    <w:p w:rsidR="005C3F63" w:rsidRDefault="006536E7">
      <w:pPr>
        <w:jc w:val="center"/>
        <w:rPr>
          <w:rFonts w:ascii="Verdana" w:hAnsi="Verdana"/>
          <w:sz w:val="18"/>
          <w:szCs w:val="18"/>
        </w:rPr>
      </w:pPr>
      <w:r>
        <w:rPr>
          <w:rFonts w:ascii="Verdana" w:hAnsi="Verdana"/>
          <w:sz w:val="18"/>
          <w:szCs w:val="18"/>
        </w:rPr>
        <w:t>Winston Churchill Sq.4, 130 67 Prague 3, Czech Republic</w:t>
      </w:r>
    </w:p>
    <w:p w:rsidR="005C3F63" w:rsidRDefault="006536E7">
      <w:pPr>
        <w:jc w:val="center"/>
        <w:rPr>
          <w:rFonts w:ascii="Verdana" w:hAnsi="Verdana"/>
          <w:sz w:val="18"/>
          <w:szCs w:val="18"/>
          <w:lang w:val="en-GB"/>
        </w:rPr>
      </w:pPr>
      <w:r>
        <w:rPr>
          <w:rFonts w:ascii="Verdana" w:hAnsi="Verdana"/>
          <w:sz w:val="18"/>
          <w:szCs w:val="18"/>
          <w:lang w:val="en-GB"/>
        </w:rPr>
        <w:t>E-mail: cernyvac@vse.cz</w:t>
      </w:r>
    </w:p>
    <w:p w:rsidR="005C3F63" w:rsidRDefault="005C3F63">
      <w:pPr>
        <w:jc w:val="center"/>
        <w:rPr>
          <w:rFonts w:ascii="Verdana" w:hAnsi="Verdana"/>
          <w:sz w:val="18"/>
          <w:szCs w:val="18"/>
          <w:lang w:val="en-GB"/>
        </w:rPr>
      </w:pPr>
    </w:p>
    <w:p w:rsidR="005C3F63" w:rsidRDefault="005C3F63">
      <w:pPr>
        <w:rPr>
          <w:rFonts w:ascii="Verdana" w:hAnsi="Verdana"/>
          <w:sz w:val="22"/>
          <w:lang w:val="en-GB"/>
        </w:rPr>
      </w:pPr>
    </w:p>
    <w:p w:rsidR="005C3F63" w:rsidRDefault="006536E7">
      <w:pPr>
        <w:spacing w:after="120"/>
        <w:rPr>
          <w:rFonts w:ascii="Verdana" w:hAnsi="Verdana"/>
          <w:bCs/>
          <w:i/>
          <w:sz w:val="20"/>
          <w:szCs w:val="20"/>
          <w:lang w:val="en-GB"/>
        </w:rPr>
      </w:pPr>
      <w:r>
        <w:rPr>
          <w:rFonts w:ascii="Verdana" w:hAnsi="Verdana"/>
          <w:b/>
          <w:i/>
          <w:sz w:val="20"/>
          <w:szCs w:val="20"/>
          <w:lang w:val="en-GB"/>
        </w:rPr>
        <w:t xml:space="preserve">Abstract: </w:t>
      </w:r>
      <w:r>
        <w:rPr>
          <w:rFonts w:ascii="Verdana" w:hAnsi="Verdana"/>
          <w:bCs/>
          <w:i/>
          <w:sz w:val="20"/>
          <w:szCs w:val="20"/>
          <w:lang w:val="en-GB"/>
        </w:rPr>
        <w:t>The article deals with the evaluation of the impact of the global pandemic of the COVID 2019 virus on the economic development of companies. It also deals with the Recommendation of the Chamber of Auditors of the Czech Republic to auditors on how to approach risk assessments in connection with the COVID 19 pandemic, which were compiled by companies. It also brings the author's findings from specifically performed audits of companies with the date of the annual financial statements as of 31.12.2019.</w:t>
      </w:r>
    </w:p>
    <w:p w:rsidR="005C3F63" w:rsidRDefault="006536E7">
      <w:pPr>
        <w:spacing w:after="120"/>
        <w:rPr>
          <w:rFonts w:ascii="Verdana" w:hAnsi="Verdana"/>
          <w:i/>
          <w:sz w:val="20"/>
          <w:szCs w:val="20"/>
          <w:lang w:val="en-GB"/>
        </w:rPr>
      </w:pPr>
      <w:r>
        <w:rPr>
          <w:rFonts w:ascii="Verdana" w:hAnsi="Verdana"/>
          <w:b/>
          <w:i/>
          <w:sz w:val="20"/>
          <w:szCs w:val="20"/>
          <w:lang w:val="en-GB"/>
        </w:rPr>
        <w:t>Keywords:</w:t>
      </w:r>
      <w:r>
        <w:rPr>
          <w:rFonts w:ascii="Verdana" w:hAnsi="Verdana"/>
          <w:i/>
          <w:sz w:val="20"/>
          <w:szCs w:val="20"/>
          <w:lang w:val="en-GB"/>
        </w:rPr>
        <w:t xml:space="preserve"> COVID 19, Financial statements, risks, pandemics</w:t>
      </w:r>
    </w:p>
    <w:p w:rsidR="005C3F63" w:rsidRDefault="006536E7">
      <w:pPr>
        <w:pStyle w:val="04-Anotacijostekstas"/>
        <w:spacing w:before="0" w:after="120"/>
        <w:ind w:left="0" w:right="-284"/>
        <w:jc w:val="left"/>
        <w:rPr>
          <w:rFonts w:ascii="Verdana" w:hAnsi="Verdana"/>
          <w:i/>
          <w:lang w:val="en-GB"/>
        </w:rPr>
      </w:pPr>
      <w:r>
        <w:rPr>
          <w:rFonts w:ascii="Verdana" w:hAnsi="Verdana"/>
          <w:i/>
          <w:lang w:val="en-GB"/>
        </w:rPr>
        <w:t>JEL codes: M41</w:t>
      </w:r>
    </w:p>
    <w:p w:rsidR="005C3F63" w:rsidRDefault="006536E7">
      <w:pPr>
        <w:spacing w:after="120"/>
        <w:rPr>
          <w:rStyle w:val="KapitolaChar"/>
          <w:lang w:val="cs-CZ"/>
        </w:rPr>
      </w:pPr>
      <w:r>
        <w:rPr>
          <w:rStyle w:val="KapitolaChar"/>
          <w:lang w:val="cs-CZ"/>
        </w:rPr>
        <w:t>1 Pandemie viru COVID 19 a její možné dopady na schopnost účetní jednotky trvat.</w:t>
      </w:r>
    </w:p>
    <w:p w:rsidR="005C3F63" w:rsidRDefault="006536E7">
      <w:pPr>
        <w:spacing w:after="120"/>
        <w:rPr>
          <w:rFonts w:ascii="Verdana" w:hAnsi="Verdana"/>
          <w:sz w:val="20"/>
          <w:szCs w:val="20"/>
          <w:lang w:val="cs-CZ"/>
        </w:rPr>
      </w:pPr>
      <w:r>
        <w:rPr>
          <w:rFonts w:ascii="Verdana" w:hAnsi="Verdana"/>
          <w:sz w:val="20"/>
          <w:szCs w:val="20"/>
          <w:lang w:val="cs-CZ"/>
        </w:rPr>
        <w:t>Postupný nárůst osob nakažených virem k závěrkovému dni nepředstavoval z hlediska České republiky významný problém. Ke konci roku byly k dispozici pouze kusé informace o nákaze v daleké Číně a zdálo se, že z hlediska České republiky to bude pouze okrajový problém, zejména v lednu. Další vývoj však ukázal, že původně lokální záležitost přerostla v globální celosvětovou pandemii netušených rozměrů s miliony nakažených a stotisíci mrtvých na všech kontinentech. Situace v České republice vyústila ve vyhlášení mimořádného stavu, který si vyžádal nakonec umrtvení činnosti většiny subjektů. Tato skutečnost nemůže nemít vážné ekonomické problémy a dopady na celou ekonomiku a to jak z makro, tak i mikroekonomického hlediska. Navíc při závislosti na vývoji v dalších zemích může být tento vliv ještě zesílen. Očekávání těchto dopadů by mělo být v různé míře zobrazeno v účetních (finančních) výkazech, s akcentem na vyhodnocení schopnosti trvat v budoucnosti (doporučení ISA navíc otázku budoucnosti nevztahuje pouze na období příštích 12 měsíců, ale na otázku blízké (vzdálené) budoucnosti „kam až je účetní jednotka schopna dohlédnout". Ověření zohlednění těchto vlivů je pak úkolem auditorů. V podmínkách České republiky k tomu Komora auditorů České republiky (KAČR) vydala pokyn k provádění této činnosti. Tento materiál je průběžně aktualizován podle dalšího vývoje. V tomto článku se zaměřím na zabezpečení tohoto vyhodnocení u účetních jednotek, jejichž závěrkový den je stanoven k 31.12.2019. Obecný postup pro podnikatelské subjekty bude diskutován i ve vztahu k neziskovým organizacím (obecně prospěšné společnosti, politické strany), včetně zobecnění praktických zkušeností.</w:t>
      </w:r>
    </w:p>
    <w:p w:rsidR="005C3F63" w:rsidRDefault="006536E7">
      <w:pPr>
        <w:spacing w:after="120"/>
        <w:rPr>
          <w:rFonts w:ascii="Verdana" w:hAnsi="Verdana" w:cs="Arial"/>
          <w:bCs/>
          <w:kern w:val="32"/>
          <w:sz w:val="18"/>
          <w:szCs w:val="18"/>
          <w:lang w:val="cs-CZ" w:eastAsia="cs-CZ" w:bidi="ar-SA"/>
        </w:rPr>
      </w:pPr>
      <w:r>
        <w:rPr>
          <w:rStyle w:val="KapitolaChar"/>
          <w:lang w:val="cs-CZ"/>
        </w:rPr>
        <w:t>2 Doporučení KAČR ke zhodnocení vlivu COVID 19.</w:t>
      </w:r>
    </w:p>
    <w:p w:rsidR="005C3F63" w:rsidRDefault="006536E7">
      <w:pPr>
        <w:rPr>
          <w:rFonts w:ascii="Verdana" w:hAnsi="Verdana" w:cs="Arial"/>
          <w:bCs/>
          <w:sz w:val="20"/>
          <w:szCs w:val="20"/>
          <w:lang w:val="cs-CZ"/>
        </w:rPr>
      </w:pPr>
      <w:r>
        <w:rPr>
          <w:rFonts w:ascii="Verdana" w:hAnsi="Verdana"/>
          <w:sz w:val="20"/>
          <w:szCs w:val="20"/>
          <w:lang w:val="cs-CZ"/>
        </w:rPr>
        <w:t>K usnadnění činnosti auditorů vydala Komora auditorů „</w:t>
      </w:r>
      <w:r>
        <w:rPr>
          <w:rFonts w:ascii="Verdana" w:hAnsi="Verdana" w:cs="Arial"/>
          <w:bCs/>
          <w:sz w:val="20"/>
          <w:szCs w:val="20"/>
          <w:lang w:val="cs-CZ"/>
        </w:rPr>
        <w:t>Doporučení Komory auditorů České republiky pro auditory při vydávání zpráv auditora k účetním závěrkám za účetní období končící 31.12.2019 a později v souvislosti s COVID-</w:t>
      </w:r>
      <w:r>
        <w:rPr>
          <w:rFonts w:ascii="Verdana" w:hAnsi="Verdana" w:cs="Arial"/>
          <w:bCs/>
          <w:sz w:val="20"/>
          <w:szCs w:val="20"/>
          <w:vertAlign w:val="subscript"/>
          <w:lang w:val="cs-CZ"/>
        </w:rPr>
        <w:t>19</w:t>
      </w:r>
      <w:r>
        <w:rPr>
          <w:rFonts w:ascii="Verdana" w:hAnsi="Verdana" w:cs="Arial"/>
          <w:bCs/>
          <w:sz w:val="20"/>
          <w:szCs w:val="20"/>
          <w:lang w:val="cs-CZ"/>
        </w:rPr>
        <w:t xml:space="preserve"> v ČR“. Jak jsem již zmínil v tomto článku se zaměřím na doporučení pro účetní závěrky k 31.12.2019. </w:t>
      </w:r>
    </w:p>
    <w:p w:rsidR="005C3F63" w:rsidRDefault="005C3F63">
      <w:pPr>
        <w:rPr>
          <w:rFonts w:ascii="Verdana" w:hAnsi="Verdana" w:cs="Arial"/>
          <w:bCs/>
          <w:sz w:val="20"/>
          <w:szCs w:val="20"/>
          <w:lang w:val="cs-CZ"/>
        </w:rPr>
      </w:pPr>
    </w:p>
    <w:p w:rsidR="005C3F63" w:rsidRDefault="006536E7">
      <w:pPr>
        <w:rPr>
          <w:rFonts w:ascii="Verdana" w:hAnsi="Verdana" w:cs="Arial"/>
          <w:bCs/>
          <w:sz w:val="20"/>
          <w:szCs w:val="20"/>
          <w:lang w:val="cs-CZ"/>
        </w:rPr>
      </w:pPr>
      <w:r>
        <w:rPr>
          <w:rFonts w:ascii="Verdana" w:hAnsi="Verdana" w:cs="Arial"/>
          <w:bCs/>
          <w:sz w:val="20"/>
          <w:szCs w:val="20"/>
          <w:lang w:val="cs-CZ"/>
        </w:rPr>
        <w:t>Materiál vymezuje následující možné dopady opatření na účetnictví a financování podniků v souvislosti s COVID 19:</w:t>
      </w:r>
    </w:p>
    <w:p w:rsidR="005C3F63" w:rsidRDefault="005C3F63">
      <w:pPr>
        <w:rPr>
          <w:rFonts w:ascii="Verdana" w:hAnsi="Verdana" w:cs="Arial"/>
          <w:bCs/>
          <w:sz w:val="20"/>
          <w:szCs w:val="20"/>
          <w:lang w:val="cs-CZ"/>
        </w:rPr>
      </w:pPr>
    </w:p>
    <w:p w:rsidR="005C3F63" w:rsidRDefault="006536E7">
      <w:pPr>
        <w:pStyle w:val="afd"/>
        <w:numPr>
          <w:ilvl w:val="0"/>
          <w:numId w:val="8"/>
        </w:numPr>
        <w:spacing w:after="200" w:line="276" w:lineRule="auto"/>
        <w:rPr>
          <w:rFonts w:ascii="Verdana" w:hAnsi="Verdana"/>
          <w:sz w:val="20"/>
          <w:szCs w:val="20"/>
          <w:lang w:val="cs-CZ"/>
        </w:rPr>
      </w:pPr>
      <w:r>
        <w:rPr>
          <w:rFonts w:ascii="Verdana" w:hAnsi="Verdana"/>
          <w:sz w:val="20"/>
          <w:szCs w:val="20"/>
          <w:lang w:val="cs-CZ"/>
        </w:rPr>
        <w:t>pokles hodnoty finančních či nefinančních aktiv z důvodu nepříznivé globální ekonomické situace,</w:t>
      </w:r>
    </w:p>
    <w:p w:rsidR="005C3F63" w:rsidRDefault="006536E7">
      <w:pPr>
        <w:pStyle w:val="afd"/>
        <w:numPr>
          <w:ilvl w:val="0"/>
          <w:numId w:val="8"/>
        </w:numPr>
        <w:spacing w:after="200" w:line="276" w:lineRule="auto"/>
        <w:rPr>
          <w:rFonts w:ascii="Verdana" w:hAnsi="Verdana"/>
          <w:sz w:val="20"/>
          <w:szCs w:val="20"/>
          <w:lang w:val="cs-CZ"/>
        </w:rPr>
      </w:pPr>
      <w:r>
        <w:rPr>
          <w:rFonts w:ascii="Verdana" w:hAnsi="Verdana"/>
          <w:sz w:val="20"/>
          <w:szCs w:val="20"/>
          <w:lang w:val="cs-CZ"/>
        </w:rPr>
        <w:lastRenderedPageBreak/>
        <w:t>přerušení dodavatelských a odběratelských vztahů či jiné narušení podnikatelské činnosti,</w:t>
      </w:r>
    </w:p>
    <w:p w:rsidR="005C3F63" w:rsidRDefault="006536E7">
      <w:pPr>
        <w:pStyle w:val="afd"/>
        <w:numPr>
          <w:ilvl w:val="0"/>
          <w:numId w:val="8"/>
        </w:numPr>
        <w:spacing w:after="200" w:line="276" w:lineRule="auto"/>
        <w:rPr>
          <w:rFonts w:ascii="Verdana" w:hAnsi="Verdana"/>
          <w:sz w:val="20"/>
          <w:szCs w:val="20"/>
          <w:lang w:val="cs-CZ"/>
        </w:rPr>
      </w:pPr>
      <w:r>
        <w:rPr>
          <w:rFonts w:ascii="Verdana" w:hAnsi="Verdana"/>
          <w:sz w:val="20"/>
          <w:szCs w:val="20"/>
          <w:lang w:val="cs-CZ"/>
        </w:rPr>
        <w:t>narušení současných či budoucích peněžních toků s dopadem na likviditu a finanční situaci účetní jednotky,</w:t>
      </w:r>
    </w:p>
    <w:p w:rsidR="005C3F63" w:rsidRDefault="006536E7">
      <w:pPr>
        <w:pStyle w:val="afd"/>
        <w:numPr>
          <w:ilvl w:val="0"/>
          <w:numId w:val="8"/>
        </w:numPr>
        <w:spacing w:after="200" w:line="276" w:lineRule="auto"/>
        <w:rPr>
          <w:rFonts w:ascii="Verdana" w:hAnsi="Verdana"/>
          <w:sz w:val="20"/>
          <w:szCs w:val="20"/>
          <w:lang w:val="cs-CZ"/>
        </w:rPr>
      </w:pPr>
      <w:r>
        <w:rPr>
          <w:rFonts w:ascii="Verdana" w:hAnsi="Verdana"/>
          <w:sz w:val="20"/>
          <w:szCs w:val="20"/>
          <w:lang w:val="cs-CZ"/>
        </w:rPr>
        <w:t>ukončení či nedostupnost úvěrů, případně změny v úvěrových podmínkách,</w:t>
      </w:r>
    </w:p>
    <w:p w:rsidR="005C3F63" w:rsidRDefault="006536E7">
      <w:pPr>
        <w:pStyle w:val="afd"/>
        <w:numPr>
          <w:ilvl w:val="0"/>
          <w:numId w:val="8"/>
        </w:numPr>
        <w:spacing w:after="200" w:line="276" w:lineRule="auto"/>
        <w:rPr>
          <w:rFonts w:ascii="Verdana" w:hAnsi="Verdana"/>
          <w:sz w:val="20"/>
          <w:szCs w:val="20"/>
          <w:lang w:val="cs-CZ"/>
        </w:rPr>
      </w:pPr>
      <w:r>
        <w:rPr>
          <w:rFonts w:ascii="Verdana" w:hAnsi="Verdana"/>
          <w:sz w:val="20"/>
          <w:szCs w:val="20"/>
          <w:lang w:val="cs-CZ"/>
        </w:rPr>
        <w:t>porušení smluvních povinností, nemožnost plnění smluvních podmínek či ukončení obchodních smluv apod.</w:t>
      </w:r>
    </w:p>
    <w:p w:rsidR="005C3F63" w:rsidRDefault="005C3F63">
      <w:pPr>
        <w:pStyle w:val="afd"/>
        <w:spacing w:after="200" w:line="276" w:lineRule="auto"/>
        <w:rPr>
          <w:rFonts w:ascii="Verdana" w:hAnsi="Verdana"/>
          <w:sz w:val="20"/>
          <w:szCs w:val="20"/>
          <w:lang w:val="cs-CZ"/>
        </w:rPr>
      </w:pPr>
    </w:p>
    <w:p w:rsidR="005C3F63" w:rsidRDefault="006536E7">
      <w:pPr>
        <w:rPr>
          <w:rFonts w:ascii="Verdana" w:hAnsi="Verdana"/>
          <w:sz w:val="20"/>
          <w:szCs w:val="20"/>
          <w:lang w:val="cs-CZ"/>
        </w:rPr>
      </w:pPr>
      <w:r>
        <w:rPr>
          <w:rFonts w:ascii="Verdana" w:hAnsi="Verdana"/>
          <w:sz w:val="20"/>
          <w:szCs w:val="20"/>
          <w:lang w:val="cs-CZ"/>
        </w:rPr>
        <w:t>Výše uvedené skutečnosti mohou mít významné dopady, které by za určitých podmínek (viz níže) měly být zohledněny v účetní závěrce, jako například:</w:t>
      </w:r>
    </w:p>
    <w:p w:rsidR="005C3F63" w:rsidRDefault="006536E7">
      <w:pPr>
        <w:pStyle w:val="afd"/>
        <w:numPr>
          <w:ilvl w:val="0"/>
          <w:numId w:val="9"/>
        </w:numPr>
        <w:spacing w:after="200" w:line="276" w:lineRule="auto"/>
        <w:rPr>
          <w:rFonts w:ascii="Verdana" w:hAnsi="Verdana"/>
          <w:sz w:val="20"/>
          <w:szCs w:val="20"/>
          <w:lang w:val="cs-CZ"/>
        </w:rPr>
      </w:pPr>
      <w:r>
        <w:rPr>
          <w:rFonts w:ascii="Verdana" w:hAnsi="Verdana"/>
          <w:sz w:val="20"/>
          <w:szCs w:val="20"/>
          <w:lang w:val="cs-CZ"/>
        </w:rPr>
        <w:t>vhodnost použití stávajících metod účtování a oceňování,</w:t>
      </w:r>
    </w:p>
    <w:p w:rsidR="005C3F63" w:rsidRDefault="006536E7">
      <w:pPr>
        <w:pStyle w:val="afd"/>
        <w:numPr>
          <w:ilvl w:val="0"/>
          <w:numId w:val="9"/>
        </w:numPr>
        <w:spacing w:after="200" w:line="276" w:lineRule="auto"/>
        <w:rPr>
          <w:rFonts w:ascii="Verdana" w:hAnsi="Verdana"/>
          <w:sz w:val="20"/>
          <w:szCs w:val="20"/>
          <w:lang w:val="cs-CZ"/>
        </w:rPr>
      </w:pPr>
      <w:r>
        <w:rPr>
          <w:rFonts w:ascii="Verdana" w:hAnsi="Verdana"/>
          <w:sz w:val="20"/>
          <w:szCs w:val="20"/>
          <w:lang w:val="cs-CZ"/>
        </w:rPr>
        <w:t>znehodnocení hmotných aktiv či otázky ohledně jejich ekonomické životnosti či jejich případného prodeje,</w:t>
      </w:r>
    </w:p>
    <w:p w:rsidR="005C3F63" w:rsidRDefault="006536E7">
      <w:pPr>
        <w:pStyle w:val="afd"/>
        <w:numPr>
          <w:ilvl w:val="0"/>
          <w:numId w:val="9"/>
        </w:numPr>
        <w:spacing w:after="200" w:line="276" w:lineRule="auto"/>
        <w:rPr>
          <w:rFonts w:ascii="Verdana" w:hAnsi="Verdana"/>
          <w:sz w:val="20"/>
          <w:szCs w:val="20"/>
          <w:lang w:val="cs-CZ"/>
        </w:rPr>
      </w:pPr>
      <w:r>
        <w:rPr>
          <w:rFonts w:ascii="Verdana" w:hAnsi="Verdana"/>
          <w:sz w:val="20"/>
          <w:szCs w:val="20"/>
          <w:lang w:val="cs-CZ"/>
        </w:rPr>
        <w:t>ocenění goodwillu či dalších nehmotných aktiv,</w:t>
      </w:r>
    </w:p>
    <w:p w:rsidR="005C3F63" w:rsidRDefault="006536E7">
      <w:pPr>
        <w:pStyle w:val="afd"/>
        <w:numPr>
          <w:ilvl w:val="0"/>
          <w:numId w:val="9"/>
        </w:numPr>
        <w:spacing w:after="200" w:line="276" w:lineRule="auto"/>
        <w:rPr>
          <w:rFonts w:ascii="Verdana" w:hAnsi="Verdana"/>
          <w:sz w:val="20"/>
          <w:szCs w:val="20"/>
          <w:lang w:val="cs-CZ"/>
        </w:rPr>
      </w:pPr>
      <w:r>
        <w:rPr>
          <w:rFonts w:ascii="Verdana" w:hAnsi="Verdana"/>
          <w:sz w:val="20"/>
          <w:szCs w:val="20"/>
          <w:lang w:val="cs-CZ"/>
        </w:rPr>
        <w:t>prodejnost a související ocenění zásob,</w:t>
      </w:r>
    </w:p>
    <w:p w:rsidR="005C3F63" w:rsidRDefault="006536E7">
      <w:pPr>
        <w:pStyle w:val="afd"/>
        <w:numPr>
          <w:ilvl w:val="0"/>
          <w:numId w:val="9"/>
        </w:numPr>
        <w:spacing w:after="200" w:line="276" w:lineRule="auto"/>
        <w:rPr>
          <w:rFonts w:ascii="Verdana" w:hAnsi="Verdana"/>
          <w:sz w:val="20"/>
          <w:szCs w:val="20"/>
          <w:lang w:val="cs-CZ"/>
        </w:rPr>
      </w:pPr>
      <w:r>
        <w:rPr>
          <w:rFonts w:ascii="Verdana" w:hAnsi="Verdana"/>
          <w:sz w:val="20"/>
          <w:szCs w:val="20"/>
          <w:lang w:val="cs-CZ"/>
        </w:rPr>
        <w:t>návratnost a související ocenění pohledávek,</w:t>
      </w:r>
    </w:p>
    <w:p w:rsidR="005C3F63" w:rsidRDefault="006536E7">
      <w:pPr>
        <w:pStyle w:val="afd"/>
        <w:numPr>
          <w:ilvl w:val="0"/>
          <w:numId w:val="9"/>
        </w:numPr>
        <w:spacing w:after="200" w:line="276" w:lineRule="auto"/>
        <w:rPr>
          <w:rFonts w:ascii="Verdana" w:hAnsi="Verdana"/>
          <w:sz w:val="20"/>
          <w:szCs w:val="20"/>
          <w:lang w:val="cs-CZ"/>
        </w:rPr>
      </w:pPr>
      <w:r>
        <w:rPr>
          <w:rFonts w:ascii="Verdana" w:hAnsi="Verdana"/>
          <w:sz w:val="20"/>
          <w:szCs w:val="20"/>
          <w:lang w:val="cs-CZ"/>
        </w:rPr>
        <w:t>smluvní pokuty v důsledku neplnění smluvních podmínek,</w:t>
      </w:r>
    </w:p>
    <w:p w:rsidR="005C3F63" w:rsidRDefault="006536E7">
      <w:pPr>
        <w:pStyle w:val="afd"/>
        <w:numPr>
          <w:ilvl w:val="0"/>
          <w:numId w:val="9"/>
        </w:numPr>
        <w:spacing w:after="200" w:line="276" w:lineRule="auto"/>
        <w:rPr>
          <w:rFonts w:ascii="Verdana" w:hAnsi="Verdana"/>
          <w:sz w:val="20"/>
          <w:szCs w:val="20"/>
          <w:lang w:val="cs-CZ"/>
        </w:rPr>
      </w:pPr>
      <w:r>
        <w:rPr>
          <w:rFonts w:ascii="Verdana" w:hAnsi="Verdana"/>
          <w:sz w:val="20"/>
          <w:szCs w:val="20"/>
          <w:lang w:val="cs-CZ"/>
        </w:rPr>
        <w:t>možné ohrožení principu nepřetržitého trvání.“</w:t>
      </w:r>
    </w:p>
    <w:p w:rsidR="005C3F63" w:rsidRDefault="005C3F63">
      <w:pPr>
        <w:pStyle w:val="afd"/>
        <w:spacing w:after="200" w:line="276" w:lineRule="auto"/>
        <w:rPr>
          <w:rFonts w:ascii="Verdana" w:hAnsi="Verdana"/>
          <w:sz w:val="20"/>
          <w:szCs w:val="20"/>
          <w:lang w:val="cs-CZ"/>
        </w:rPr>
      </w:pPr>
    </w:p>
    <w:p w:rsidR="005C3F63" w:rsidRDefault="006536E7">
      <w:pPr>
        <w:rPr>
          <w:rFonts w:ascii="Verdana" w:hAnsi="Verdana"/>
          <w:sz w:val="20"/>
          <w:szCs w:val="20"/>
          <w:lang w:val="cs-CZ"/>
        </w:rPr>
      </w:pPr>
      <w:r>
        <w:rPr>
          <w:rFonts w:ascii="Verdana" w:hAnsi="Verdana"/>
          <w:sz w:val="20"/>
          <w:szCs w:val="20"/>
          <w:lang w:val="cs-CZ"/>
        </w:rPr>
        <w:t xml:space="preserve">Pro účetní závěrky společností, které výkazy sestavily k 31.12.2019, by dopady výše uvedených vlivů měly být podle tohoto doporučení (podle mého názoru i v souladu s logikou) považovány za neupravující položky, tzn. že by neměly být přehodnocovány již vytvořené opravné položky, rezervy apod. To ale neznamená, že by tento vliv neměl být vyhodnocován a posuzován jako mezitímní událost. Možný dopad, ke kterému došlo až po datu, ke kterému byla účetní závěrka sestavena by měla být primárně vztažena k principu „schopnosti účetní jednotky trvat“, pokud by byla významně tato zásada ohrožena a její odhad byl hodnocen jako spolehlivý, měla by to účetní jednotka zohlednit v účetních výkazech a s následným komentářem v příloze k účetní závěrce a výroční zprávě. </w:t>
      </w:r>
    </w:p>
    <w:p w:rsidR="005C3F63" w:rsidRDefault="006536E7">
      <w:pPr>
        <w:rPr>
          <w:rFonts w:ascii="Verdana" w:hAnsi="Verdana"/>
          <w:sz w:val="20"/>
          <w:szCs w:val="20"/>
          <w:lang w:val="cs-CZ"/>
        </w:rPr>
      </w:pPr>
      <w:r>
        <w:rPr>
          <w:rFonts w:ascii="Verdana" w:hAnsi="Verdana"/>
          <w:sz w:val="20"/>
          <w:szCs w:val="20"/>
          <w:lang w:val="cs-CZ"/>
        </w:rPr>
        <w:t xml:space="preserve">Pokud účetní jednotka vyhodnotí, že je i nadále při sestavení účetní závěrky vhodná aplikace principu neomezeného trvání, ale že mohou existovat významná rizika, která není schopna účetní jednotka spolehlivě identifikovat, ale domnívá se, že by rizika mohla být značná, uvede tuto skutečnost v příloze k účetní závěrce (to s popisem jakým způsobem provedla vyhodnocení) a ve výroční zprávě. </w:t>
      </w:r>
    </w:p>
    <w:p w:rsidR="005C3F63" w:rsidRDefault="006536E7">
      <w:pPr>
        <w:rPr>
          <w:rFonts w:ascii="Verdana" w:hAnsi="Verdana"/>
          <w:sz w:val="20"/>
          <w:szCs w:val="20"/>
          <w:lang w:val="cs-CZ"/>
        </w:rPr>
      </w:pPr>
      <w:r>
        <w:rPr>
          <w:rFonts w:ascii="Verdana" w:hAnsi="Verdana"/>
          <w:sz w:val="20"/>
          <w:szCs w:val="20"/>
          <w:lang w:val="cs-CZ"/>
        </w:rPr>
        <w:t>Pokud není zpochybněna zásada nepřetržitého trvání a nebyla identifikována významná rizika opět uvede v příloze k účetní závěrce s popisem vyhodnocení rizik.</w:t>
      </w:r>
    </w:p>
    <w:p w:rsidR="005C3F63" w:rsidRDefault="005C3F63">
      <w:pPr>
        <w:rPr>
          <w:rFonts w:ascii="Verdana" w:hAnsi="Verdana"/>
          <w:sz w:val="20"/>
          <w:szCs w:val="20"/>
          <w:lang w:val="cs-CZ"/>
        </w:rPr>
      </w:pPr>
    </w:p>
    <w:p w:rsidR="005C3F63" w:rsidRDefault="006536E7">
      <w:pPr>
        <w:rPr>
          <w:rFonts w:ascii="Verdana" w:hAnsi="Verdana"/>
          <w:sz w:val="20"/>
          <w:szCs w:val="20"/>
          <w:lang w:val="cs-CZ"/>
        </w:rPr>
      </w:pPr>
      <w:r>
        <w:rPr>
          <w:rFonts w:ascii="Verdana" w:hAnsi="Verdana"/>
          <w:sz w:val="20"/>
          <w:szCs w:val="20"/>
          <w:lang w:val="cs-CZ"/>
        </w:rPr>
        <w:t>Auditor je povinen v souladu s ISA 570 – Nepřetržité trvání podniku a ISA 560 – Následné události prověřit výše uvedená vyhodnocení a pokud to považuje za nutné ve smyslu ISA 706 – Zdůraznění významné skutečnosti informovat uživatele o (ne)existenci výše uvedených rizik.</w:t>
      </w:r>
    </w:p>
    <w:p w:rsidR="005C3F63" w:rsidRDefault="006536E7">
      <w:pPr>
        <w:pStyle w:val="Kapitola"/>
        <w:rPr>
          <w:szCs w:val="22"/>
          <w:lang w:val="cs-CZ"/>
        </w:rPr>
      </w:pPr>
      <w:r>
        <w:rPr>
          <w:szCs w:val="22"/>
          <w:lang w:val="cs-CZ"/>
        </w:rPr>
        <w:t>3 Praktická aplikace – autorem provedené audity</w:t>
      </w:r>
    </w:p>
    <w:p w:rsidR="005C3F63" w:rsidRDefault="006536E7">
      <w:pPr>
        <w:spacing w:after="120"/>
        <w:rPr>
          <w:rFonts w:ascii="Verdana" w:hAnsi="Verdana"/>
          <w:sz w:val="20"/>
          <w:szCs w:val="20"/>
          <w:lang w:val="cs-CZ"/>
        </w:rPr>
      </w:pPr>
      <w:r>
        <w:rPr>
          <w:rFonts w:ascii="Verdana" w:hAnsi="Verdana"/>
          <w:sz w:val="20"/>
          <w:szCs w:val="20"/>
          <w:lang w:val="cs-CZ"/>
        </w:rPr>
        <w:t xml:space="preserve">Ve sledovaném období jsem provedl audit u jedné neparlamentní politické strany, pěti obecně prospěšných společností a dvou podnikatelských subjektů (s.r.o.). Všechny tyto účetní jednotky sestavovaly účetní závěrku k 31.12.2019. Specifická byla situace u politické strany, která měla v podstatě dva zdroje financování – dary a členské příspěvky. Jelikož strana má relativně stabilní členskou základnu a dobrou platební morálku členů a stálý okruh dárců, nebyla prakticky virem ohrožena její ekonomická situace. Obecně prospěšné společnosti vyhodnotily svá rizika a informovaly auditora, že je vyhodnotily jako neexistující. Možná ohrožení u nich připadala v úvahu, pokud by jim nebyly přiznány dotace a granty z prostředků krajských úřadů a ministerstev, což se nestalo a všem byly </w:t>
      </w:r>
      <w:r>
        <w:rPr>
          <w:rFonts w:ascii="Verdana" w:hAnsi="Verdana"/>
          <w:sz w:val="20"/>
          <w:szCs w:val="20"/>
          <w:lang w:val="cs-CZ"/>
        </w:rPr>
        <w:lastRenderedPageBreak/>
        <w:t>přiznány (a již čerpány) dotace na rok 2020. Informace uvedly v příloze a auditor o tom informoval ve Zprávě auditora v odstavci Zdůraznění významné události. Oba podnikatelské subjekty porovnaly obraty a stav pohledávek za první pololetí roků 2019 a 2020 s rozdílným dopadem. Jedna společnost vyhodnotila rizika jako nulová, informovala o tom v příloze a auditor opět uvedl ve své zprávě. Druhá společnost zaměřená na turistiku a prodej letenek s čínskými vlastníky už vyhodnotila rizika jako existující a byla nucena přijmout určitá úsporná opatření, která se projeví v účetnictví roku 2020. Auditor obdržel podrobnou analýzu včetně plánu opatření v roce 2020, o hlavních závěrech informovala účetní jednotka v příloze a auditor ve své zprávě.</w:t>
      </w:r>
    </w:p>
    <w:p w:rsidR="005C3F63" w:rsidRDefault="006536E7">
      <w:pPr>
        <w:pStyle w:val="Kapitola"/>
        <w:rPr>
          <w:lang w:val="cs-CZ"/>
        </w:rPr>
      </w:pPr>
      <w:r>
        <w:rPr>
          <w:lang w:val="cs-CZ"/>
        </w:rPr>
        <w:t>4 Závěr / Conclusions</w:t>
      </w:r>
    </w:p>
    <w:p w:rsidR="005C3F63" w:rsidRDefault="006536E7">
      <w:pPr>
        <w:spacing w:after="120"/>
        <w:rPr>
          <w:rFonts w:ascii="Verdana" w:hAnsi="Verdana"/>
          <w:sz w:val="20"/>
          <w:szCs w:val="20"/>
          <w:lang w:val="cs-CZ"/>
        </w:rPr>
      </w:pPr>
      <w:r>
        <w:rPr>
          <w:rFonts w:ascii="Verdana" w:hAnsi="Verdana"/>
          <w:sz w:val="20"/>
          <w:szCs w:val="20"/>
          <w:lang w:val="cs-CZ"/>
        </w:rPr>
        <w:t xml:space="preserve">Vývoj pandemie v současné době ukazuje, že se bude jednat o dlouhodobější záležitost, na kterou bude s určitým časovým zpožděním reagovat ekonomika svými negativními dopady a riziky. Tato rizika bude stále složitější dopředu rozpoznávat a kvantifikovat a odpovídajícím způsobem reagovat jak pro účetní jednotky, tak i auditory.  Bude klást značné nároky na odbornost a pracovní schopnosti příslušných pracovníků. Stále více bude na významu nabývat zásada opatrnosti, v oblasti auditu pak i zásada profesního skepticismu. KAČR průběžně situaci monitoruje a novelizuje jak Doporučení, tak i vydává nové materiály. Účetní jednotky by měly o to pečlivěji se zabývat vyhodnocením zásady going concern (schopnost účetní jednotky trvat), a to nejen po dobu 12 následujících měsíců, ale i v delším časovém horizontu. Také uživatelé by měli mít výše uvedené skutečnosti na paměti a brát na zřetel to, že nutně nemusely být odhadnuty všechny možné propady a nepříznivé vlivy i přes veškerou snahu jak účetních jednotek, tak auditorů. Vývoj pandemie a s odstupem reagující dopady na ekonomiku jsou objektivně těžko predikovatelné a to jak z hlediska makroekonomického, tak i dopadů na mikroúrovni podniků a ostatních ekonomických subjektů, které jsou úzce svázány s oblastí makroekonomickou, natož potom vliv globální ekonomiky a přenos ekonomických potíží ze země do země. </w:t>
      </w:r>
    </w:p>
    <w:p w:rsidR="005C3F63" w:rsidRDefault="006536E7">
      <w:pPr>
        <w:pStyle w:val="Kapitola"/>
        <w:rPr>
          <w:lang w:val="cs-CZ"/>
        </w:rPr>
      </w:pPr>
      <w:r>
        <w:rPr>
          <w:lang w:val="cs-CZ"/>
        </w:rPr>
        <w:t xml:space="preserve">Příslušnost k grantové úloze  </w:t>
      </w:r>
    </w:p>
    <w:p w:rsidR="005C3F63" w:rsidRDefault="006536E7">
      <w:pPr>
        <w:spacing w:after="120"/>
        <w:rPr>
          <w:rFonts w:ascii="Verdana" w:hAnsi="Verdana"/>
          <w:sz w:val="20"/>
          <w:szCs w:val="20"/>
          <w:lang w:val="cs-CZ"/>
        </w:rPr>
      </w:pPr>
      <w:r>
        <w:rPr>
          <w:rFonts w:ascii="Verdana" w:hAnsi="Verdana"/>
          <w:sz w:val="20"/>
          <w:szCs w:val="20"/>
          <w:lang w:val="cs-CZ"/>
        </w:rPr>
        <w:t xml:space="preserve">Tento článek vznikl jako jeden z výstupů projektu Institucionální podpory na Fakultě financí a účetnictví VŠE v Praze. </w:t>
      </w:r>
    </w:p>
    <w:p w:rsidR="005C3F63" w:rsidRDefault="006536E7">
      <w:pPr>
        <w:pStyle w:val="Kapitola"/>
        <w:rPr>
          <w:lang w:val="cs-CZ"/>
        </w:rPr>
      </w:pPr>
      <w:r>
        <w:rPr>
          <w:lang w:val="cs-CZ"/>
        </w:rPr>
        <w:t>Literární zdroje a jiné odkazy / References</w:t>
      </w:r>
    </w:p>
    <w:p w:rsidR="005C3F63" w:rsidRDefault="006536E7">
      <w:pPr>
        <w:rPr>
          <w:rFonts w:ascii="Verdana" w:hAnsi="Verdana"/>
          <w:sz w:val="20"/>
          <w:szCs w:val="20"/>
          <w:lang w:val="cs-CZ"/>
        </w:rPr>
      </w:pPr>
      <w:r>
        <w:rPr>
          <w:rFonts w:ascii="Verdana" w:hAnsi="Verdana"/>
          <w:sz w:val="20"/>
          <w:szCs w:val="20"/>
          <w:lang w:val="cs-CZ"/>
        </w:rPr>
        <w:t xml:space="preserve">KAČR (2020). Praha </w:t>
      </w:r>
      <w:r>
        <w:rPr>
          <w:rFonts w:ascii="Verdana" w:hAnsi="Verdana"/>
          <w:i/>
          <w:sz w:val="20"/>
          <w:szCs w:val="20"/>
          <w:lang w:val="cs-CZ"/>
        </w:rPr>
        <w:t xml:space="preserve">Doporučení Komory auditorů České republiky pro auditory při vydávání zpráv auditora k účetním závěrkám za účetní období končící 31.12.2019 a později v souvislosti s COVID – 19 v ČR. </w:t>
      </w:r>
      <w:r>
        <w:rPr>
          <w:rFonts w:ascii="Verdana" w:hAnsi="Verdana"/>
          <w:sz w:val="20"/>
          <w:szCs w:val="20"/>
          <w:lang w:val="cs-CZ"/>
        </w:rPr>
        <w:t xml:space="preserve">Retrieved from: </w:t>
      </w:r>
      <w:hyperlink r:id="rId35" w:history="1">
        <w:r>
          <w:rPr>
            <w:rStyle w:val="af9"/>
          </w:rPr>
          <w:t>https://www.kacr.cz/covid-191</w:t>
        </w:r>
      </w:hyperlink>
      <w:r>
        <w:t>/</w:t>
      </w:r>
      <w:r>
        <w:rPr>
          <w:rFonts w:ascii="Verdana" w:hAnsi="Verdana"/>
          <w:sz w:val="20"/>
          <w:szCs w:val="20"/>
          <w:lang w:val="cs-CZ"/>
        </w:rPr>
        <w:t xml:space="preserve"> doporuceni-ka-cr-pro-auditory-v-souvislosti-s-covid19-15042020</w:t>
      </w:r>
    </w:p>
    <w:p w:rsidR="005C3F63" w:rsidRDefault="005C3F63">
      <w:pPr>
        <w:pStyle w:val="aff"/>
        <w:rPr>
          <w:rFonts w:ascii="Verdana" w:hAnsi="Verdana"/>
          <w:lang w:val="sk-SK"/>
        </w:rPr>
      </w:pPr>
    </w:p>
    <w:p w:rsidR="005C3F63" w:rsidRDefault="005C3F63">
      <w:pPr>
        <w:pStyle w:val="aff"/>
      </w:pPr>
    </w:p>
    <w:p w:rsidR="005C3F63" w:rsidRDefault="006536E7">
      <w:pPr>
        <w:pStyle w:val="1"/>
        <w:spacing w:before="0" w:after="240"/>
        <w:rPr>
          <w:szCs w:val="24"/>
        </w:rPr>
      </w:pPr>
      <w:r>
        <w:rPr>
          <w:szCs w:val="24"/>
        </w:rPr>
        <w:t xml:space="preserve"> </w:t>
      </w:r>
      <w:bookmarkStart w:id="96" w:name="_Toc47951500"/>
    </w:p>
    <w:p w:rsidR="005C3F63" w:rsidRDefault="006536E7">
      <w:pPr>
        <w:rPr>
          <w:szCs w:val="24"/>
        </w:rPr>
      </w:pPr>
      <w:r>
        <w:rPr>
          <w:szCs w:val="24"/>
        </w:rPr>
        <w:br w:type="page"/>
      </w:r>
    </w:p>
    <w:p w:rsidR="005C3F63" w:rsidRDefault="006536E7">
      <w:pPr>
        <w:pStyle w:val="1"/>
        <w:spacing w:before="0" w:after="240"/>
        <w:rPr>
          <w:lang w:val="sk-SK"/>
        </w:rPr>
      </w:pPr>
      <w:r>
        <w:rPr>
          <w:szCs w:val="24"/>
        </w:rPr>
        <w:lastRenderedPageBreak/>
        <w:t>Statutory Audit in Slovakia – Phenomenon of Current Legislative</w:t>
      </w:r>
      <w:r>
        <w:rPr>
          <w:szCs w:val="24"/>
          <w:lang w:val="sk-SK"/>
        </w:rPr>
        <w:t xml:space="preserve"> </w:t>
      </w:r>
      <w:r>
        <w:rPr>
          <w:szCs w:val="24"/>
        </w:rPr>
        <w:t>C</w:t>
      </w:r>
      <w:r>
        <w:rPr>
          <w:szCs w:val="24"/>
          <w:lang w:val="sk-SK"/>
        </w:rPr>
        <w:t>hanges</w:t>
      </w:r>
      <w:bookmarkEnd w:id="96"/>
    </w:p>
    <w:p w:rsidR="005C3F63" w:rsidRDefault="006536E7">
      <w:pPr>
        <w:pStyle w:val="Autor"/>
      </w:pPr>
      <w:bookmarkStart w:id="97" w:name="_Toc47443652"/>
      <w:bookmarkStart w:id="98" w:name="_Toc47444427"/>
      <w:bookmarkStart w:id="99" w:name="_Toc47444586"/>
      <w:bookmarkStart w:id="100" w:name="_Toc47446348"/>
      <w:bookmarkStart w:id="101" w:name="_Toc47447134"/>
      <w:bookmarkStart w:id="102" w:name="_Toc47441181"/>
      <w:bookmarkStart w:id="103" w:name="_Toc47440854"/>
      <w:bookmarkStart w:id="104" w:name="_Toc47448295"/>
      <w:bookmarkStart w:id="105" w:name="_Toc47448173"/>
      <w:bookmarkStart w:id="106" w:name="_Toc47440074"/>
      <w:bookmarkStart w:id="107" w:name="_Toc47443551"/>
      <w:bookmarkStart w:id="108" w:name="_Toc47442656"/>
      <w:bookmarkStart w:id="109" w:name="_Toc47446688"/>
      <w:bookmarkStart w:id="110" w:name="_Toc47441477"/>
      <w:bookmarkStart w:id="111" w:name="_Toc47445933"/>
      <w:bookmarkStart w:id="112" w:name="_Toc47444269"/>
      <w:bookmarkStart w:id="113" w:name="_Toc47448090"/>
      <w:bookmarkStart w:id="114" w:name="_Toc47447900"/>
      <w:bookmarkStart w:id="115" w:name="_Toc47447954"/>
      <w:bookmarkStart w:id="116" w:name="_Toc47448036"/>
      <w:bookmarkStart w:id="117" w:name="_Toc47438947"/>
      <w:bookmarkStart w:id="118" w:name="_Toc47444116"/>
      <w:bookmarkStart w:id="119" w:name="_Toc47439756"/>
      <w:bookmarkStart w:id="120" w:name="_Toc47441597"/>
      <w:bookmarkStart w:id="121" w:name="_Toc47441663"/>
      <w:bookmarkStart w:id="122" w:name="_Toc47443418"/>
      <w:bookmarkStart w:id="123" w:name="_Toc47445715"/>
      <w:bookmarkStart w:id="124" w:name="_Toc47446087"/>
      <w:bookmarkStart w:id="125" w:name="_Toc47451130"/>
      <w:bookmarkStart w:id="126" w:name="_Toc47433525"/>
      <w:bookmarkStart w:id="127" w:name="_Toc47949280"/>
      <w:bookmarkStart w:id="128" w:name="_Toc47435419"/>
      <w:bookmarkStart w:id="129" w:name="_Toc47448533"/>
      <w:bookmarkStart w:id="130" w:name="_Toc47948770"/>
      <w:bookmarkStart w:id="131" w:name="_Toc47449289"/>
      <w:bookmarkStart w:id="132" w:name="_Toc47448814"/>
      <w:bookmarkStart w:id="133" w:name="_Toc47448588"/>
      <w:bookmarkStart w:id="134" w:name="_Toc47951343"/>
      <w:bookmarkStart w:id="135" w:name="_Toc47951435"/>
      <w:bookmarkStart w:id="136" w:name="_Toc47948966"/>
      <w:bookmarkStart w:id="137" w:name="_Toc47948709"/>
      <w:bookmarkStart w:id="138" w:name="_Toc47951501"/>
      <w:r>
        <w:rPr>
          <w:rStyle w:val="AutorChar"/>
          <w:b/>
        </w:rPr>
        <w:t>Denisa Domaracká</w:t>
      </w:r>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p>
    <w:p w:rsidR="005C3F63" w:rsidRDefault="006536E7">
      <w:pPr>
        <w:jc w:val="center"/>
        <w:rPr>
          <w:rFonts w:ascii="Verdana" w:hAnsi="Verdana"/>
          <w:sz w:val="18"/>
          <w:szCs w:val="18"/>
          <w:lang w:val="sk-SK"/>
        </w:rPr>
      </w:pPr>
      <w:r>
        <w:rPr>
          <w:rFonts w:ascii="Verdana" w:hAnsi="Verdana"/>
          <w:sz w:val="18"/>
          <w:szCs w:val="18"/>
          <w:lang w:val="sk-SK"/>
        </w:rPr>
        <w:t>University of Economics in Bratislava</w:t>
      </w:r>
    </w:p>
    <w:p w:rsidR="005C3F63" w:rsidRDefault="006536E7">
      <w:pPr>
        <w:jc w:val="center"/>
        <w:rPr>
          <w:rFonts w:ascii="Verdana" w:hAnsi="Verdana"/>
          <w:sz w:val="18"/>
          <w:szCs w:val="18"/>
          <w:lang w:val="sk-SK"/>
        </w:rPr>
      </w:pPr>
      <w:r>
        <w:rPr>
          <w:rFonts w:ascii="Verdana" w:hAnsi="Verdana"/>
          <w:sz w:val="18"/>
          <w:szCs w:val="18"/>
          <w:lang w:val="sk-SK"/>
        </w:rPr>
        <w:t>Faculty of Economic Informatics, Department of Accounting and Auditing</w:t>
      </w:r>
    </w:p>
    <w:p w:rsidR="005C3F63" w:rsidRDefault="006536E7">
      <w:pPr>
        <w:jc w:val="center"/>
        <w:rPr>
          <w:rFonts w:ascii="Verdana" w:hAnsi="Verdana"/>
          <w:sz w:val="18"/>
          <w:szCs w:val="18"/>
          <w:lang w:val="sk-SK"/>
        </w:rPr>
      </w:pPr>
      <w:r>
        <w:rPr>
          <w:rFonts w:ascii="Verdana" w:hAnsi="Verdana"/>
          <w:sz w:val="18"/>
          <w:szCs w:val="18"/>
          <w:lang w:val="sk-SK"/>
        </w:rPr>
        <w:t>Dolnozemská cesta 1, 852 35 Bratislava, Slovakia</w:t>
      </w:r>
    </w:p>
    <w:p w:rsidR="005C3F63" w:rsidRDefault="006536E7">
      <w:pPr>
        <w:jc w:val="center"/>
        <w:rPr>
          <w:rFonts w:ascii="Verdana" w:hAnsi="Verdana"/>
          <w:sz w:val="18"/>
          <w:szCs w:val="18"/>
          <w:lang w:val="sk-SK"/>
        </w:rPr>
      </w:pPr>
      <w:r>
        <w:rPr>
          <w:rFonts w:ascii="Verdana" w:hAnsi="Verdana"/>
          <w:sz w:val="18"/>
          <w:szCs w:val="18"/>
          <w:lang w:val="sk-SK"/>
        </w:rPr>
        <w:t xml:space="preserve">E-mail: </w:t>
      </w:r>
      <w:hyperlink r:id="rId36" w:history="1">
        <w:r>
          <w:rPr>
            <w:rStyle w:val="af9"/>
            <w:rFonts w:ascii="Verdana" w:hAnsi="Verdana"/>
            <w:sz w:val="18"/>
            <w:szCs w:val="18"/>
            <w:lang w:val="sk-SK"/>
          </w:rPr>
          <w:t>denisa.domaracka@euba.sk</w:t>
        </w:r>
      </w:hyperlink>
    </w:p>
    <w:p w:rsidR="005C3F63" w:rsidRDefault="005C3F63">
      <w:pPr>
        <w:rPr>
          <w:rFonts w:ascii="Verdana" w:hAnsi="Verdana"/>
          <w:sz w:val="22"/>
          <w:lang w:val="sk-SK"/>
        </w:rPr>
      </w:pPr>
    </w:p>
    <w:p w:rsidR="005C3F63" w:rsidRDefault="006536E7">
      <w:pPr>
        <w:spacing w:after="120"/>
        <w:rPr>
          <w:rFonts w:ascii="Verdana" w:hAnsi="Verdana"/>
          <w:i/>
          <w:sz w:val="20"/>
          <w:szCs w:val="20"/>
          <w:lang w:val="sk-SK"/>
        </w:rPr>
      </w:pPr>
      <w:r>
        <w:rPr>
          <w:rFonts w:ascii="Verdana" w:hAnsi="Verdana"/>
          <w:b/>
          <w:i/>
          <w:sz w:val="20"/>
          <w:szCs w:val="20"/>
          <w:lang w:val="sk-SK"/>
        </w:rPr>
        <w:t xml:space="preserve">Abstract: </w:t>
      </w:r>
      <w:r>
        <w:rPr>
          <w:rFonts w:ascii="Verdana" w:hAnsi="Verdana"/>
          <w:i/>
          <w:sz w:val="20"/>
          <w:szCs w:val="20"/>
          <w:lang w:val="sk-SK"/>
        </w:rPr>
        <w:t>Nowadays, statutory audit in Slovakia faces the significant changes not only because of the processes of digitization and automation in accounting and auditing, but because of current legislative changes of statutory audit requirements, too. This paper examines the current increasing requirements for mandatory statutory audit resulting from Act. No 431/2002 Coll. on Accounting, as amended. The goal is to clarify the reasons and implications behind the changes of Slovak legislation as well as the impact of these changes on audit performance in Slovakia. This paper examines the current changed requirements for performing a statutory audit of financial statements in Slovak legislation.</w:t>
      </w:r>
    </w:p>
    <w:p w:rsidR="005C3F63" w:rsidRDefault="006536E7">
      <w:pPr>
        <w:spacing w:after="120"/>
        <w:rPr>
          <w:rFonts w:ascii="Verdana" w:hAnsi="Verdana"/>
          <w:i/>
          <w:sz w:val="20"/>
          <w:szCs w:val="20"/>
          <w:lang w:val="sk-SK"/>
        </w:rPr>
      </w:pPr>
      <w:r>
        <w:rPr>
          <w:rFonts w:ascii="Verdana" w:hAnsi="Verdana"/>
          <w:b/>
          <w:i/>
          <w:sz w:val="20"/>
          <w:szCs w:val="20"/>
          <w:lang w:val="sk-SK"/>
        </w:rPr>
        <w:t>Keywords:</w:t>
      </w:r>
      <w:r>
        <w:rPr>
          <w:rFonts w:ascii="Verdana" w:hAnsi="Verdana"/>
          <w:i/>
          <w:sz w:val="20"/>
          <w:szCs w:val="20"/>
          <w:lang w:val="sk-SK"/>
        </w:rPr>
        <w:t xml:space="preserve"> statutory audit, Act. No 431/2002 Coll. on Accounting, a</w:t>
      </w:r>
      <w:r>
        <w:rPr>
          <w:rFonts w:ascii="Verdana" w:hAnsi="Verdana"/>
          <w:i/>
          <w:sz w:val="20"/>
          <w:szCs w:val="20"/>
        </w:rPr>
        <w:t>udit requirements</w:t>
      </w:r>
    </w:p>
    <w:p w:rsidR="005C3F63" w:rsidRDefault="006536E7">
      <w:pPr>
        <w:pStyle w:val="04-Anotacijostekstas"/>
        <w:spacing w:before="0" w:after="120"/>
        <w:ind w:left="0" w:right="-284"/>
        <w:jc w:val="left"/>
        <w:rPr>
          <w:rFonts w:ascii="Verdana" w:hAnsi="Verdana"/>
          <w:i/>
          <w:lang w:val="sk-SK"/>
        </w:rPr>
      </w:pPr>
      <w:r>
        <w:rPr>
          <w:rFonts w:ascii="Verdana" w:hAnsi="Verdana"/>
          <w:i/>
          <w:lang w:val="sk-SK"/>
        </w:rPr>
        <w:t>JEL codes: M42</w:t>
      </w:r>
    </w:p>
    <w:p w:rsidR="005C3F63" w:rsidRDefault="006536E7">
      <w:pPr>
        <w:pStyle w:val="1"/>
        <w:jc w:val="left"/>
        <w:rPr>
          <w:sz w:val="22"/>
          <w:szCs w:val="22"/>
          <w:lang w:val="sk-SK"/>
        </w:rPr>
      </w:pPr>
      <w:r>
        <w:rPr>
          <w:rStyle w:val="KapitolaChar"/>
          <w:b/>
          <w:lang w:val="sk-SK"/>
        </w:rPr>
        <w:t>1 Úvod / Introduction</w:t>
      </w:r>
    </w:p>
    <w:p w:rsidR="005C3F63" w:rsidRDefault="006536E7">
      <w:pPr>
        <w:spacing w:after="120"/>
        <w:rPr>
          <w:rFonts w:ascii="Verdana" w:hAnsi="Verdana"/>
          <w:sz w:val="20"/>
          <w:szCs w:val="20"/>
          <w:lang w:val="sk-SK"/>
        </w:rPr>
      </w:pPr>
      <w:r>
        <w:rPr>
          <w:rFonts w:ascii="Verdana" w:hAnsi="Verdana"/>
          <w:sz w:val="20"/>
          <w:szCs w:val="20"/>
          <w:lang w:val="sk-SK"/>
        </w:rPr>
        <w:t>Cieľom auditu účtovnej závierky je umožniť audítorovi vyjadriť názor, či overovaná účtovná závierka poskytuje verný a pravdivý obraz v súlade s príslušným rámcom finančného vykazovania tých účtovných jednotiek:</w:t>
      </w:r>
    </w:p>
    <w:p w:rsidR="005C3F63" w:rsidRDefault="006536E7">
      <w:pPr>
        <w:pStyle w:val="afd"/>
        <w:numPr>
          <w:ilvl w:val="0"/>
          <w:numId w:val="10"/>
        </w:numPr>
        <w:spacing w:after="120"/>
        <w:rPr>
          <w:rFonts w:ascii="Verdana" w:hAnsi="Verdana"/>
          <w:sz w:val="20"/>
          <w:szCs w:val="20"/>
          <w:lang w:val="sk-SK"/>
        </w:rPr>
      </w:pPr>
      <w:r>
        <w:rPr>
          <w:rFonts w:ascii="Verdana" w:hAnsi="Verdana"/>
          <w:sz w:val="20"/>
          <w:szCs w:val="20"/>
          <w:lang w:val="sk-SK"/>
        </w:rPr>
        <w:t>ktoré majú povinnosť mať overenú účtovnú závierku audítorom,</w:t>
      </w:r>
    </w:p>
    <w:p w:rsidR="005C3F63" w:rsidRDefault="006536E7">
      <w:pPr>
        <w:pStyle w:val="afd"/>
        <w:numPr>
          <w:ilvl w:val="0"/>
          <w:numId w:val="10"/>
        </w:numPr>
        <w:spacing w:after="120"/>
        <w:rPr>
          <w:rFonts w:ascii="Verdana" w:hAnsi="Verdana"/>
          <w:sz w:val="20"/>
          <w:szCs w:val="20"/>
          <w:lang w:val="sk-SK"/>
        </w:rPr>
      </w:pPr>
      <w:r>
        <w:rPr>
          <w:rFonts w:ascii="Verdana" w:hAnsi="Verdana"/>
          <w:sz w:val="20"/>
          <w:szCs w:val="20"/>
          <w:lang w:val="sk-SK"/>
        </w:rPr>
        <w:t>ktoré sa pre overenie účtovnej závierky rozhodli dobrovoľne.</w:t>
      </w:r>
    </w:p>
    <w:p w:rsidR="005C3F63" w:rsidRDefault="006536E7">
      <w:pPr>
        <w:spacing w:after="120"/>
        <w:rPr>
          <w:rFonts w:ascii="Verdana" w:hAnsi="Verdana"/>
          <w:sz w:val="20"/>
          <w:szCs w:val="20"/>
          <w:lang w:val="sk-SK"/>
        </w:rPr>
      </w:pPr>
      <w:r>
        <w:rPr>
          <w:rFonts w:ascii="Verdana" w:hAnsi="Verdana"/>
          <w:sz w:val="20"/>
          <w:szCs w:val="20"/>
          <w:lang w:val="sk-SK"/>
        </w:rPr>
        <w:t>Audit účtovnej závierky je na Slovensku povinne vykonávaný v prípadoch, keď sú splnené podmienky podľa par. 19 ods. 1 zákona č. 431/2002 Z. z. o účtovníctve v znení neskorších predpisov (ďalej aj „zákon o účtovníctve“).</w:t>
      </w:r>
    </w:p>
    <w:p w:rsidR="005C3F63" w:rsidRDefault="006536E7">
      <w:pPr>
        <w:spacing w:after="120"/>
        <w:rPr>
          <w:rFonts w:ascii="Verdana" w:hAnsi="Verdana"/>
          <w:sz w:val="20"/>
          <w:szCs w:val="20"/>
          <w:lang w:val="sk-SK"/>
        </w:rPr>
      </w:pPr>
      <w:r>
        <w:rPr>
          <w:rFonts w:ascii="Verdana" w:hAnsi="Verdana"/>
          <w:sz w:val="20"/>
          <w:szCs w:val="20"/>
          <w:lang w:val="sk-SK"/>
        </w:rPr>
        <w:t xml:space="preserve">V platnom znení tohto zákona s účinnosťou od 1.1.2020 je oblasť povinnosti overenia účtovnej závierky audítorom upravená nasledovne: „riadnu a mimoriadnu individuálnu účtovnú závierku musí mať overenú audítorom účtovná jednotka: </w:t>
      </w:r>
    </w:p>
    <w:p w:rsidR="005C3F63" w:rsidRDefault="006536E7">
      <w:pPr>
        <w:pStyle w:val="afd"/>
        <w:numPr>
          <w:ilvl w:val="0"/>
          <w:numId w:val="11"/>
        </w:numPr>
        <w:spacing w:after="120"/>
        <w:rPr>
          <w:rFonts w:ascii="Verdana" w:hAnsi="Verdana"/>
          <w:sz w:val="20"/>
          <w:szCs w:val="20"/>
          <w:lang w:val="sk-SK"/>
        </w:rPr>
      </w:pPr>
      <w:r>
        <w:rPr>
          <w:rFonts w:ascii="Verdana" w:hAnsi="Verdana"/>
          <w:sz w:val="20"/>
          <w:szCs w:val="20"/>
          <w:lang w:val="sk-SK"/>
        </w:rPr>
        <w:t xml:space="preserve">ktorá je obchodnou spoločnosťou a družstvom, ak ku dňu, ku ktorému sa zostavuje účtovná závierka a za bezprostredne predchádzajúce účtovné obdobie sú splnené aspoň dve z týchto podmienok: </w:t>
      </w:r>
    </w:p>
    <w:p w:rsidR="005C3F63" w:rsidRDefault="006536E7">
      <w:pPr>
        <w:pStyle w:val="afd"/>
        <w:numPr>
          <w:ilvl w:val="0"/>
          <w:numId w:val="12"/>
        </w:numPr>
        <w:spacing w:after="120"/>
        <w:rPr>
          <w:rFonts w:ascii="Verdana" w:hAnsi="Verdana"/>
          <w:sz w:val="20"/>
          <w:szCs w:val="20"/>
          <w:lang w:val="sk-SK"/>
        </w:rPr>
      </w:pPr>
      <w:r>
        <w:rPr>
          <w:rFonts w:ascii="Verdana" w:hAnsi="Verdana"/>
          <w:sz w:val="20"/>
          <w:szCs w:val="20"/>
          <w:lang w:val="sk-SK"/>
        </w:rPr>
        <w:t>celková suma majetku presiahla 2 000 000 eur, pričom sumou majetku sa rozumie suma majetku zistená zo súvahy v ocenení neupravenom o položky podľa par. 26 ods. 3,</w:t>
      </w:r>
    </w:p>
    <w:p w:rsidR="005C3F63" w:rsidRDefault="006536E7">
      <w:pPr>
        <w:pStyle w:val="afd"/>
        <w:numPr>
          <w:ilvl w:val="0"/>
          <w:numId w:val="12"/>
        </w:numPr>
        <w:spacing w:after="120"/>
        <w:rPr>
          <w:rFonts w:ascii="Verdana" w:hAnsi="Verdana"/>
          <w:sz w:val="20"/>
          <w:szCs w:val="20"/>
          <w:lang w:val="sk-SK"/>
        </w:rPr>
      </w:pPr>
      <w:r>
        <w:rPr>
          <w:rFonts w:ascii="Verdana" w:hAnsi="Verdana"/>
          <w:sz w:val="20"/>
          <w:szCs w:val="20"/>
          <w:lang w:val="sk-SK"/>
        </w:rPr>
        <w:t xml:space="preserve">čistý obrat presiahol 4 000 000 eur, </w:t>
      </w:r>
    </w:p>
    <w:p w:rsidR="005C3F63" w:rsidRDefault="006536E7">
      <w:pPr>
        <w:pStyle w:val="afd"/>
        <w:numPr>
          <w:ilvl w:val="0"/>
          <w:numId w:val="12"/>
        </w:numPr>
        <w:spacing w:after="120"/>
        <w:rPr>
          <w:rFonts w:ascii="Verdana" w:hAnsi="Verdana"/>
          <w:sz w:val="20"/>
          <w:szCs w:val="20"/>
          <w:lang w:val="sk-SK"/>
        </w:rPr>
      </w:pPr>
      <w:r>
        <w:rPr>
          <w:rFonts w:ascii="Verdana" w:hAnsi="Verdana"/>
          <w:sz w:val="20"/>
          <w:szCs w:val="20"/>
          <w:lang w:val="sk-SK"/>
        </w:rPr>
        <w:t xml:space="preserve">priemerný prepočítaný počet zamestnancov v jednom účtovnom období presiahol 30. </w:t>
      </w:r>
    </w:p>
    <w:p w:rsidR="005C3F63" w:rsidRDefault="006536E7">
      <w:pPr>
        <w:pStyle w:val="afd"/>
        <w:numPr>
          <w:ilvl w:val="0"/>
          <w:numId w:val="11"/>
        </w:numPr>
        <w:spacing w:after="120"/>
        <w:rPr>
          <w:rFonts w:ascii="Verdana" w:hAnsi="Verdana"/>
          <w:sz w:val="20"/>
          <w:szCs w:val="20"/>
          <w:lang w:val="sk-SK"/>
        </w:rPr>
      </w:pPr>
      <w:r>
        <w:rPr>
          <w:rFonts w:ascii="Verdana" w:hAnsi="Verdana"/>
          <w:sz w:val="20"/>
          <w:szCs w:val="20"/>
          <w:lang w:val="sk-SK"/>
        </w:rPr>
        <w:t>ktorá je obchodná spoločnosť a družstvo, ktorých cenné papiere boli prijaté na obchodovanie regulovanom trhu,</w:t>
      </w:r>
    </w:p>
    <w:p w:rsidR="005C3F63" w:rsidRDefault="006536E7">
      <w:pPr>
        <w:pStyle w:val="afd"/>
        <w:numPr>
          <w:ilvl w:val="0"/>
          <w:numId w:val="11"/>
        </w:numPr>
        <w:spacing w:after="120"/>
        <w:rPr>
          <w:rFonts w:ascii="Verdana" w:hAnsi="Verdana"/>
          <w:sz w:val="20"/>
          <w:szCs w:val="20"/>
          <w:lang w:val="sk-SK"/>
        </w:rPr>
      </w:pPr>
      <w:r>
        <w:rPr>
          <w:rFonts w:ascii="Verdana" w:hAnsi="Verdana"/>
          <w:sz w:val="20"/>
          <w:szCs w:val="20"/>
          <w:lang w:val="sk-SK"/>
        </w:rPr>
        <w:t xml:space="preserve">ktorej túto povinnosť ustanovuje osobitný predpis, </w:t>
      </w:r>
    </w:p>
    <w:p w:rsidR="005C3F63" w:rsidRDefault="006536E7">
      <w:pPr>
        <w:pStyle w:val="afd"/>
        <w:numPr>
          <w:ilvl w:val="0"/>
          <w:numId w:val="11"/>
        </w:numPr>
        <w:spacing w:after="120"/>
        <w:rPr>
          <w:rFonts w:ascii="Verdana" w:hAnsi="Verdana"/>
          <w:sz w:val="20"/>
          <w:szCs w:val="20"/>
          <w:lang w:val="sk-SK"/>
        </w:rPr>
      </w:pPr>
      <w:r>
        <w:rPr>
          <w:rFonts w:ascii="Verdana" w:hAnsi="Verdana"/>
          <w:sz w:val="20"/>
          <w:szCs w:val="20"/>
          <w:lang w:val="sk-SK"/>
        </w:rPr>
        <w:t xml:space="preserve">ktorá zostavuje účtovnú závierku podľa par. 17a tohto zákona“, t. j. podľa medzinárodných štandardov finančného vykazovania (IFRS). </w:t>
      </w:r>
    </w:p>
    <w:p w:rsidR="005C3F63" w:rsidRDefault="006536E7">
      <w:pPr>
        <w:spacing w:after="120"/>
        <w:rPr>
          <w:rFonts w:ascii="Verdana" w:hAnsi="Verdana"/>
          <w:sz w:val="20"/>
          <w:szCs w:val="20"/>
          <w:lang w:val="sk-SK"/>
        </w:rPr>
      </w:pPr>
      <w:r>
        <w:rPr>
          <w:rFonts w:ascii="Verdana" w:hAnsi="Verdana"/>
          <w:sz w:val="20"/>
          <w:szCs w:val="20"/>
          <w:lang w:val="sk-SK"/>
        </w:rPr>
        <w:t xml:space="preserve">Účtovné jednotky zostavujú účtovnú závierku na Slovensku podľa slovenskej legislatívy alebo IFRS. (Kubaščíková and Pakšiová, 2015) Povinnosť overenia účtovnej závierky audítorom majú aj právnické osoby vymedzené v </w:t>
      </w:r>
      <w:hyperlink r:id="rId37" w:anchor="paragraf-50" w:tooltip="Odkaz na predpis alebo ustanovenie" w:history="1">
        <w:r>
          <w:rPr>
            <w:rFonts w:ascii="Verdana" w:hAnsi="Verdana"/>
            <w:sz w:val="20"/>
            <w:szCs w:val="20"/>
            <w:lang w:val="sk-SK"/>
          </w:rPr>
          <w:t>par. 50 zákona č. 595/2003 Z. z.</w:t>
        </w:r>
      </w:hyperlink>
      <w:r>
        <w:rPr>
          <w:rFonts w:ascii="Verdana" w:hAnsi="Verdana"/>
          <w:sz w:val="20"/>
          <w:szCs w:val="20"/>
          <w:lang w:val="sk-SK"/>
        </w:rPr>
        <w:t xml:space="preserve"> o dani z príjmov v znení neskorších predpisov, ktorých suma ročného podielu prijatej dane je vyššia ako 35 000 eur, a to za účtovné obdobie, v ktorom boli tieto finančné prostriedky </w:t>
      </w:r>
      <w:r>
        <w:rPr>
          <w:rFonts w:ascii="Verdana" w:hAnsi="Verdana"/>
          <w:sz w:val="20"/>
          <w:szCs w:val="20"/>
          <w:lang w:val="sk-SK"/>
        </w:rPr>
        <w:lastRenderedPageBreak/>
        <w:t>použité. Okrem individuálnej účtovnej závierky musí byť v zmysle par. 22 ods. 2 zákona o účtovníctve audítorom overená aj konsolidovaná účtovná závierka bez akýchkoľvek podmienok.</w:t>
      </w:r>
    </w:p>
    <w:p w:rsidR="005C3F63" w:rsidRDefault="006536E7">
      <w:pPr>
        <w:spacing w:after="120"/>
        <w:rPr>
          <w:rFonts w:ascii="Verdana" w:hAnsi="Verdana"/>
          <w:sz w:val="20"/>
          <w:szCs w:val="20"/>
          <w:lang w:val="sk-SK"/>
        </w:rPr>
      </w:pPr>
      <w:r>
        <w:rPr>
          <w:rFonts w:ascii="Verdana" w:hAnsi="Verdana"/>
          <w:sz w:val="20"/>
          <w:szCs w:val="20"/>
          <w:lang w:val="sk-SK"/>
        </w:rPr>
        <w:t>Vyššie uvedené veľkostné podmienky podľa bodu a), na základe ktorých vzniká povinnosť overenia riadnej a mimoriadnej individuálnej účtovnej závierky audítorom spolu s okruhom účtovných jednotiek, ktorým táto povinnosť vzniká, boli navrhovanými zmenami v novele zákona o účtovníctve, ktorú Národná rada Slovenskej republiky schválila dňa 15.10.2019 s dátumom účinnosti od 1.1.2020.</w:t>
      </w:r>
    </w:p>
    <w:p w:rsidR="005C3F63" w:rsidRDefault="006536E7">
      <w:pPr>
        <w:spacing w:after="120"/>
        <w:rPr>
          <w:rFonts w:ascii="Verdana" w:hAnsi="Verdana"/>
          <w:sz w:val="20"/>
          <w:szCs w:val="20"/>
          <w:lang w:val="sk-SK"/>
        </w:rPr>
      </w:pPr>
      <w:r>
        <w:rPr>
          <w:rFonts w:ascii="Verdana" w:hAnsi="Verdana"/>
          <w:sz w:val="20"/>
          <w:szCs w:val="20"/>
          <w:lang w:val="sk-SK"/>
        </w:rPr>
        <w:t xml:space="preserve">Uvedená legislatívna zmena súvisela s identifikáciou nadmernej regulácie v národných právnych predpisoch, tzv. goldplating. Mnohé členské štáty EÚ totiž pri prijímaní právnych predpisov EÚ do národných právnych predpisov uplatňujú prísnejšie a progresívnejšie opatrenia než sú minimálne požiadavky, príp. výnimky stanovené v právnych predpisoch EÚ. </w:t>
      </w:r>
    </w:p>
    <w:p w:rsidR="005C3F63" w:rsidRDefault="006536E7">
      <w:pPr>
        <w:spacing w:before="240" w:after="120"/>
        <w:jc w:val="left"/>
        <w:rPr>
          <w:rFonts w:ascii="Verdana" w:hAnsi="Verdana" w:cs="Arial"/>
          <w:bCs/>
          <w:kern w:val="32"/>
          <w:sz w:val="18"/>
          <w:szCs w:val="18"/>
          <w:lang w:val="sk-SK" w:eastAsia="cs-CZ" w:bidi="ar-SA"/>
        </w:rPr>
      </w:pPr>
      <w:r>
        <w:rPr>
          <w:rStyle w:val="KapitolaChar"/>
          <w:lang w:val="sk-SK"/>
        </w:rPr>
        <w:t>2 Metodológia a zdrojové údaje / Methodology and Data</w:t>
      </w:r>
      <w:r>
        <w:rPr>
          <w:rFonts w:ascii="Verdana" w:hAnsi="Verdana"/>
          <w:b/>
          <w:sz w:val="22"/>
          <w:lang w:val="sk-SK"/>
        </w:rPr>
        <w:t xml:space="preserve"> </w:t>
      </w:r>
    </w:p>
    <w:p w:rsidR="005C3F63" w:rsidRDefault="006536E7">
      <w:pPr>
        <w:spacing w:after="120"/>
        <w:rPr>
          <w:rFonts w:ascii="Verdana" w:hAnsi="Verdana"/>
          <w:sz w:val="20"/>
          <w:szCs w:val="20"/>
          <w:lang w:val="sk-SK"/>
        </w:rPr>
      </w:pPr>
      <w:r>
        <w:rPr>
          <w:rFonts w:ascii="Verdana" w:hAnsi="Verdana"/>
          <w:sz w:val="20"/>
          <w:szCs w:val="20"/>
          <w:lang w:val="sk-SK"/>
        </w:rPr>
        <w:t xml:space="preserve">Od roku 2004 je Slovenská republika začlenená medzi krajiny, ktorých ekonomika je regulovaná aj sústavou nadnárodnej legislatívy, pričom požiadavka na štatutárny audit existuje aj v rámci právnych predpisov EÚ. Predpisy sú v EÚ a jej členských štátoch právne implementované. (Juhászová and Markovič and Mokošová, 2014) EÚ členským štátom EÚ však bola poskytnutá možnosť od tejto požiadavky, resp. povinnosti oslobodiť malé účtovné jednotky. </w:t>
      </w:r>
    </w:p>
    <w:p w:rsidR="005C3F63" w:rsidRDefault="006536E7">
      <w:pPr>
        <w:spacing w:after="120"/>
        <w:rPr>
          <w:rFonts w:ascii="Verdana" w:hAnsi="Verdana"/>
          <w:sz w:val="20"/>
          <w:szCs w:val="20"/>
          <w:lang w:val="sk-SK"/>
        </w:rPr>
      </w:pPr>
      <w:r>
        <w:rPr>
          <w:rFonts w:ascii="Verdana" w:hAnsi="Verdana"/>
          <w:sz w:val="20"/>
          <w:szCs w:val="20"/>
          <w:lang w:val="sk-SK"/>
        </w:rPr>
        <w:t>Individuálne účtovné závierky malých účtovných jednotiek by v zmysle smernice Európskeho parlamentu a Rady 2013/34/EÚ o ročných účtovných závierkach, konsolidovaných  účtovných závierkach a súvisiacich správach určitých druhov podnikov, ktorou sa mení smernica Európskeho parlamentu a Rady 2006/43/ES a zrušujú smernice Rady 78/660/EHS a 83/349/EHS (ďalej aj „smernica o účtovných závierkach“) nemali podliehať povinnosti štatutárneho auditu, nakoľko štatutárny audit môže pre túto kategóriu účtovných jednotiek predstavovať okrem iného aj výrazné administratívne zaťaženie. Diskusia o audite individuálnych účtovných závierky malých účtovných jednotiek bola veľmi aktíva v poslednom desaťročí predovšetkým v krajinách ako Fínsko či iné škandinávske krajiny. (Ojala and Collis and Kinnunen and Niemi and Troberg, 2016)</w:t>
      </w:r>
    </w:p>
    <w:p w:rsidR="005C3F63" w:rsidRDefault="006536E7">
      <w:pPr>
        <w:spacing w:after="120"/>
        <w:rPr>
          <w:rFonts w:ascii="Verdana" w:hAnsi="Verdana"/>
          <w:sz w:val="20"/>
          <w:szCs w:val="20"/>
          <w:lang w:val="sk-SK"/>
        </w:rPr>
      </w:pPr>
      <w:r>
        <w:rPr>
          <w:rFonts w:ascii="Verdana" w:hAnsi="Verdana"/>
          <w:sz w:val="20"/>
          <w:szCs w:val="20"/>
          <w:lang w:val="sk-SK"/>
        </w:rPr>
        <w:t>Členské štáty EÚ boli povinné prijať smernicu o účtovných závierkach do svojich národných právnych predpisov do 20.07.2015, pričom analýzy ukazujú, že do roku 2016 len niekoľko členských štátov EÚ využilo možnosť oslobodiť účtovné jednotky od povinnosti auditu účtovných závierok zvýšením veľkostných podmienok pre povinnosť auditu účtovných závierok. (IESBA, 2016)</w:t>
      </w:r>
    </w:p>
    <w:p w:rsidR="005C3F63" w:rsidRDefault="006536E7">
      <w:pPr>
        <w:spacing w:after="120"/>
        <w:rPr>
          <w:rFonts w:ascii="Verdana" w:hAnsi="Verdana"/>
          <w:sz w:val="20"/>
          <w:szCs w:val="20"/>
          <w:lang w:val="sk-SK"/>
        </w:rPr>
      </w:pPr>
      <w:r>
        <w:rPr>
          <w:rFonts w:ascii="Verdana" w:hAnsi="Verdana"/>
          <w:sz w:val="20"/>
          <w:szCs w:val="20"/>
          <w:lang w:val="sk-SK"/>
        </w:rPr>
        <w:t>Na druhej strane, smernica Európskeho parlamentu a Rady 2006/43/ES o štatutárnom audite ročných účtovných závierok a konsolidovaných účtovných závierok, ktorou sa menia a dopĺňajú smernice Rady 78/660/EHS a 83/349/EHS a ktorou sa zrušuje smernica Rady 84/253/EHS (ďalej aj „smernica o štatutárnom audite“) umožňuje členským štátom EÚ vykonávať štatutárny audit aj v malých účtovných jednotkách, zohľadňujúc pritom špecifické podmienky a potreby malých účtovných jednotiek, ako aj používateľov účtovných závierok. Existujú rôzne skupiny externých používateľov informácií, ktorých potreby sú častejšie vo vzájomnom rozpore. (Tumpach and Manová and Juhászová, 2014)</w:t>
      </w:r>
    </w:p>
    <w:p w:rsidR="005C3F63" w:rsidRDefault="006536E7">
      <w:pPr>
        <w:pStyle w:val="aff"/>
        <w:rPr>
          <w:lang w:val="sk-SK"/>
        </w:rPr>
      </w:pPr>
      <w:r>
        <w:rPr>
          <w:rFonts w:ascii="Verdana" w:hAnsi="Verdana"/>
          <w:sz w:val="20"/>
          <w:szCs w:val="20"/>
          <w:lang w:val="sk-SK"/>
        </w:rPr>
        <w:t xml:space="preserve">Ak členský štát vyžaduje štatutárny audit účtovných závierok malých účtovných jednotiek, môže stanoviť, že uplatňovanie medzinárodných audítorských štandardov ISA je primerané rozsahu a zložitosti činností takýchto účtovných jednotiek. Členské štáty môžu prijať opatrenia na zabezpečenie primeraného uplatňovania medzinárodných audítorských štandardov ISA pre štatutárne audity účtovných závierok malých účtovných jednotiek. Podľa Medzinárodnej federácie účtovníkov (IFAC) je prvoradou cestou ochrany verejného záujmu dodržiavanie základného súboru medzinárodne uznávaných predpisov </w:t>
      </w:r>
      <w:r>
        <w:rPr>
          <w:rFonts w:ascii="Verdana" w:hAnsi="Verdana"/>
          <w:sz w:val="20"/>
          <w:szCs w:val="20"/>
          <w:lang w:val="sk-SK"/>
        </w:rPr>
        <w:lastRenderedPageBreak/>
        <w:t>a štandardov ako prostriedku zabezpečenia dôveryhodnosti informácií pre používateľov. (Kareš, 2016)</w:t>
      </w:r>
    </w:p>
    <w:p w:rsidR="005C3F63" w:rsidRDefault="006536E7">
      <w:pPr>
        <w:pStyle w:val="Kapitola"/>
        <w:rPr>
          <w:lang w:val="sk-SK"/>
        </w:rPr>
      </w:pPr>
      <w:r>
        <w:rPr>
          <w:szCs w:val="22"/>
          <w:lang w:val="sk-SK"/>
        </w:rPr>
        <w:t xml:space="preserve">3 Výsledky a diskusia / Results and Discussion </w:t>
      </w:r>
    </w:p>
    <w:p w:rsidR="005C3F63" w:rsidRDefault="006536E7">
      <w:pPr>
        <w:spacing w:after="120"/>
        <w:rPr>
          <w:rFonts w:ascii="Verdana" w:hAnsi="Verdana"/>
          <w:sz w:val="20"/>
          <w:szCs w:val="20"/>
          <w:lang w:val="sk-SK"/>
        </w:rPr>
      </w:pPr>
      <w:r>
        <w:rPr>
          <w:rFonts w:ascii="Verdana" w:hAnsi="Verdana"/>
          <w:sz w:val="20"/>
          <w:szCs w:val="20"/>
          <w:lang w:val="sk-SK"/>
        </w:rPr>
        <w:t>Spomínanou novelou zákona sa rozšírila povinnosť overiť riadnu a mimoriadnu individuálnu účtovnú závierku audítorom na verejnú obchodnú spoločnosť a komanditnú spoločnosť. Podľa znenia par. 19 ods. 1 písm. a) zákona o účtovníctve platného do 31.12.2019 bolo uvedené, že „riadnu a mimoriadnu individuálnu účtovnú závierku musí mať overenú audítorom účtovná jednotka:</w:t>
      </w:r>
    </w:p>
    <w:p w:rsidR="005C3F63" w:rsidRDefault="006536E7">
      <w:pPr>
        <w:numPr>
          <w:ilvl w:val="0"/>
          <w:numId w:val="13"/>
        </w:numPr>
        <w:spacing w:after="120"/>
        <w:rPr>
          <w:rFonts w:ascii="Verdana" w:hAnsi="Verdana"/>
          <w:sz w:val="20"/>
          <w:szCs w:val="20"/>
          <w:lang w:val="sk-SK"/>
        </w:rPr>
      </w:pPr>
      <w:r>
        <w:rPr>
          <w:rFonts w:ascii="Verdana" w:hAnsi="Verdana"/>
          <w:sz w:val="20"/>
          <w:szCs w:val="20"/>
          <w:lang w:val="sk-SK"/>
        </w:rPr>
        <w:t xml:space="preserve">ktorá je obchodnou spoločnosťou, ak povinne vytvára základné imanie a družstvom,…“. </w:t>
      </w:r>
    </w:p>
    <w:p w:rsidR="005C3F63" w:rsidRDefault="006536E7">
      <w:pPr>
        <w:spacing w:after="120"/>
        <w:rPr>
          <w:rFonts w:ascii="Verdana" w:hAnsi="Verdana"/>
          <w:sz w:val="20"/>
          <w:szCs w:val="20"/>
          <w:lang w:val="sk-SK"/>
        </w:rPr>
      </w:pPr>
      <w:r>
        <w:rPr>
          <w:rFonts w:ascii="Verdana" w:hAnsi="Verdana"/>
          <w:sz w:val="20"/>
          <w:szCs w:val="20"/>
          <w:lang w:val="sk-SK"/>
        </w:rPr>
        <w:t>V par. 56 ods. 1 zákona č. 513/1991 Zb. Obchodný zákonník v znení neskorších predpisov (ďalej len „obchodný zákonník) je uvedené, že obchodnou spoločnosťou je verejná obchodná spoločnosť, komanditná spoločnosť, spoločnosť s ručením obmedzeným, akciová spoločnosť a jednoduchá spoločnosť na akcie, pričom základné imanie (v súlade s par. 58 ods. 2 obchodného zákonníka) povinne vytvára len:</w:t>
      </w:r>
    </w:p>
    <w:p w:rsidR="005C3F63" w:rsidRDefault="006536E7">
      <w:pPr>
        <w:numPr>
          <w:ilvl w:val="0"/>
          <w:numId w:val="14"/>
        </w:numPr>
        <w:rPr>
          <w:rFonts w:ascii="Verdana" w:hAnsi="Verdana"/>
          <w:sz w:val="20"/>
          <w:szCs w:val="20"/>
          <w:lang w:val="sk-SK"/>
        </w:rPr>
      </w:pPr>
      <w:r>
        <w:rPr>
          <w:rFonts w:ascii="Verdana" w:hAnsi="Verdana"/>
          <w:sz w:val="20"/>
          <w:szCs w:val="20"/>
          <w:lang w:val="sk-SK"/>
        </w:rPr>
        <w:t>spoločnosť s ručením obmedzeným,</w:t>
      </w:r>
    </w:p>
    <w:p w:rsidR="005C3F63" w:rsidRDefault="006536E7">
      <w:pPr>
        <w:numPr>
          <w:ilvl w:val="0"/>
          <w:numId w:val="14"/>
        </w:numPr>
        <w:rPr>
          <w:rFonts w:ascii="Verdana" w:hAnsi="Verdana"/>
          <w:sz w:val="20"/>
          <w:szCs w:val="20"/>
          <w:lang w:val="sk-SK"/>
        </w:rPr>
      </w:pPr>
      <w:r>
        <w:rPr>
          <w:rFonts w:ascii="Verdana" w:hAnsi="Verdana"/>
          <w:sz w:val="20"/>
          <w:szCs w:val="20"/>
          <w:lang w:val="sk-SK"/>
        </w:rPr>
        <w:t>akciová spoločnosť,</w:t>
      </w:r>
    </w:p>
    <w:p w:rsidR="005C3F63" w:rsidRDefault="006536E7">
      <w:pPr>
        <w:numPr>
          <w:ilvl w:val="0"/>
          <w:numId w:val="14"/>
        </w:numPr>
        <w:rPr>
          <w:rFonts w:ascii="Verdana" w:hAnsi="Verdana"/>
          <w:sz w:val="20"/>
          <w:szCs w:val="20"/>
          <w:lang w:val="sk-SK"/>
        </w:rPr>
      </w:pPr>
      <w:r>
        <w:rPr>
          <w:rFonts w:ascii="Verdana" w:hAnsi="Verdana"/>
          <w:sz w:val="20"/>
          <w:szCs w:val="20"/>
          <w:lang w:val="sk-SK"/>
        </w:rPr>
        <w:t>jednoduchá spoločnosť na akcie.</w:t>
      </w:r>
    </w:p>
    <w:p w:rsidR="005C3F63" w:rsidRDefault="005C3F63">
      <w:pPr>
        <w:ind w:left="720"/>
        <w:rPr>
          <w:rFonts w:ascii="Verdana" w:hAnsi="Verdana"/>
          <w:sz w:val="20"/>
          <w:szCs w:val="20"/>
          <w:lang w:val="sk-SK"/>
        </w:rPr>
      </w:pPr>
    </w:p>
    <w:p w:rsidR="005C3F63" w:rsidRDefault="006536E7">
      <w:pPr>
        <w:spacing w:after="120"/>
        <w:rPr>
          <w:rFonts w:ascii="Verdana" w:hAnsi="Verdana"/>
          <w:sz w:val="20"/>
          <w:szCs w:val="20"/>
          <w:lang w:val="sk-SK"/>
        </w:rPr>
      </w:pPr>
      <w:r>
        <w:rPr>
          <w:rFonts w:ascii="Verdana" w:hAnsi="Verdana"/>
          <w:sz w:val="20"/>
          <w:szCs w:val="20"/>
          <w:lang w:val="sk-SK"/>
        </w:rPr>
        <w:t xml:space="preserve">Verejnej obchodnej spoločnosti a komanditnej spoločnosti do účinnosti spomínanej novely zákona o účtovníctve nevznikala povinnosť overenia účtovnej závierky audítorom aj napriek tomu, že spĺňali veľkostné podmienky podľa par. 19 ods. 1 písm. a) zákona o účtovníctve. </w:t>
      </w:r>
    </w:p>
    <w:p w:rsidR="005C3F63" w:rsidRDefault="006536E7">
      <w:pPr>
        <w:spacing w:after="120"/>
        <w:rPr>
          <w:rFonts w:ascii="Verdana" w:hAnsi="Verdana"/>
          <w:sz w:val="20"/>
          <w:szCs w:val="20"/>
          <w:lang w:val="sk-SK"/>
        </w:rPr>
      </w:pPr>
      <w:r>
        <w:rPr>
          <w:rFonts w:ascii="Verdana" w:hAnsi="Verdana"/>
          <w:sz w:val="20"/>
          <w:szCs w:val="20"/>
          <w:lang w:val="sk-SK"/>
        </w:rPr>
        <w:t>Novelou zákona sa zvýšili tiež 2 veľkostné podmienky, t. j. hodnota majetku a hodnota čistého obratu o 100 % veľkostných podmienok platných v znení zákona o účtovníctve účinnom do 31.12.2019 (viď tabuľka 1).</w:t>
      </w:r>
    </w:p>
    <w:p w:rsidR="005C3F63" w:rsidRDefault="006536E7">
      <w:pPr>
        <w:spacing w:after="120"/>
        <w:rPr>
          <w:rFonts w:ascii="Verdana" w:hAnsi="Verdana"/>
          <w:sz w:val="20"/>
          <w:szCs w:val="20"/>
          <w:lang w:val="sk-SK"/>
        </w:rPr>
      </w:pPr>
      <w:r>
        <w:rPr>
          <w:rFonts w:ascii="Verdana" w:hAnsi="Verdana"/>
          <w:sz w:val="20"/>
          <w:szCs w:val="20"/>
          <w:lang w:val="sk-SK"/>
        </w:rPr>
        <w:t>Popri spomínaných zmenách audítorom pribudla aj ďalšia zákonná povinnosť v súvislosti s povinnosťou overenia účtovnej závierky audítorom podľa par. 19 ods. 1 písm. d) zákona o účtovníctve. Audítor musí overiť, či účtovná jednotka, ktorá nie je účtovnou jednotkou, nad ktorou sa vykonáva dohľad podľa osobitných predpisov, má údaje vo výkaze vybraných údajov z účtovnej závierky v súlade s účtovnou závierkou zostavenou podľa medzinárodných štandardov finančného vykazovania (IFRS).</w:t>
      </w:r>
    </w:p>
    <w:p w:rsidR="005C3F63" w:rsidRDefault="006536E7">
      <w:pPr>
        <w:spacing w:after="120"/>
        <w:rPr>
          <w:rFonts w:ascii="Verdana" w:hAnsi="Verdana"/>
          <w:sz w:val="20"/>
          <w:szCs w:val="20"/>
          <w:lang w:val="sk-SK"/>
        </w:rPr>
      </w:pPr>
      <w:r>
        <w:rPr>
          <w:rFonts w:ascii="Verdana" w:hAnsi="Verdana"/>
          <w:sz w:val="20"/>
          <w:szCs w:val="20"/>
          <w:lang w:val="sk-SK"/>
        </w:rPr>
        <w:t xml:space="preserve">V pomerne krátkom čase po uvedenej novele zákona o účtovníctve dochádza k zmene veľkostných podmienok podľa bodu a) na základe ktorých vzniká povinnosť overenia riadnej a mimoriadnej individuálnej účtovnej závierky audítorom v obchodných spoločnostiach a družstvách. Ide o postupné zvýšenie všetkých 3 veľkostných podmienok pre roky 2021 a 2022 prostredníctvom novely zákona o účtovníctve. Uvedená legislatívna zmena bola prijatá v rámci zmien, ktoré by mali zlepšiť podnikateľské prostredie a pomôcť k rozmachu slovenskej ekonomiky po pandémii koronavírusu. </w:t>
      </w:r>
    </w:p>
    <w:p w:rsidR="005C3F63" w:rsidRDefault="005C3F63">
      <w:pPr>
        <w:spacing w:after="120"/>
        <w:rPr>
          <w:rFonts w:ascii="Verdana" w:hAnsi="Verdana"/>
          <w:sz w:val="20"/>
          <w:szCs w:val="20"/>
          <w:lang w:val="sk-SK"/>
        </w:rPr>
      </w:pPr>
    </w:p>
    <w:p w:rsidR="005C3F63" w:rsidRDefault="006536E7">
      <w:pPr>
        <w:spacing w:after="120"/>
        <w:jc w:val="center"/>
        <w:rPr>
          <w:rFonts w:ascii="Verdana" w:hAnsi="Verdana"/>
          <w:sz w:val="20"/>
          <w:szCs w:val="20"/>
          <w:lang w:val="sk-SK"/>
        </w:rPr>
      </w:pPr>
      <w:r>
        <w:rPr>
          <w:rFonts w:ascii="Verdana" w:hAnsi="Verdana"/>
          <w:b/>
          <w:bCs/>
          <w:sz w:val="20"/>
          <w:szCs w:val="20"/>
          <w:lang w:val="sk-SK"/>
        </w:rPr>
        <w:t>Tabuľka</w:t>
      </w:r>
      <w:r>
        <w:rPr>
          <w:rFonts w:ascii="Verdana" w:hAnsi="Verdana"/>
          <w:b/>
          <w:sz w:val="20"/>
          <w:szCs w:val="20"/>
          <w:lang w:val="sk-SK"/>
        </w:rPr>
        <w:t xml:space="preserve"> 1</w:t>
      </w:r>
      <w:r>
        <w:rPr>
          <w:rFonts w:ascii="Verdana" w:hAnsi="Verdana"/>
          <w:sz w:val="20"/>
          <w:szCs w:val="20"/>
          <w:lang w:val="sk-SK"/>
        </w:rPr>
        <w:t xml:space="preserve"> Veľkostné podmienky pre overenie riadnej a mimoriadnej individuálnej účtovnej závierky audítorom podľa par. 19 ods. 1 písm. a) zákona o účtovníctve</w:t>
      </w:r>
    </w:p>
    <w:tbl>
      <w:tblPr>
        <w:tblW w:w="0" w:type="auto"/>
        <w:jc w:val="center"/>
        <w:tblBorders>
          <w:top w:val="single" w:sz="8" w:space="0" w:color="000000"/>
          <w:bottom w:val="single" w:sz="8" w:space="0" w:color="000000"/>
        </w:tblBorders>
        <w:tblLayout w:type="fixed"/>
        <w:tblLook w:val="04A0" w:firstRow="1" w:lastRow="0" w:firstColumn="1" w:lastColumn="0" w:noHBand="0" w:noVBand="1"/>
      </w:tblPr>
      <w:tblGrid>
        <w:gridCol w:w="3536"/>
        <w:gridCol w:w="1560"/>
        <w:gridCol w:w="1559"/>
        <w:gridCol w:w="1550"/>
        <w:gridCol w:w="1550"/>
      </w:tblGrid>
      <w:tr w:rsidR="005C3F63">
        <w:trPr>
          <w:jc w:val="center"/>
        </w:trPr>
        <w:tc>
          <w:tcPr>
            <w:tcW w:w="3536" w:type="dxa"/>
            <w:tcBorders>
              <w:top w:val="single" w:sz="8" w:space="0" w:color="000000"/>
              <w:left w:val="nil"/>
              <w:bottom w:val="double" w:sz="4" w:space="0" w:color="auto"/>
              <w:right w:val="nil"/>
            </w:tcBorders>
            <w:vAlign w:val="center"/>
          </w:tcPr>
          <w:p w:rsidR="005C3F63" w:rsidRDefault="006536E7">
            <w:pPr>
              <w:jc w:val="left"/>
              <w:rPr>
                <w:rFonts w:ascii="Verdana" w:hAnsi="Verdana"/>
                <w:b/>
                <w:bCs/>
                <w:color w:val="000000"/>
                <w:sz w:val="20"/>
                <w:szCs w:val="20"/>
                <w:lang w:val="sk-SK"/>
              </w:rPr>
            </w:pPr>
            <w:r>
              <w:rPr>
                <w:rFonts w:ascii="Verdana" w:hAnsi="Verdana"/>
                <w:b/>
                <w:bCs/>
                <w:color w:val="000000"/>
                <w:sz w:val="20"/>
                <w:szCs w:val="20"/>
                <w:lang w:val="sk-SK"/>
              </w:rPr>
              <w:t>Veľkostná podmienka</w:t>
            </w:r>
          </w:p>
        </w:tc>
        <w:tc>
          <w:tcPr>
            <w:tcW w:w="1560" w:type="dxa"/>
            <w:tcBorders>
              <w:top w:val="single" w:sz="8" w:space="0" w:color="000000"/>
              <w:left w:val="nil"/>
              <w:bottom w:val="double" w:sz="4" w:space="0" w:color="auto"/>
              <w:right w:val="nil"/>
            </w:tcBorders>
            <w:vAlign w:val="center"/>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 xml:space="preserve">2019 </w:t>
            </w:r>
            <w:r>
              <w:rPr>
                <w:rFonts w:ascii="Verdana" w:hAnsi="Verdana"/>
                <w:b/>
                <w:bCs/>
                <w:color w:val="000000"/>
                <w:sz w:val="20"/>
                <w:szCs w:val="20"/>
                <w:lang w:val="sk-SK"/>
              </w:rPr>
              <w:br/>
            </w:r>
          </w:p>
        </w:tc>
        <w:tc>
          <w:tcPr>
            <w:tcW w:w="1559" w:type="dxa"/>
            <w:tcBorders>
              <w:top w:val="single" w:sz="8" w:space="0" w:color="000000"/>
              <w:left w:val="nil"/>
              <w:bottom w:val="double" w:sz="4" w:space="0" w:color="auto"/>
              <w:right w:val="nil"/>
            </w:tcBorders>
            <w:vAlign w:val="center"/>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2020</w:t>
            </w:r>
            <w:r>
              <w:rPr>
                <w:rFonts w:ascii="Verdana" w:hAnsi="Verdana"/>
                <w:b/>
                <w:bCs/>
                <w:color w:val="000000"/>
                <w:sz w:val="20"/>
                <w:szCs w:val="20"/>
                <w:lang w:val="sk-SK"/>
              </w:rPr>
              <w:br/>
            </w:r>
          </w:p>
        </w:tc>
        <w:tc>
          <w:tcPr>
            <w:tcW w:w="1550" w:type="dxa"/>
            <w:tcBorders>
              <w:top w:val="single" w:sz="8" w:space="0" w:color="000000"/>
              <w:left w:val="nil"/>
              <w:bottom w:val="double" w:sz="4" w:space="0" w:color="auto"/>
              <w:right w:val="nil"/>
            </w:tcBorders>
            <w:vAlign w:val="center"/>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2021</w:t>
            </w:r>
            <w:r>
              <w:rPr>
                <w:rFonts w:ascii="Verdana" w:hAnsi="Verdana"/>
                <w:b/>
                <w:bCs/>
                <w:color w:val="000000"/>
                <w:sz w:val="20"/>
                <w:szCs w:val="20"/>
                <w:lang w:val="sk-SK"/>
              </w:rPr>
              <w:br/>
            </w:r>
          </w:p>
        </w:tc>
        <w:tc>
          <w:tcPr>
            <w:tcW w:w="1550"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2022</w:t>
            </w:r>
          </w:p>
        </w:tc>
      </w:tr>
      <w:tr w:rsidR="005C3F63">
        <w:trPr>
          <w:jc w:val="center"/>
        </w:trPr>
        <w:tc>
          <w:tcPr>
            <w:tcW w:w="3536" w:type="dxa"/>
            <w:tcBorders>
              <w:top w:val="double" w:sz="4" w:space="0" w:color="auto"/>
              <w:left w:val="nil"/>
              <w:bottom w:val="single" w:sz="4" w:space="0" w:color="auto"/>
              <w:right w:val="nil"/>
            </w:tcBorders>
            <w:shd w:val="clear" w:color="auto" w:fill="FFFFFF"/>
            <w:vAlign w:val="center"/>
          </w:tcPr>
          <w:p w:rsidR="005C3F63" w:rsidRDefault="006536E7">
            <w:pPr>
              <w:jc w:val="left"/>
              <w:rPr>
                <w:rFonts w:ascii="Verdana" w:hAnsi="Verdana"/>
                <w:b/>
                <w:bCs/>
                <w:color w:val="000000"/>
                <w:sz w:val="20"/>
                <w:szCs w:val="20"/>
                <w:lang w:val="sk-SK"/>
              </w:rPr>
            </w:pPr>
            <w:r>
              <w:rPr>
                <w:rFonts w:ascii="Verdana" w:hAnsi="Verdana"/>
                <w:b/>
                <w:bCs/>
                <w:color w:val="000000"/>
                <w:sz w:val="20"/>
                <w:szCs w:val="20"/>
                <w:lang w:val="sk-SK"/>
              </w:rPr>
              <w:t xml:space="preserve">Celková suma majetku </w:t>
            </w:r>
            <w:r>
              <w:rPr>
                <w:rFonts w:ascii="Verdana" w:hAnsi="Verdana"/>
                <w:b/>
                <w:bCs/>
                <w:color w:val="000000"/>
                <w:sz w:val="20"/>
                <w:szCs w:val="20"/>
                <w:lang w:val="sk-SK"/>
              </w:rPr>
              <w:br/>
              <w:t>(v Eur)</w:t>
            </w:r>
          </w:p>
        </w:tc>
        <w:tc>
          <w:tcPr>
            <w:tcW w:w="1560" w:type="dxa"/>
            <w:tcBorders>
              <w:top w:val="double" w:sz="4" w:space="0" w:color="auto"/>
              <w:left w:val="nil"/>
              <w:bottom w:val="single" w:sz="4" w:space="0" w:color="auto"/>
              <w:right w:val="nil"/>
            </w:tcBorders>
            <w:shd w:val="clear" w:color="auto" w:fill="FFFFFF"/>
            <w:vAlign w:val="center"/>
          </w:tcPr>
          <w:p w:rsidR="005C3F63" w:rsidRDefault="006536E7">
            <w:pPr>
              <w:ind w:firstLine="99"/>
              <w:jc w:val="center"/>
              <w:rPr>
                <w:rFonts w:ascii="Verdana" w:hAnsi="Verdana"/>
                <w:color w:val="000000"/>
                <w:sz w:val="20"/>
                <w:szCs w:val="20"/>
                <w:lang w:val="sk-SK"/>
              </w:rPr>
            </w:pPr>
            <w:r>
              <w:rPr>
                <w:rFonts w:ascii="Verdana" w:hAnsi="Verdana"/>
                <w:color w:val="000000"/>
                <w:sz w:val="20"/>
                <w:szCs w:val="20"/>
                <w:lang w:val="sk-SK"/>
              </w:rPr>
              <w:t>1 000 000</w:t>
            </w:r>
          </w:p>
        </w:tc>
        <w:tc>
          <w:tcPr>
            <w:tcW w:w="1559" w:type="dxa"/>
            <w:tcBorders>
              <w:top w:val="double" w:sz="4" w:space="0" w:color="auto"/>
              <w:left w:val="nil"/>
              <w:bottom w:val="single" w:sz="4" w:space="0" w:color="auto"/>
              <w:right w:val="nil"/>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2 000 000</w:t>
            </w:r>
          </w:p>
        </w:tc>
        <w:tc>
          <w:tcPr>
            <w:tcW w:w="1550" w:type="dxa"/>
            <w:tcBorders>
              <w:top w:val="double" w:sz="4" w:space="0" w:color="auto"/>
              <w:left w:val="nil"/>
              <w:bottom w:val="single" w:sz="4" w:space="0" w:color="auto"/>
              <w:right w:val="nil"/>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3 000 000</w:t>
            </w:r>
          </w:p>
        </w:tc>
        <w:tc>
          <w:tcPr>
            <w:tcW w:w="1550" w:type="dxa"/>
            <w:tcBorders>
              <w:top w:val="double" w:sz="4" w:space="0" w:color="auto"/>
              <w:left w:val="nil"/>
              <w:bottom w:val="single" w:sz="4" w:space="0" w:color="auto"/>
              <w:right w:val="nil"/>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4 000 000</w:t>
            </w:r>
          </w:p>
        </w:tc>
      </w:tr>
      <w:tr w:rsidR="005C3F63">
        <w:trPr>
          <w:jc w:val="center"/>
        </w:trPr>
        <w:tc>
          <w:tcPr>
            <w:tcW w:w="3536" w:type="dxa"/>
            <w:tcBorders>
              <w:top w:val="single" w:sz="4" w:space="0" w:color="auto"/>
              <w:bottom w:val="single" w:sz="4" w:space="0" w:color="auto"/>
            </w:tcBorders>
            <w:shd w:val="clear" w:color="auto" w:fill="FFFFFF"/>
            <w:vAlign w:val="center"/>
          </w:tcPr>
          <w:p w:rsidR="005C3F63" w:rsidRDefault="006536E7">
            <w:pPr>
              <w:ind w:right="-89"/>
              <w:jc w:val="left"/>
              <w:rPr>
                <w:rFonts w:ascii="Verdana" w:hAnsi="Verdana"/>
                <w:b/>
                <w:bCs/>
                <w:color w:val="000000"/>
                <w:sz w:val="20"/>
                <w:szCs w:val="20"/>
                <w:lang w:val="sk-SK"/>
              </w:rPr>
            </w:pPr>
            <w:r>
              <w:rPr>
                <w:rFonts w:ascii="Verdana" w:hAnsi="Verdana"/>
                <w:b/>
                <w:bCs/>
                <w:color w:val="000000"/>
                <w:sz w:val="20"/>
                <w:szCs w:val="20"/>
                <w:lang w:val="sk-SK"/>
              </w:rPr>
              <w:t>Čistý obrat (v Eur)</w:t>
            </w:r>
          </w:p>
        </w:tc>
        <w:tc>
          <w:tcPr>
            <w:tcW w:w="1560" w:type="dxa"/>
            <w:tcBorders>
              <w:top w:val="single" w:sz="4" w:space="0" w:color="auto"/>
              <w:bottom w:val="single" w:sz="4" w:space="0" w:color="auto"/>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2 000 000</w:t>
            </w:r>
          </w:p>
        </w:tc>
        <w:tc>
          <w:tcPr>
            <w:tcW w:w="1559" w:type="dxa"/>
            <w:tcBorders>
              <w:top w:val="single" w:sz="4" w:space="0" w:color="auto"/>
              <w:bottom w:val="single" w:sz="4" w:space="0" w:color="auto"/>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4 000 000</w:t>
            </w:r>
          </w:p>
        </w:tc>
        <w:tc>
          <w:tcPr>
            <w:tcW w:w="1550" w:type="dxa"/>
            <w:tcBorders>
              <w:top w:val="single" w:sz="4" w:space="0" w:color="auto"/>
              <w:bottom w:val="single" w:sz="4" w:space="0" w:color="auto"/>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6 000 000</w:t>
            </w:r>
          </w:p>
        </w:tc>
        <w:tc>
          <w:tcPr>
            <w:tcW w:w="1550" w:type="dxa"/>
            <w:tcBorders>
              <w:top w:val="single" w:sz="4" w:space="0" w:color="auto"/>
              <w:bottom w:val="single" w:sz="4" w:space="0" w:color="auto"/>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8 000 000</w:t>
            </w:r>
          </w:p>
        </w:tc>
      </w:tr>
      <w:tr w:rsidR="005C3F63">
        <w:trPr>
          <w:jc w:val="center"/>
        </w:trPr>
        <w:tc>
          <w:tcPr>
            <w:tcW w:w="3536" w:type="dxa"/>
            <w:tcBorders>
              <w:top w:val="single" w:sz="4" w:space="0" w:color="auto"/>
              <w:left w:val="nil"/>
              <w:right w:val="nil"/>
            </w:tcBorders>
            <w:shd w:val="clear" w:color="auto" w:fill="FFFFFF"/>
            <w:vAlign w:val="center"/>
          </w:tcPr>
          <w:p w:rsidR="005C3F63" w:rsidRDefault="006536E7">
            <w:pPr>
              <w:jc w:val="left"/>
              <w:rPr>
                <w:rFonts w:ascii="Verdana" w:hAnsi="Verdana"/>
                <w:b/>
                <w:bCs/>
                <w:color w:val="000000"/>
                <w:sz w:val="20"/>
                <w:szCs w:val="20"/>
                <w:lang w:val="sk-SK"/>
              </w:rPr>
            </w:pPr>
            <w:r>
              <w:rPr>
                <w:rFonts w:ascii="Verdana" w:hAnsi="Verdana"/>
                <w:b/>
                <w:bCs/>
                <w:color w:val="000000"/>
                <w:sz w:val="20"/>
                <w:szCs w:val="20"/>
                <w:lang w:val="sk-SK"/>
              </w:rPr>
              <w:t>Priemerný počet zamestnancov</w:t>
            </w:r>
          </w:p>
        </w:tc>
        <w:tc>
          <w:tcPr>
            <w:tcW w:w="1560" w:type="dxa"/>
            <w:tcBorders>
              <w:top w:val="single" w:sz="4" w:space="0" w:color="auto"/>
              <w:left w:val="nil"/>
              <w:right w:val="nil"/>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30</w:t>
            </w:r>
          </w:p>
        </w:tc>
        <w:tc>
          <w:tcPr>
            <w:tcW w:w="1559" w:type="dxa"/>
            <w:tcBorders>
              <w:top w:val="single" w:sz="4" w:space="0" w:color="auto"/>
              <w:left w:val="nil"/>
              <w:right w:val="nil"/>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30</w:t>
            </w:r>
          </w:p>
        </w:tc>
        <w:tc>
          <w:tcPr>
            <w:tcW w:w="1550" w:type="dxa"/>
            <w:tcBorders>
              <w:top w:val="single" w:sz="4" w:space="0" w:color="auto"/>
              <w:left w:val="nil"/>
              <w:right w:val="nil"/>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40</w:t>
            </w:r>
          </w:p>
        </w:tc>
        <w:tc>
          <w:tcPr>
            <w:tcW w:w="1550" w:type="dxa"/>
            <w:tcBorders>
              <w:top w:val="single" w:sz="4" w:space="0" w:color="auto"/>
              <w:left w:val="nil"/>
              <w:right w:val="nil"/>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50</w:t>
            </w:r>
          </w:p>
        </w:tc>
      </w:tr>
    </w:tbl>
    <w:p w:rsidR="005C3F63" w:rsidRDefault="006536E7">
      <w:pPr>
        <w:spacing w:after="240"/>
        <w:jc w:val="center"/>
        <w:rPr>
          <w:rFonts w:ascii="Verdana" w:hAnsi="Verdana"/>
          <w:sz w:val="18"/>
          <w:szCs w:val="18"/>
          <w:lang w:val="sk-SK"/>
        </w:rPr>
      </w:pPr>
      <w:r>
        <w:rPr>
          <w:rFonts w:ascii="Verdana" w:hAnsi="Verdana"/>
          <w:sz w:val="18"/>
          <w:szCs w:val="18"/>
          <w:lang w:val="sk-SK"/>
        </w:rPr>
        <w:t>Zdroj: vlastné spracovanie</w:t>
      </w:r>
    </w:p>
    <w:p w:rsidR="005C3F63" w:rsidRDefault="006536E7">
      <w:pPr>
        <w:pStyle w:val="Kapitola"/>
        <w:rPr>
          <w:lang w:val="sk-SK"/>
        </w:rPr>
      </w:pPr>
      <w:r>
        <w:rPr>
          <w:lang w:val="sk-SK"/>
        </w:rPr>
        <w:lastRenderedPageBreak/>
        <w:t>Záver / Conclusions</w:t>
      </w:r>
    </w:p>
    <w:p w:rsidR="005C3F63" w:rsidRDefault="006536E7">
      <w:pPr>
        <w:spacing w:after="120"/>
        <w:rPr>
          <w:rFonts w:ascii="Verdana" w:hAnsi="Verdana"/>
          <w:sz w:val="20"/>
          <w:szCs w:val="20"/>
          <w:lang w:val="sk-SK"/>
        </w:rPr>
      </w:pPr>
      <w:r>
        <w:rPr>
          <w:rFonts w:ascii="Verdana" w:hAnsi="Verdana"/>
          <w:sz w:val="20"/>
          <w:szCs w:val="20"/>
          <w:lang w:val="sk-SK"/>
        </w:rPr>
        <w:t>Harmonizácia a štandardizácia sú hlavnou charakteristikou súčasnej globalizácie. (Hladika and Mokošová and Molín, 2017)</w:t>
      </w:r>
    </w:p>
    <w:p w:rsidR="005C3F63" w:rsidRDefault="006536E7">
      <w:pPr>
        <w:spacing w:after="120"/>
        <w:rPr>
          <w:rFonts w:ascii="Verdana" w:hAnsi="Verdana"/>
          <w:sz w:val="20"/>
          <w:szCs w:val="20"/>
          <w:lang w:val="sk-SK"/>
        </w:rPr>
      </w:pPr>
      <w:r>
        <w:rPr>
          <w:rFonts w:ascii="Verdana" w:hAnsi="Verdana"/>
          <w:sz w:val="20"/>
          <w:szCs w:val="20"/>
          <w:lang w:val="sk-SK"/>
        </w:rPr>
        <w:t xml:space="preserve">Snaha o globálnu konvergenciu v harmonizačných procesoch auditu je prínosom pre audítorskú profesiu. Cieľom analyzovaných zmien zákona o účtovníctve je odstrániť identifikovanú regulačnú záťaž na podnikateľské subjekty. </w:t>
      </w:r>
    </w:p>
    <w:p w:rsidR="005C3F63" w:rsidRDefault="006536E7">
      <w:pPr>
        <w:spacing w:after="120"/>
        <w:rPr>
          <w:rFonts w:ascii="Verdana" w:hAnsi="Verdana"/>
          <w:sz w:val="20"/>
          <w:szCs w:val="20"/>
          <w:lang w:val="sk-SK"/>
        </w:rPr>
      </w:pPr>
      <w:r>
        <w:rPr>
          <w:rFonts w:ascii="Verdana" w:hAnsi="Verdana"/>
          <w:sz w:val="20"/>
          <w:szCs w:val="20"/>
          <w:lang w:val="sk-SK"/>
        </w:rPr>
        <w:t>Smernica o účtovných závierkach požaduje minimálnu harmonizáciu a necháva v kompetencii členského štátu EÚ, aby prispôsobil veľkostné podmienky tak, aby čo najlepšie zodpovedali veľkosti ekonomiky a pôsobiacim účtovným jednotkám v krajine. Je potrebné spomenúť, že vývoj novodobého auditu bol sprevádzaný predovšetkým oddelením ekonomickej a spoločenskej realizácie vlastníctva od subjektu vlastníctva, čím vznikla potreba tretej osoby na uskutočnenie nezávislého overovania (tzv. auditu). V prípade mnohých malých účtovných jednotiek sú tie isté osoby akcionármi aj riadiacimi pracovníkmi, a teda majú obmedzenú potrebu overenia účtovnej jednotky treťou stranou.</w:t>
      </w:r>
    </w:p>
    <w:p w:rsidR="005C3F63" w:rsidRDefault="006536E7">
      <w:pPr>
        <w:spacing w:after="120"/>
        <w:rPr>
          <w:rFonts w:ascii="Verdana" w:hAnsi="Verdana"/>
          <w:sz w:val="20"/>
          <w:szCs w:val="20"/>
          <w:lang w:val="sk-SK"/>
        </w:rPr>
      </w:pPr>
      <w:r>
        <w:rPr>
          <w:rFonts w:ascii="Verdana" w:hAnsi="Verdana"/>
          <w:sz w:val="20"/>
          <w:szCs w:val="20"/>
          <w:lang w:val="sk-SK"/>
        </w:rPr>
        <w:t>Posúdenie toho, či veľkostné podmienky pre povinnosť štatutárneho auditu sú adekvátne je zložité, pretože sa tu stretávajú záujmy viacerých zainteresovaných strán.</w:t>
      </w:r>
    </w:p>
    <w:p w:rsidR="005C3F63" w:rsidRDefault="006536E7">
      <w:pPr>
        <w:spacing w:after="120"/>
        <w:rPr>
          <w:rFonts w:ascii="Verdana" w:hAnsi="Verdana"/>
          <w:sz w:val="20"/>
          <w:szCs w:val="20"/>
          <w:lang w:val="sk-SK"/>
        </w:rPr>
      </w:pPr>
      <w:r>
        <w:rPr>
          <w:rFonts w:ascii="Verdana" w:hAnsi="Verdana"/>
          <w:sz w:val="20"/>
          <w:szCs w:val="20"/>
          <w:lang w:val="sk-SK"/>
        </w:rPr>
        <w:t>Zvýšením veľkostných podmienok podľa viacerých názorov dôjde k zníženiu kvality účtovných závierok účtovných jednotiek, ako aj vysokej koncentrácii na trhu štatutárnych audítorov a audítorských spoločností.</w:t>
      </w:r>
    </w:p>
    <w:p w:rsidR="005C3F63" w:rsidRDefault="006536E7">
      <w:pPr>
        <w:pStyle w:val="Kapitola"/>
        <w:rPr>
          <w:lang w:val="sk-SK"/>
        </w:rPr>
      </w:pPr>
      <w:r>
        <w:rPr>
          <w:lang w:val="sk-SK"/>
        </w:rPr>
        <w:t>Literárne zdroje a iné odkazy / References</w:t>
      </w:r>
    </w:p>
    <w:p w:rsidR="005C3F63" w:rsidRDefault="006536E7">
      <w:pPr>
        <w:pStyle w:val="aff"/>
        <w:jc w:val="both"/>
        <w:rPr>
          <w:rFonts w:ascii="Verdana" w:hAnsi="Verdana"/>
          <w:sz w:val="20"/>
          <w:szCs w:val="20"/>
          <w:lang w:val="sk-SK"/>
        </w:rPr>
      </w:pPr>
      <w:r>
        <w:rPr>
          <w:rFonts w:ascii="Verdana" w:hAnsi="Verdana"/>
          <w:sz w:val="20"/>
          <w:szCs w:val="20"/>
          <w:lang w:val="sk-SK"/>
        </w:rPr>
        <w:t xml:space="preserve">Hladika, M., Mokošová, D., Molín, J. (2017). Comparison of national accounting framework – the case of Croatia, Slovakia and Czechia. </w:t>
      </w:r>
      <w:r>
        <w:rPr>
          <w:rFonts w:ascii="Verdana" w:hAnsi="Verdana"/>
          <w:i/>
          <w:iCs/>
          <w:sz w:val="20"/>
          <w:szCs w:val="20"/>
          <w:lang w:val="sk-SK"/>
        </w:rPr>
        <w:t>Economy of Easten Croatia – vision and growth: 6 th International scientific symposium</w:t>
      </w:r>
      <w:r>
        <w:rPr>
          <w:rFonts w:ascii="Verdana" w:hAnsi="Verdana"/>
          <w:sz w:val="20"/>
          <w:szCs w:val="20"/>
          <w:lang w:val="sk-SK"/>
        </w:rPr>
        <w:t>, pp. 1028 – 1044.</w:t>
      </w:r>
    </w:p>
    <w:p w:rsidR="005C3F63" w:rsidRDefault="006536E7">
      <w:pPr>
        <w:pStyle w:val="aff"/>
        <w:jc w:val="both"/>
        <w:rPr>
          <w:rFonts w:ascii="Verdana" w:hAnsi="Verdana"/>
          <w:sz w:val="20"/>
          <w:szCs w:val="20"/>
          <w:lang w:val="sk-SK"/>
        </w:rPr>
      </w:pPr>
      <w:r>
        <w:rPr>
          <w:rFonts w:ascii="Verdana" w:hAnsi="Verdana"/>
          <w:sz w:val="20"/>
          <w:szCs w:val="20"/>
          <w:lang w:val="sk-SK"/>
        </w:rPr>
        <w:t xml:space="preserve">IESBA (2016). </w:t>
      </w:r>
      <w:r>
        <w:rPr>
          <w:rFonts w:ascii="Verdana" w:hAnsi="Verdana"/>
          <w:i/>
          <w:iCs/>
          <w:sz w:val="20"/>
          <w:szCs w:val="20"/>
          <w:lang w:val="sk-SK"/>
        </w:rPr>
        <w:t>Audit exemption threshold in Europe</w:t>
      </w:r>
      <w:r>
        <w:rPr>
          <w:rFonts w:ascii="Verdana" w:hAnsi="Verdana"/>
          <w:sz w:val="20"/>
          <w:szCs w:val="20"/>
          <w:lang w:val="sk-SK"/>
        </w:rPr>
        <w:t xml:space="preserve">. Retrieved from: </w:t>
      </w:r>
      <w:hyperlink r:id="rId38" w:history="1">
        <w:r>
          <w:rPr>
            <w:rFonts w:ascii="Verdana" w:hAnsi="Verdana"/>
            <w:sz w:val="20"/>
            <w:szCs w:val="20"/>
            <w:lang w:val="sk-SK"/>
          </w:rPr>
          <w:t>https://www.accountancyeurope.eu/wpcontent/uploads/1605_Audit_exemption_thresholds_update.pdf</w:t>
        </w:r>
      </w:hyperlink>
      <w:r>
        <w:rPr>
          <w:rFonts w:ascii="Verdana" w:hAnsi="Verdana"/>
          <w:sz w:val="20"/>
          <w:szCs w:val="20"/>
          <w:lang w:val="sk-SK"/>
        </w:rPr>
        <w:t>.</w:t>
      </w:r>
    </w:p>
    <w:p w:rsidR="005C3F63" w:rsidRDefault="006536E7">
      <w:pPr>
        <w:pStyle w:val="aff"/>
        <w:jc w:val="both"/>
        <w:rPr>
          <w:rFonts w:ascii="Verdana" w:hAnsi="Verdana"/>
          <w:sz w:val="20"/>
          <w:szCs w:val="20"/>
          <w:lang w:val="sk-SK"/>
        </w:rPr>
      </w:pPr>
      <w:r>
        <w:rPr>
          <w:rFonts w:ascii="Verdana" w:hAnsi="Verdana"/>
          <w:sz w:val="20"/>
          <w:szCs w:val="20"/>
          <w:lang w:val="sk-SK"/>
        </w:rPr>
        <w:t xml:space="preserve">Juhászová, Z., Markovič, P., Mokošová, D. (2014). Fair value and its importance for financial decision-making. </w:t>
      </w:r>
      <w:r>
        <w:rPr>
          <w:rFonts w:ascii="Verdana" w:hAnsi="Verdana"/>
          <w:i/>
          <w:iCs/>
          <w:sz w:val="20"/>
          <w:szCs w:val="20"/>
          <w:lang w:val="sk-SK"/>
        </w:rPr>
        <w:t>IFRS: global rules &amp; local use: proceeding of the 2nd International scientific conference</w:t>
      </w:r>
      <w:r>
        <w:rPr>
          <w:rFonts w:ascii="Verdana" w:hAnsi="Verdana"/>
          <w:sz w:val="20"/>
          <w:szCs w:val="20"/>
          <w:lang w:val="sk-SK"/>
        </w:rPr>
        <w:t>, pp. 64-69.</w:t>
      </w:r>
    </w:p>
    <w:p w:rsidR="005C3F63" w:rsidRDefault="006536E7">
      <w:pPr>
        <w:pStyle w:val="aff"/>
        <w:jc w:val="both"/>
        <w:rPr>
          <w:rFonts w:ascii="Verdana" w:hAnsi="Verdana"/>
          <w:sz w:val="20"/>
          <w:szCs w:val="20"/>
          <w:lang w:val="sk-SK"/>
        </w:rPr>
      </w:pPr>
      <w:r>
        <w:rPr>
          <w:rFonts w:ascii="Verdana" w:hAnsi="Verdana"/>
          <w:sz w:val="20"/>
          <w:szCs w:val="20"/>
          <w:lang w:val="sk-SK"/>
        </w:rPr>
        <w:t xml:space="preserve">Kareš, L. (2016). </w:t>
      </w:r>
      <w:r>
        <w:rPr>
          <w:rFonts w:ascii="Verdana" w:hAnsi="Verdana"/>
          <w:i/>
          <w:iCs/>
          <w:sz w:val="20"/>
          <w:szCs w:val="20"/>
          <w:lang w:val="sk-SK"/>
        </w:rPr>
        <w:t>Is the modification of International auditing and assurance standards board (IAASB) increasing the audit quality?</w:t>
      </w:r>
      <w:r>
        <w:rPr>
          <w:rFonts w:ascii="Verdana" w:hAnsi="Verdana"/>
          <w:sz w:val="20"/>
          <w:szCs w:val="20"/>
          <w:lang w:val="sk-SK"/>
        </w:rPr>
        <w:t xml:space="preserve"> Účetnictví a auditing v procesu světové harmonizace, pp. 77 – 78.</w:t>
      </w:r>
    </w:p>
    <w:p w:rsidR="005C3F63" w:rsidRDefault="006536E7">
      <w:pPr>
        <w:pStyle w:val="aff"/>
        <w:jc w:val="both"/>
        <w:rPr>
          <w:rFonts w:ascii="Verdana" w:hAnsi="Verdana"/>
          <w:sz w:val="20"/>
          <w:szCs w:val="20"/>
          <w:lang w:val="sk-SK"/>
        </w:rPr>
      </w:pPr>
      <w:r>
        <w:rPr>
          <w:rFonts w:ascii="Verdana" w:hAnsi="Verdana"/>
          <w:sz w:val="20"/>
          <w:szCs w:val="20"/>
          <w:lang w:val="sk-SK"/>
        </w:rPr>
        <w:t xml:space="preserve">Kubaščíková, Z., Pakšiová, R. (2015). Impact of accounting standards on the results of financial analysis. </w:t>
      </w:r>
      <w:r>
        <w:rPr>
          <w:rFonts w:ascii="Verdana" w:hAnsi="Verdana"/>
          <w:i/>
          <w:iCs/>
          <w:sz w:val="20"/>
          <w:szCs w:val="20"/>
          <w:lang w:val="sk-SK"/>
        </w:rPr>
        <w:t>IFRS: global rules &amp; local use: proceeding of the 3nd International scientific conference</w:t>
      </w:r>
      <w:r>
        <w:rPr>
          <w:rFonts w:ascii="Verdana" w:hAnsi="Verdana"/>
          <w:sz w:val="20"/>
          <w:szCs w:val="20"/>
          <w:lang w:val="sk-SK"/>
        </w:rPr>
        <w:t>, pp. 150-155.</w:t>
      </w:r>
    </w:p>
    <w:p w:rsidR="005C3F63" w:rsidRDefault="006536E7">
      <w:pPr>
        <w:pStyle w:val="aff"/>
        <w:jc w:val="both"/>
        <w:rPr>
          <w:rFonts w:ascii="Verdana" w:hAnsi="Verdana"/>
          <w:sz w:val="20"/>
          <w:szCs w:val="20"/>
          <w:lang w:val="sk-SK"/>
        </w:rPr>
      </w:pPr>
      <w:r>
        <w:rPr>
          <w:rFonts w:ascii="Verdana" w:hAnsi="Verdana"/>
          <w:sz w:val="20"/>
          <w:szCs w:val="20"/>
          <w:lang w:val="sk-SK"/>
        </w:rPr>
        <w:t xml:space="preserve">Ojala, H., Collis, J., Kinnunen, J., Niemi, L., Troberg, P. (2016). </w:t>
      </w:r>
      <w:r>
        <w:rPr>
          <w:rFonts w:ascii="Verdana" w:hAnsi="Verdana"/>
          <w:i/>
          <w:iCs/>
          <w:sz w:val="20"/>
          <w:szCs w:val="20"/>
          <w:lang w:val="sk-SK"/>
        </w:rPr>
        <w:t>The demand for voluntary audit in micro-companies: Evidence from Finland</w:t>
      </w:r>
      <w:r>
        <w:rPr>
          <w:rFonts w:ascii="Verdana" w:hAnsi="Verdana"/>
          <w:sz w:val="20"/>
          <w:szCs w:val="20"/>
          <w:lang w:val="sk-SK"/>
        </w:rPr>
        <w:t>. International Journal of Auditing 20 (3): pp. 267 – 277.</w:t>
      </w:r>
    </w:p>
    <w:p w:rsidR="005C3F63" w:rsidRDefault="006536E7">
      <w:pPr>
        <w:pStyle w:val="aff"/>
        <w:jc w:val="both"/>
        <w:rPr>
          <w:rFonts w:ascii="Verdana" w:hAnsi="Verdana"/>
          <w:sz w:val="20"/>
          <w:szCs w:val="20"/>
          <w:lang w:val="sk-SK"/>
        </w:rPr>
      </w:pPr>
      <w:r>
        <w:rPr>
          <w:rFonts w:ascii="Verdana" w:hAnsi="Verdana"/>
          <w:sz w:val="20"/>
          <w:szCs w:val="20"/>
          <w:lang w:val="sk-SK"/>
        </w:rPr>
        <w:t xml:space="preserve">Tumpach, M., Manová, E., Meluchová, J. (2014) Relevantnosť národného podnikového finančného výkazníctva v Slovenskej republike z pohľadu veriteľov ako neprivilegovaných používateľov. </w:t>
      </w:r>
      <w:r>
        <w:rPr>
          <w:rFonts w:ascii="Verdana" w:hAnsi="Verdana"/>
          <w:i/>
          <w:iCs/>
          <w:sz w:val="20"/>
          <w:szCs w:val="20"/>
          <w:lang w:val="sk-SK"/>
        </w:rPr>
        <w:t>In Ekonomický časopis: časopis pre ekonomickú teóriu, hospodársku politiku, spoločensko-ekonomické prognózovanie = journal for economic theory, economic policy, social and economic forecasting</w:t>
      </w:r>
      <w:r>
        <w:rPr>
          <w:rFonts w:ascii="Verdana" w:hAnsi="Verdana"/>
          <w:sz w:val="20"/>
          <w:szCs w:val="20"/>
          <w:lang w:val="sk-SK"/>
        </w:rPr>
        <w:t>. - Bratislava: Ekonomický ústav SAV : Prognostický ústav SAV, 2014. ISSN 0013-3035, 2014, roč. 62, č. 5, s. 495-507. MŠVVaŠ 023EU-4/2012.</w:t>
      </w:r>
    </w:p>
    <w:p w:rsidR="005C3F63" w:rsidRDefault="006536E7">
      <w:pPr>
        <w:pStyle w:val="aff"/>
        <w:jc w:val="both"/>
        <w:rPr>
          <w:rFonts w:ascii="Verdana" w:hAnsi="Verdana"/>
          <w:sz w:val="20"/>
          <w:szCs w:val="20"/>
          <w:lang w:val="sk-SK"/>
        </w:rPr>
      </w:pPr>
      <w:r>
        <w:rPr>
          <w:rFonts w:ascii="Verdana" w:hAnsi="Verdana"/>
          <w:sz w:val="20"/>
          <w:szCs w:val="20"/>
          <w:lang w:val="sk-SK"/>
        </w:rPr>
        <w:t>Zákon č. 431/2002 Z. z. o účtovníctve v znení neskorších predpisov.</w:t>
      </w:r>
    </w:p>
    <w:p w:rsidR="005C3F63" w:rsidRDefault="006536E7">
      <w:pPr>
        <w:pStyle w:val="aff"/>
        <w:jc w:val="both"/>
        <w:rPr>
          <w:rFonts w:ascii="Verdana" w:hAnsi="Verdana"/>
          <w:sz w:val="20"/>
          <w:szCs w:val="20"/>
          <w:lang w:val="sk-SK"/>
        </w:rPr>
      </w:pPr>
      <w:r>
        <w:rPr>
          <w:rFonts w:ascii="Verdana" w:hAnsi="Verdana"/>
          <w:sz w:val="20"/>
          <w:szCs w:val="20"/>
          <w:lang w:val="sk-SK"/>
        </w:rPr>
        <w:t>Zákon č. 513/1991 Zb. Obchodný zákonník v znení neskorších predpisov.</w:t>
      </w:r>
    </w:p>
    <w:p w:rsidR="005C3F63" w:rsidRDefault="005C3F63">
      <w:pPr>
        <w:pStyle w:val="aff"/>
        <w:jc w:val="both"/>
        <w:rPr>
          <w:rFonts w:ascii="Verdana" w:hAnsi="Verdana"/>
          <w:sz w:val="20"/>
          <w:szCs w:val="20"/>
          <w:lang w:val="sk-SK"/>
        </w:rPr>
      </w:pPr>
    </w:p>
    <w:p w:rsidR="005C3F63" w:rsidRDefault="006536E7">
      <w:pPr>
        <w:rPr>
          <w:rFonts w:ascii="Verdana" w:hAnsi="Verdana"/>
          <w:sz w:val="20"/>
          <w:szCs w:val="20"/>
          <w:lang w:val="sk-SK"/>
        </w:rPr>
      </w:pPr>
      <w:r>
        <w:rPr>
          <w:rFonts w:ascii="Verdana" w:hAnsi="Verdana"/>
          <w:sz w:val="20"/>
          <w:szCs w:val="20"/>
          <w:lang w:val="sk-SK"/>
        </w:rPr>
        <w:br w:type="page"/>
      </w:r>
    </w:p>
    <w:p w:rsidR="005C3F63" w:rsidRDefault="006536E7">
      <w:pPr>
        <w:pStyle w:val="1"/>
        <w:rPr>
          <w:shd w:val="clear" w:color="auto" w:fill="FFFFFF"/>
        </w:rPr>
      </w:pPr>
      <w:bookmarkStart w:id="139" w:name="_Toc47951502"/>
      <w:r>
        <w:rPr>
          <w:shd w:val="clear" w:color="auto" w:fill="FFFFFF"/>
        </w:rPr>
        <w:lastRenderedPageBreak/>
        <w:t>An audit in the system if the agrarian enterprises' social responsibility effectiveness assessment methods</w:t>
      </w:r>
      <w:bookmarkEnd w:id="139"/>
    </w:p>
    <w:p w:rsidR="005C3F63" w:rsidRDefault="006536E7">
      <w:pPr>
        <w:pStyle w:val="Autor"/>
      </w:pPr>
      <w:bookmarkStart w:id="140" w:name="_Toc47448297"/>
      <w:bookmarkStart w:id="141" w:name="_Toc47446089"/>
      <w:bookmarkStart w:id="142" w:name="_Toc47447956"/>
      <w:bookmarkStart w:id="143" w:name="_Toc47445935"/>
      <w:bookmarkStart w:id="144" w:name="_Toc47446690"/>
      <w:bookmarkStart w:id="145" w:name="_Toc47448092"/>
      <w:bookmarkStart w:id="146" w:name="_Toc47446350"/>
      <w:bookmarkStart w:id="147" w:name="_Toc47447902"/>
      <w:bookmarkStart w:id="148" w:name="_Toc47448038"/>
      <w:bookmarkStart w:id="149" w:name="_Toc47445717"/>
      <w:bookmarkStart w:id="150" w:name="_Toc47449291"/>
      <w:bookmarkStart w:id="151" w:name="_Toc47948711"/>
      <w:bookmarkStart w:id="152" w:name="_Toc47948968"/>
      <w:bookmarkStart w:id="153" w:name="_Toc47949282"/>
      <w:bookmarkStart w:id="154" w:name="_Toc47951345"/>
      <w:bookmarkStart w:id="155" w:name="_Toc47948772"/>
      <w:bookmarkStart w:id="156" w:name="_Toc47448175"/>
      <w:bookmarkStart w:id="157" w:name="_Toc47448535"/>
      <w:bookmarkStart w:id="158" w:name="_Toc47951437"/>
      <w:bookmarkStart w:id="159" w:name="_Toc47951503"/>
      <w:bookmarkStart w:id="160" w:name="_Toc47447136"/>
      <w:bookmarkStart w:id="161" w:name="_Toc47448590"/>
      <w:bookmarkStart w:id="162" w:name="_Toc47451132"/>
      <w:bookmarkStart w:id="163" w:name="_Toc47448816"/>
      <w:r>
        <w:t>Marina Dubinina</w:t>
      </w:r>
      <w:r>
        <w:rPr>
          <w:vertAlign w:val="superscript"/>
        </w:rPr>
        <w:t>1</w:t>
      </w:r>
      <w:r>
        <w:t>, Natalya Kuzyk</w:t>
      </w:r>
      <w:r>
        <w:rPr>
          <w:vertAlign w:val="superscript"/>
        </w:rPr>
        <w:t>2</w:t>
      </w:r>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r>
        <w:t> </w:t>
      </w:r>
    </w:p>
    <w:p w:rsidR="005C3F63" w:rsidRDefault="005C3F63">
      <w:pPr>
        <w:spacing w:after="120"/>
        <w:jc w:val="center"/>
        <w:rPr>
          <w:rFonts w:ascii="Verdana" w:hAnsi="Verdana"/>
          <w:sz w:val="22"/>
        </w:rPr>
      </w:pPr>
    </w:p>
    <w:p w:rsidR="005C3F63" w:rsidRDefault="006536E7">
      <w:pPr>
        <w:jc w:val="center"/>
        <w:rPr>
          <w:rFonts w:ascii="Verdana" w:hAnsi="Verdana"/>
          <w:sz w:val="18"/>
          <w:szCs w:val="18"/>
        </w:rPr>
      </w:pPr>
      <w:r>
        <w:rPr>
          <w:rFonts w:ascii="Verdana" w:hAnsi="Verdana"/>
          <w:sz w:val="18"/>
          <w:szCs w:val="18"/>
          <w:vertAlign w:val="superscript"/>
        </w:rPr>
        <w:t>1</w:t>
      </w:r>
      <w:r>
        <w:rPr>
          <w:rFonts w:ascii="Verdana" w:hAnsi="Verdana"/>
          <w:sz w:val="18"/>
          <w:szCs w:val="18"/>
        </w:rPr>
        <w:t>Mykolaiv National Agrarian University</w:t>
      </w:r>
    </w:p>
    <w:p w:rsidR="005C3F63" w:rsidRDefault="006536E7">
      <w:pPr>
        <w:jc w:val="center"/>
        <w:rPr>
          <w:rFonts w:ascii="Verdana" w:hAnsi="Verdana"/>
          <w:sz w:val="18"/>
          <w:szCs w:val="18"/>
        </w:rPr>
      </w:pPr>
      <w:r>
        <w:rPr>
          <w:rFonts w:ascii="Verdana" w:hAnsi="Verdana"/>
          <w:sz w:val="18"/>
          <w:szCs w:val="18"/>
        </w:rPr>
        <w:t>Department of Accounting and Taxation</w:t>
      </w:r>
    </w:p>
    <w:p w:rsidR="005C3F63" w:rsidRDefault="006536E7">
      <w:pPr>
        <w:jc w:val="center"/>
        <w:rPr>
          <w:rFonts w:ascii="Verdana" w:hAnsi="Verdana"/>
          <w:sz w:val="18"/>
          <w:szCs w:val="18"/>
        </w:rPr>
      </w:pPr>
      <w:r>
        <w:rPr>
          <w:rFonts w:ascii="Verdana" w:hAnsi="Verdana"/>
          <w:sz w:val="18"/>
          <w:szCs w:val="18"/>
        </w:rPr>
        <w:t>9 Hrehoriya Honhadze Str., Mykolaiv, 54020, Ukraine</w:t>
      </w:r>
    </w:p>
    <w:p w:rsidR="005C3F63" w:rsidRDefault="006536E7">
      <w:pPr>
        <w:jc w:val="center"/>
        <w:rPr>
          <w:rFonts w:ascii="Verdana" w:hAnsi="Verdana"/>
          <w:sz w:val="18"/>
          <w:szCs w:val="18"/>
        </w:rPr>
      </w:pPr>
      <w:r>
        <w:rPr>
          <w:rFonts w:ascii="Verdana" w:hAnsi="Verdana"/>
          <w:sz w:val="18"/>
          <w:szCs w:val="18"/>
        </w:rPr>
        <w:t>E-mail: </w:t>
      </w:r>
      <w:hyperlink r:id="rId39" w:history="1">
        <w:r>
          <w:rPr>
            <w:rStyle w:val="af9"/>
            <w:rFonts w:ascii="Verdana" w:hAnsi="Verdana"/>
            <w:sz w:val="18"/>
            <w:szCs w:val="18"/>
          </w:rPr>
          <w:t>dubinina@mnau.edu.ua</w:t>
        </w:r>
      </w:hyperlink>
    </w:p>
    <w:p w:rsidR="005C3F63" w:rsidRDefault="005C3F63">
      <w:pPr>
        <w:jc w:val="center"/>
        <w:rPr>
          <w:rFonts w:ascii="Verdana" w:hAnsi="Verdana"/>
          <w:sz w:val="22"/>
        </w:rPr>
      </w:pPr>
    </w:p>
    <w:p w:rsidR="005C3F63" w:rsidRDefault="006536E7">
      <w:pPr>
        <w:shd w:val="clear" w:color="auto" w:fill="FFFFFF"/>
        <w:jc w:val="center"/>
        <w:rPr>
          <w:rFonts w:ascii="Verdana" w:hAnsi="Verdana" w:cs="Arial"/>
          <w:sz w:val="18"/>
          <w:szCs w:val="18"/>
        </w:rPr>
      </w:pPr>
      <w:r>
        <w:rPr>
          <w:rFonts w:ascii="Verdana" w:hAnsi="Verdana" w:cs="Arial"/>
          <w:sz w:val="22"/>
          <w:vertAlign w:val="superscript"/>
        </w:rPr>
        <w:t>2</w:t>
      </w:r>
      <w:hyperlink r:id="rId40" w:tgtFrame="_blank" w:history="1">
        <w:r>
          <w:rPr>
            <w:rFonts w:ascii="Verdana" w:hAnsi="Verdana"/>
            <w:sz w:val="18"/>
            <w:szCs w:val="18"/>
          </w:rPr>
          <w:t>National University of Life and Environmental Sciences of Ukraine</w:t>
        </w:r>
      </w:hyperlink>
    </w:p>
    <w:p w:rsidR="005C3F63" w:rsidRDefault="006536E7">
      <w:pPr>
        <w:shd w:val="clear" w:color="auto" w:fill="FFFFFF"/>
        <w:jc w:val="center"/>
        <w:rPr>
          <w:rFonts w:ascii="Verdana" w:hAnsi="Verdana" w:cs="Calibri"/>
          <w:sz w:val="18"/>
          <w:szCs w:val="18"/>
        </w:rPr>
      </w:pPr>
      <w:r>
        <w:rPr>
          <w:rFonts w:ascii="Verdana" w:hAnsi="Verdana"/>
          <w:sz w:val="18"/>
          <w:szCs w:val="18"/>
        </w:rPr>
        <w:t>15 Heroiv Oborony Str., Kyiv, 03041, Ukraine</w:t>
      </w:r>
      <w:r>
        <w:rPr>
          <w:rFonts w:ascii="Verdana" w:hAnsi="Verdana"/>
          <w:sz w:val="18"/>
          <w:szCs w:val="18"/>
        </w:rPr>
        <w:br/>
      </w:r>
      <w:r>
        <w:rPr>
          <w:rFonts w:ascii="Verdana" w:hAnsi="Verdana" w:cs="Calibri"/>
          <w:sz w:val="18"/>
          <w:szCs w:val="18"/>
        </w:rPr>
        <w:t>E-mail: </w:t>
      </w:r>
      <w:hyperlink r:id="rId41" w:tgtFrame="_blank" w:history="1">
        <w:r>
          <w:rPr>
            <w:rFonts w:ascii="Verdana" w:hAnsi="Verdana" w:cs="Calibri"/>
            <w:sz w:val="18"/>
            <w:szCs w:val="18"/>
          </w:rPr>
          <w:t>kn0378@ukr.net</w:t>
        </w:r>
      </w:hyperlink>
    </w:p>
    <w:p w:rsidR="005C3F63" w:rsidRDefault="005C3F63">
      <w:pPr>
        <w:shd w:val="clear" w:color="auto" w:fill="FFFFFF"/>
        <w:jc w:val="center"/>
        <w:rPr>
          <w:rFonts w:ascii="Verdana" w:hAnsi="Verdana" w:cs="Calibri"/>
          <w:sz w:val="18"/>
          <w:szCs w:val="18"/>
        </w:rPr>
      </w:pPr>
    </w:p>
    <w:p w:rsidR="005C3F63" w:rsidRDefault="006536E7">
      <w:pPr>
        <w:spacing w:after="120"/>
        <w:rPr>
          <w:rFonts w:ascii="Verdana" w:hAnsi="Verdana"/>
          <w:i/>
          <w:sz w:val="20"/>
          <w:szCs w:val="20"/>
          <w:lang w:val="uk-UA"/>
        </w:rPr>
      </w:pPr>
      <w:r>
        <w:rPr>
          <w:rFonts w:ascii="Verdana" w:hAnsi="Verdana"/>
          <w:b/>
          <w:sz w:val="20"/>
          <w:szCs w:val="20"/>
          <w:lang w:val="uk-UA"/>
        </w:rPr>
        <w:t>Abstract</w:t>
      </w:r>
      <w:r>
        <w:rPr>
          <w:rFonts w:ascii="Verdana" w:hAnsi="Verdana"/>
          <w:b/>
          <w:sz w:val="20"/>
          <w:szCs w:val="20"/>
        </w:rPr>
        <w:t xml:space="preserve"> </w:t>
      </w:r>
      <w:r>
        <w:rPr>
          <w:rFonts w:ascii="Verdana" w:hAnsi="Verdana"/>
          <w:i/>
          <w:sz w:val="20"/>
          <w:szCs w:val="20"/>
          <w:lang w:val="uk-UA"/>
        </w:rPr>
        <w:t xml:space="preserve">The theoretical and practical significance of the problem of conducting a social audit by agricultural enterprises in the south of Ukraine has been studied. The factors that inhibit the processes of social audit by agricultural enterprises are identified. There are three groups of enterprises, according to the level of social responsibility. The dependence </w:t>
      </w:r>
      <w:r>
        <w:rPr>
          <w:rFonts w:ascii="Verdana" w:hAnsi="Verdana"/>
          <w:i/>
          <w:sz w:val="20"/>
          <w:szCs w:val="20"/>
        </w:rPr>
        <w:t xml:space="preserve">between </w:t>
      </w:r>
      <w:r>
        <w:rPr>
          <w:rFonts w:ascii="Verdana" w:hAnsi="Verdana"/>
          <w:i/>
          <w:sz w:val="20"/>
          <w:szCs w:val="20"/>
          <w:lang w:val="uk-UA"/>
        </w:rPr>
        <w:t>the level of social responsibility formation and the resource provision of agricultural enterprises is analyzed.</w:t>
      </w:r>
    </w:p>
    <w:p w:rsidR="005C3F63" w:rsidRDefault="005C3F63">
      <w:pPr>
        <w:spacing w:after="120"/>
        <w:rPr>
          <w:rFonts w:ascii="Verdana" w:hAnsi="Verdana"/>
          <w:b/>
          <w:sz w:val="20"/>
          <w:szCs w:val="20"/>
          <w:lang w:val="uk-UA"/>
        </w:rPr>
      </w:pPr>
    </w:p>
    <w:p w:rsidR="005C3F63" w:rsidRDefault="006536E7">
      <w:pPr>
        <w:spacing w:after="120"/>
        <w:rPr>
          <w:rFonts w:ascii="Verdana" w:hAnsi="Verdana"/>
          <w:i/>
          <w:sz w:val="20"/>
          <w:szCs w:val="20"/>
        </w:rPr>
      </w:pPr>
      <w:r>
        <w:rPr>
          <w:rFonts w:ascii="Verdana" w:hAnsi="Verdana"/>
          <w:b/>
          <w:sz w:val="20"/>
          <w:szCs w:val="20"/>
        </w:rPr>
        <w:t xml:space="preserve">Key words: </w:t>
      </w:r>
      <w:r>
        <w:rPr>
          <w:rFonts w:ascii="Verdana" w:hAnsi="Verdana"/>
          <w:i/>
          <w:sz w:val="20"/>
          <w:szCs w:val="20"/>
        </w:rPr>
        <w:t>agricultural enterprises, audit, social responsibility, assessment, method</w:t>
      </w:r>
    </w:p>
    <w:p w:rsidR="005C3F63" w:rsidRDefault="006536E7">
      <w:pPr>
        <w:spacing w:after="120"/>
        <w:rPr>
          <w:rFonts w:ascii="Verdana" w:hAnsi="Verdana"/>
          <w:i/>
          <w:sz w:val="20"/>
          <w:szCs w:val="20"/>
          <w:lang w:val="uk-UA"/>
        </w:rPr>
      </w:pPr>
      <w:r>
        <w:rPr>
          <w:rFonts w:ascii="Verdana" w:hAnsi="Verdana"/>
          <w:bCs/>
          <w:sz w:val="20"/>
          <w:szCs w:val="20"/>
        </w:rPr>
        <w:t>JEL c</w:t>
      </w:r>
      <w:r>
        <w:rPr>
          <w:rFonts w:ascii="Verdana" w:hAnsi="Verdana"/>
          <w:bCs/>
          <w:sz w:val="20"/>
          <w:szCs w:val="20"/>
          <w:lang w:val="sk-SK"/>
        </w:rPr>
        <w:t>odes</w:t>
      </w:r>
      <w:r>
        <w:rPr>
          <w:rFonts w:ascii="Verdana" w:hAnsi="Verdana"/>
          <w:bCs/>
          <w:sz w:val="20"/>
          <w:szCs w:val="20"/>
        </w:rPr>
        <w:t xml:space="preserve">: </w:t>
      </w:r>
      <w:r>
        <w:rPr>
          <w:rFonts w:ascii="Verdana" w:hAnsi="Verdana"/>
          <w:i/>
          <w:sz w:val="20"/>
          <w:szCs w:val="20"/>
        </w:rPr>
        <w:t>M14; M4</w:t>
      </w:r>
      <w:r>
        <w:rPr>
          <w:rFonts w:ascii="Verdana" w:hAnsi="Verdana"/>
          <w:i/>
          <w:sz w:val="20"/>
          <w:szCs w:val="20"/>
          <w:lang w:val="uk-UA"/>
        </w:rPr>
        <w:t>1</w:t>
      </w:r>
      <w:r>
        <w:rPr>
          <w:rFonts w:ascii="Verdana" w:hAnsi="Verdana"/>
          <w:b/>
          <w:i/>
          <w:sz w:val="20"/>
          <w:szCs w:val="20"/>
          <w:lang w:val="uk-UA"/>
        </w:rPr>
        <w:t>;</w:t>
      </w:r>
      <w:r>
        <w:rPr>
          <w:rFonts w:ascii="Verdana" w:hAnsi="Verdana"/>
          <w:i/>
          <w:sz w:val="20"/>
          <w:szCs w:val="20"/>
        </w:rPr>
        <w:t xml:space="preserve"> O18</w:t>
      </w:r>
      <w:r>
        <w:rPr>
          <w:rFonts w:ascii="Verdana" w:hAnsi="Verdana"/>
          <w:i/>
          <w:sz w:val="20"/>
          <w:szCs w:val="20"/>
          <w:lang w:val="uk-UA"/>
        </w:rPr>
        <w:t>;</w:t>
      </w:r>
      <w:r>
        <w:rPr>
          <w:rFonts w:ascii="Verdana" w:hAnsi="Verdana"/>
          <w:i/>
          <w:sz w:val="20"/>
          <w:szCs w:val="20"/>
        </w:rPr>
        <w:t xml:space="preserve"> Q12</w:t>
      </w:r>
      <w:r>
        <w:rPr>
          <w:rFonts w:ascii="Verdana" w:hAnsi="Verdana"/>
          <w:i/>
          <w:sz w:val="20"/>
          <w:szCs w:val="20"/>
          <w:lang w:val="uk-UA"/>
        </w:rPr>
        <w:t>.</w:t>
      </w:r>
    </w:p>
    <w:p w:rsidR="005C3F63" w:rsidRDefault="005C3F63">
      <w:pPr>
        <w:spacing w:after="120"/>
        <w:rPr>
          <w:rFonts w:ascii="Verdana" w:hAnsi="Verdana"/>
          <w:sz w:val="20"/>
          <w:szCs w:val="20"/>
          <w:lang w:val="uk-UA"/>
        </w:rPr>
      </w:pPr>
    </w:p>
    <w:p w:rsidR="005C3F63" w:rsidRDefault="006536E7">
      <w:pPr>
        <w:spacing w:after="120"/>
        <w:rPr>
          <w:rFonts w:ascii="Verdana" w:hAnsi="Verdana"/>
          <w:b/>
          <w:sz w:val="20"/>
          <w:szCs w:val="20"/>
        </w:rPr>
      </w:pPr>
      <w:r>
        <w:rPr>
          <w:rFonts w:ascii="Verdana" w:hAnsi="Verdana"/>
          <w:b/>
          <w:sz w:val="20"/>
          <w:szCs w:val="20"/>
        </w:rPr>
        <w:t>1 Introduction</w:t>
      </w:r>
    </w:p>
    <w:p w:rsidR="005C3F63" w:rsidRDefault="006536E7">
      <w:pPr>
        <w:spacing w:after="120"/>
        <w:rPr>
          <w:rFonts w:ascii="Verdana" w:hAnsi="Verdana"/>
          <w:sz w:val="20"/>
          <w:szCs w:val="20"/>
        </w:rPr>
      </w:pPr>
      <w:r>
        <w:rPr>
          <w:rFonts w:ascii="Verdana" w:hAnsi="Verdana"/>
          <w:sz w:val="20"/>
          <w:szCs w:val="20"/>
        </w:rPr>
        <w:t>Over the past decades, more and more agricultural enterprises position their activities as socially responsible. This raises the question of measuring this performance. Considering that the institution of the social responsibility effectiveness assessment is only at the stage of development, a unified universal assessment mechanism has not yet been developed. At the same time, social audit is becoming increasingly popular in this area as a method of the social responsibility effectiveness assessment.</w:t>
      </w:r>
    </w:p>
    <w:p w:rsidR="005C3F63" w:rsidRDefault="006536E7">
      <w:pPr>
        <w:spacing w:after="120"/>
        <w:rPr>
          <w:rFonts w:ascii="Verdana" w:hAnsi="Verdana"/>
          <w:sz w:val="20"/>
          <w:szCs w:val="20"/>
        </w:rPr>
      </w:pPr>
      <w:r>
        <w:rPr>
          <w:rFonts w:ascii="Verdana" w:hAnsi="Verdana"/>
          <w:sz w:val="20"/>
          <w:szCs w:val="20"/>
        </w:rPr>
        <w:t>The audit of the social responsibility effectiveness as an effective tool for its assessment becomes multi-level and can be applied not only on the scale of the national economy, industry or region, but also in the practice of individual enterprises of various industries. The agrarian sector of the country's economy is characterized by sufficient resource and economic potential, however, the irrational structure of nature management, resource and energy intensity of technologies, low economic efficiency, large financial costs do not allow an effective development. That is why social responsibility is one of the effective directions of development, which provides a fundamentally new combination of factors in the process of functioning of enterprises in the agricultural sector. In Ukraine, unfortunately, the relevant legislative regulation of social audit has not been created, therefore, only some agricultural enterprises are potential customers of this kind of inspections.</w:t>
      </w:r>
    </w:p>
    <w:p w:rsidR="005C3F63" w:rsidRDefault="006536E7">
      <w:pPr>
        <w:spacing w:after="120"/>
        <w:rPr>
          <w:rFonts w:ascii="Verdana" w:hAnsi="Verdana"/>
          <w:sz w:val="20"/>
          <w:szCs w:val="20"/>
        </w:rPr>
      </w:pPr>
      <w:r>
        <w:rPr>
          <w:rFonts w:ascii="Verdana" w:hAnsi="Verdana"/>
          <w:sz w:val="20"/>
          <w:szCs w:val="20"/>
        </w:rPr>
        <w:t>At the same time, taking into consideration conditions of economic uncertainty, the advancement of agricultural entities to international markets and the imbalanced development of the economic and social spheres, the methodological tools for the social responsibility effectiveness assessment of agricultural enterprises, including social audit, have been studied fragmentarily, which requires scientific generalization, systematization and identification of promising development directions for the social responsibility effectiveness assessment.</w:t>
      </w:r>
    </w:p>
    <w:p w:rsidR="005C3F63" w:rsidRDefault="005C3F63">
      <w:pPr>
        <w:spacing w:after="120"/>
        <w:rPr>
          <w:rFonts w:ascii="Verdana" w:hAnsi="Verdana"/>
          <w:sz w:val="20"/>
          <w:szCs w:val="20"/>
        </w:rPr>
      </w:pPr>
    </w:p>
    <w:p w:rsidR="005C3F63" w:rsidRDefault="005C3F63">
      <w:pPr>
        <w:spacing w:after="120"/>
        <w:rPr>
          <w:rFonts w:ascii="Verdana" w:hAnsi="Verdana"/>
          <w:b/>
          <w:sz w:val="20"/>
          <w:szCs w:val="20"/>
        </w:rPr>
      </w:pPr>
    </w:p>
    <w:p w:rsidR="005C3F63" w:rsidRDefault="006536E7">
      <w:pPr>
        <w:spacing w:after="120"/>
        <w:rPr>
          <w:rFonts w:ascii="Verdana" w:hAnsi="Verdana"/>
          <w:b/>
          <w:sz w:val="20"/>
          <w:szCs w:val="20"/>
        </w:rPr>
      </w:pPr>
      <w:r>
        <w:rPr>
          <w:rFonts w:ascii="Verdana" w:hAnsi="Verdana"/>
          <w:b/>
          <w:sz w:val="20"/>
          <w:szCs w:val="20"/>
        </w:rPr>
        <w:lastRenderedPageBreak/>
        <w:t>2 Methodology and Data</w:t>
      </w:r>
    </w:p>
    <w:p w:rsidR="005C3F63" w:rsidRDefault="006536E7">
      <w:pPr>
        <w:spacing w:after="120"/>
        <w:rPr>
          <w:rFonts w:ascii="Verdana" w:hAnsi="Verdana"/>
          <w:sz w:val="20"/>
          <w:szCs w:val="20"/>
        </w:rPr>
      </w:pPr>
      <w:r>
        <w:rPr>
          <w:rFonts w:ascii="Verdana" w:hAnsi="Verdana"/>
          <w:sz w:val="20"/>
          <w:szCs w:val="20"/>
        </w:rPr>
        <w:t>Socially responsible activity of agricultural enterprises becomes the basis for their effective functioning and development in the future. Thus, an urgent issue is the analysis of methods for measuring the results of social events in order to determine the effectiveness of the socially responsible activities of an enterprise in order to develop a strategy for the coming period. We propose to use social audit as one of such methods. The methodological basis of this research are the following the theory of systems, the theory of economic development, scientific works of foreign and domestic scientists on the formation of social responsibility. Investigating various methods of the social responsibility effectiveness assessment of enterprises' activity, it can be argued that a large number of specialists give preference to assessing the areas of social responsibility. Vorona A. (2010) argues that the implementation of socially responsible activities brings certain results to the enterprise: economic, social, image. In the works of N. Nenashev (2008) and N. Shmigol (2010), the author's approaches to assessing the effectiveness in the main areas of socially responsible activity are considered. A system of indicators has been developed for each area. In their articles, one can find such indicators used in assessing the effectiveness of social responsibility in areas such as: cost, effective, structural, and efficient. In our opinion, the proposed indicators are heterogeneous - cost and natural, absolute and relative - which makes it impossible to conduct an objective assessment of the effectiveness of social responsibility activities among a group of enterprises. The team of authors Juhaszova, Zuzana (2019) as the final internal document of the enterprise, according to the assessment of social responsibility, reasonably considers the forms of non-financial reporting.</w:t>
      </w:r>
    </w:p>
    <w:p w:rsidR="005C3F63" w:rsidRDefault="006536E7">
      <w:pPr>
        <w:spacing w:after="120"/>
        <w:rPr>
          <w:rFonts w:ascii="Verdana" w:hAnsi="Verdana"/>
          <w:sz w:val="20"/>
          <w:szCs w:val="20"/>
        </w:rPr>
      </w:pPr>
      <w:r>
        <w:rPr>
          <w:rFonts w:ascii="Verdana" w:hAnsi="Verdana"/>
          <w:sz w:val="20"/>
          <w:szCs w:val="20"/>
        </w:rPr>
        <w:t>To achieve the goal of the study - to determine the advisability of using audit as one of the methods of the social responsibility effectiveness assessment of agricultural enterprises, we used general scientific and special methods, in particular: groupings (when assessing the effectiveness of social responsibility of agricultural enterprises with different levels of use of available resources in groups of enterprises) the method of comparisons (comparison of indicators for assessing the compliance of resource provision of agricultural enterprises with the level of formation of their social responsibility) a sociological method, namely, its method of questioning (when determining the proportion of factors that inhibit the process of social audit in agricultural enterprises). Currently, social audit has become a stable system, with its inherent characteristics, procedures, technologies, as well as its own specific problems and methods of solving them.</w:t>
      </w:r>
    </w:p>
    <w:p w:rsidR="005C3F63" w:rsidRDefault="006536E7">
      <w:pPr>
        <w:spacing w:after="120"/>
        <w:rPr>
          <w:rFonts w:ascii="Verdana" w:hAnsi="Verdana"/>
          <w:sz w:val="20"/>
          <w:szCs w:val="20"/>
          <w:lang w:val="uk-UA"/>
        </w:rPr>
      </w:pPr>
      <w:r>
        <w:rPr>
          <w:rFonts w:ascii="Verdana" w:hAnsi="Verdana"/>
          <w:sz w:val="20"/>
          <w:szCs w:val="20"/>
        </w:rPr>
        <w:t xml:space="preserve">However, as our research has shown, not all agricultural enterprises, even those that carry out social activities, are ready to carry out social audit procedures. </w:t>
      </w:r>
      <w:r>
        <w:rPr>
          <w:rFonts w:ascii="Verdana" w:hAnsi="Verdana"/>
          <w:sz w:val="20"/>
          <w:szCs w:val="20"/>
          <w:lang w:val="uk-UA"/>
        </w:rPr>
        <w:t xml:space="preserve">Among the surveyed almost 40 agricultural enterprises of Mykolayiv and Kherson regions, the following are submitted </w:t>
      </w:r>
      <w:r>
        <w:rPr>
          <w:rFonts w:ascii="Verdana" w:hAnsi="Verdana"/>
          <w:sz w:val="20"/>
          <w:szCs w:val="20"/>
        </w:rPr>
        <w:t xml:space="preserve">their </w:t>
      </w:r>
      <w:r>
        <w:rPr>
          <w:rFonts w:ascii="Verdana" w:hAnsi="Verdana"/>
          <w:sz w:val="20"/>
          <w:szCs w:val="20"/>
          <w:lang w:val="uk-UA"/>
        </w:rPr>
        <w:t xml:space="preserve">social reports: "Agrofussion" is an enterprise located in Mykolayiv and Kherson </w:t>
      </w:r>
      <w:r>
        <w:rPr>
          <w:rFonts w:ascii="Verdana" w:hAnsi="Verdana"/>
          <w:sz w:val="20"/>
          <w:szCs w:val="20"/>
        </w:rPr>
        <w:t>region</w:t>
      </w:r>
      <w:r>
        <w:rPr>
          <w:rFonts w:ascii="Verdana" w:hAnsi="Verdana"/>
          <w:sz w:val="20"/>
          <w:szCs w:val="20"/>
          <w:lang w:val="uk-UA"/>
        </w:rPr>
        <w:t xml:space="preserve">s. The main vector of social responsibility is the rationalization of energy use, minimization of water consumption, ensuring high quality </w:t>
      </w:r>
      <w:r>
        <w:rPr>
          <w:rFonts w:ascii="Verdana" w:hAnsi="Verdana"/>
          <w:sz w:val="20"/>
          <w:szCs w:val="20"/>
        </w:rPr>
        <w:t xml:space="preserve">of the </w:t>
      </w:r>
      <w:r>
        <w:rPr>
          <w:rFonts w:ascii="Verdana" w:hAnsi="Verdana"/>
          <w:sz w:val="20"/>
          <w:szCs w:val="20"/>
          <w:lang w:val="uk-UA"/>
        </w:rPr>
        <w:t xml:space="preserve">products at the appropriate level of environmental policy; LLC "Nibulon" - has land resources in about 12 regions of Ukraine, the social component of the company provides decent working conditions for staff, a special place belongs to the provision of proper basic education, infrastructure development of the Ukrainian countryside. Social activity is </w:t>
      </w:r>
      <w:r>
        <w:rPr>
          <w:rFonts w:ascii="Verdana" w:hAnsi="Verdana"/>
          <w:sz w:val="20"/>
          <w:szCs w:val="20"/>
        </w:rPr>
        <w:t xml:space="preserve">also </w:t>
      </w:r>
      <w:r>
        <w:rPr>
          <w:rFonts w:ascii="Verdana" w:hAnsi="Verdana"/>
          <w:sz w:val="20"/>
          <w:szCs w:val="20"/>
          <w:lang w:val="uk-UA"/>
        </w:rPr>
        <w:t xml:space="preserve">carried out at the appropriate level in the following enterprises: LLC "Ray" of Novoodesky district, LLC "Novosillya" of Kazanka district, LLC "Golden Ear" of Vitovsky district, LLC named after T.G. Shevchenko Bereznehuvatsky district, JSC "Vradiyivsky" Vradiyivsky district, TzDV "Southern Ear" Novoodesky district - these companies do not form separate social reports, but there are some areas of "Labor Report", etc.. There is an objective need to develop more thorough standards for evaluating and comparing enterprises in terms of social responsibility. At the same time, the survey revealed the following factors hindering </w:t>
      </w:r>
      <w:r>
        <w:rPr>
          <w:rFonts w:ascii="Verdana" w:hAnsi="Verdana"/>
          <w:sz w:val="20"/>
          <w:szCs w:val="20"/>
        </w:rPr>
        <w:t>usage</w:t>
      </w:r>
      <w:r>
        <w:rPr>
          <w:rFonts w:ascii="Verdana" w:hAnsi="Verdana"/>
          <w:sz w:val="20"/>
          <w:szCs w:val="20"/>
          <w:lang w:val="uk-UA"/>
        </w:rPr>
        <w:t xml:space="preserve"> of social audit by these enterprises.</w:t>
      </w:r>
    </w:p>
    <w:p w:rsidR="005C3F63" w:rsidRDefault="005C3F63">
      <w:pPr>
        <w:spacing w:after="120"/>
        <w:ind w:firstLine="567"/>
        <w:rPr>
          <w:rFonts w:ascii="Verdana" w:hAnsi="Verdana"/>
          <w:sz w:val="20"/>
          <w:szCs w:val="20"/>
          <w:lang w:val="uk-UA"/>
        </w:rPr>
      </w:pPr>
    </w:p>
    <w:p w:rsidR="005C3F63" w:rsidRDefault="005C3F63">
      <w:pPr>
        <w:spacing w:after="120"/>
        <w:ind w:firstLine="567"/>
        <w:rPr>
          <w:rFonts w:ascii="Verdana" w:hAnsi="Verdana"/>
          <w:sz w:val="20"/>
          <w:szCs w:val="20"/>
          <w:lang w:val="uk-UA"/>
        </w:rPr>
      </w:pPr>
    </w:p>
    <w:p w:rsidR="005C3F63" w:rsidRDefault="006536E7">
      <w:pPr>
        <w:spacing w:after="120"/>
        <w:ind w:firstLine="567"/>
        <w:jc w:val="center"/>
        <w:rPr>
          <w:rFonts w:ascii="Verdana" w:hAnsi="Verdana"/>
          <w:sz w:val="20"/>
          <w:szCs w:val="20"/>
        </w:rPr>
      </w:pPr>
      <w:r>
        <w:rPr>
          <w:rFonts w:ascii="Verdana" w:hAnsi="Verdana"/>
          <w:b/>
          <w:sz w:val="20"/>
          <w:szCs w:val="20"/>
        </w:rPr>
        <w:lastRenderedPageBreak/>
        <w:t>Figure 1.</w:t>
      </w:r>
      <w:r>
        <w:t xml:space="preserve"> </w:t>
      </w:r>
      <w:r>
        <w:rPr>
          <w:rFonts w:ascii="Verdana" w:hAnsi="Verdana"/>
          <w:sz w:val="20"/>
          <w:szCs w:val="20"/>
        </w:rPr>
        <w:t>The share of factors, which slow down the process of the social audit implementation in agricultural enterprises in the south of Ukraine, 2019,%</w:t>
      </w:r>
    </w:p>
    <w:p w:rsidR="005C3F63" w:rsidRDefault="006536E7">
      <w:pPr>
        <w:spacing w:after="120"/>
        <w:ind w:firstLine="567"/>
        <w:jc w:val="center"/>
      </w:pPr>
      <w:r>
        <w:rPr>
          <w:noProof/>
          <w:lang w:val="uk-UA" w:eastAsia="uk-UA" w:bidi="ar-SA"/>
        </w:rPr>
        <w:drawing>
          <wp:inline distT="0" distB="0" distL="0" distR="0">
            <wp:extent cx="5761355" cy="2867025"/>
            <wp:effectExtent l="0" t="0" r="0" b="0"/>
            <wp:docPr id="14" name="Graf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5C3F63" w:rsidRDefault="006536E7">
      <w:pPr>
        <w:spacing w:after="120"/>
        <w:ind w:firstLine="567"/>
        <w:rPr>
          <w:rFonts w:ascii="Verdana" w:hAnsi="Verdana"/>
          <w:sz w:val="20"/>
          <w:szCs w:val="20"/>
        </w:rPr>
      </w:pPr>
      <w:r>
        <w:rPr>
          <w:rFonts w:ascii="Verdana" w:hAnsi="Verdana"/>
          <w:sz w:val="20"/>
        </w:rPr>
        <w:t xml:space="preserve">Compiled by the author </w:t>
      </w:r>
    </w:p>
    <w:p w:rsidR="005C3F63" w:rsidRDefault="006536E7">
      <w:pPr>
        <w:spacing w:after="120"/>
        <w:rPr>
          <w:rFonts w:ascii="Verdana" w:hAnsi="Verdana"/>
          <w:sz w:val="20"/>
          <w:szCs w:val="20"/>
        </w:rPr>
      </w:pPr>
      <w:r>
        <w:rPr>
          <w:rFonts w:ascii="Verdana" w:hAnsi="Verdana"/>
          <w:sz w:val="20"/>
          <w:szCs w:val="20"/>
        </w:rPr>
        <w:t>Thus, it was revealed that there are practically the same factors for almost all enterprises that hinder the implementation of social audit. We have determined the structure of the most common factors inhibiting this process in the investigated agricultural enterprises in the south of Ukraine (Fig. 1). According to the assessment of the managers of agricultural enterprises, the reluctance to conduct a social audit is mainly due to the fear of the transparency of their own activities (43.4%), the conservatism of the personnel (36.1%), and the lack of funds (31.5%).</w:t>
      </w:r>
    </w:p>
    <w:p w:rsidR="005C3F63" w:rsidRDefault="006536E7">
      <w:pPr>
        <w:spacing w:after="120"/>
        <w:rPr>
          <w:rFonts w:ascii="Verdana" w:hAnsi="Verdana"/>
          <w:sz w:val="20"/>
          <w:szCs w:val="20"/>
          <w:lang w:val="zh-CN"/>
        </w:rPr>
      </w:pPr>
      <w:r>
        <w:rPr>
          <w:rFonts w:ascii="Verdana" w:hAnsi="Verdana"/>
          <w:sz w:val="20"/>
          <w:szCs w:val="20"/>
          <w:lang w:val="zh-CN"/>
        </w:rPr>
        <w:t xml:space="preserve">In modern conditions, the development of an agricultural enterprise depends on the available resources, an effective mechanism for </w:t>
      </w:r>
      <w:r>
        <w:rPr>
          <w:rFonts w:ascii="Verdana" w:hAnsi="Verdana"/>
          <w:sz w:val="20"/>
          <w:szCs w:val="20"/>
        </w:rPr>
        <w:t>their</w:t>
      </w:r>
      <w:r>
        <w:rPr>
          <w:rFonts w:ascii="Verdana" w:hAnsi="Verdana"/>
          <w:sz w:val="20"/>
          <w:szCs w:val="20"/>
          <w:lang w:val="zh-CN"/>
        </w:rPr>
        <w:t xml:space="preserve"> formation, use and reproduction. Various evaluation criteria and research methods are used to identify the level of </w:t>
      </w:r>
      <w:r>
        <w:rPr>
          <w:rFonts w:ascii="Verdana" w:hAnsi="Verdana"/>
          <w:sz w:val="20"/>
          <w:szCs w:val="20"/>
        </w:rPr>
        <w:t xml:space="preserve">the </w:t>
      </w:r>
      <w:r>
        <w:rPr>
          <w:rFonts w:ascii="Verdana" w:hAnsi="Verdana"/>
          <w:sz w:val="20"/>
          <w:szCs w:val="20"/>
          <w:lang w:val="zh-CN"/>
        </w:rPr>
        <w:t>social activity formation and development of an agricultural enterprise. In order to assess the effectiveness of social responsibility of agricultural enterprises in the region, we consider it</w:t>
      </w:r>
      <w:r>
        <w:rPr>
          <w:rFonts w:ascii="Verdana" w:hAnsi="Verdana"/>
          <w:sz w:val="20"/>
          <w:szCs w:val="20"/>
        </w:rPr>
        <w:t>’s</w:t>
      </w:r>
      <w:r>
        <w:rPr>
          <w:rFonts w:ascii="Verdana" w:hAnsi="Verdana"/>
          <w:sz w:val="20"/>
          <w:szCs w:val="20"/>
          <w:lang w:val="zh-CN"/>
        </w:rPr>
        <w:t xml:space="preserve"> appropriate to divide them into 3 groups according to participation in social processes, which will, firstly, assess the scope of social activities in the agricultural sector, and secondly, analyze existing resource potential of the agricultural enterprises with different levels of social activity, thirdly, offer further directions </w:t>
      </w:r>
      <w:r>
        <w:rPr>
          <w:rFonts w:ascii="Verdana" w:hAnsi="Verdana"/>
          <w:sz w:val="20"/>
          <w:szCs w:val="20"/>
        </w:rPr>
        <w:t>for the social responsibility effectiveness assessment</w:t>
      </w:r>
      <w:r>
        <w:rPr>
          <w:rFonts w:ascii="Verdana" w:hAnsi="Verdana"/>
          <w:sz w:val="20"/>
          <w:szCs w:val="20"/>
          <w:lang w:val="zh-CN"/>
        </w:rPr>
        <w:t xml:space="preserve"> of agricultural enterprises.</w:t>
      </w:r>
    </w:p>
    <w:p w:rsidR="005C3F63" w:rsidRDefault="005C3F63">
      <w:pPr>
        <w:spacing w:after="120"/>
        <w:rPr>
          <w:rFonts w:ascii="Verdana" w:hAnsi="Verdana"/>
          <w:bCs/>
          <w:sz w:val="20"/>
          <w:szCs w:val="20"/>
          <w:lang w:val="uk-UA"/>
        </w:rPr>
      </w:pPr>
    </w:p>
    <w:p w:rsidR="005C3F63" w:rsidRDefault="006536E7">
      <w:pPr>
        <w:spacing w:after="120"/>
        <w:rPr>
          <w:rFonts w:ascii="Verdana" w:hAnsi="Verdana"/>
          <w:sz w:val="20"/>
          <w:szCs w:val="20"/>
        </w:rPr>
      </w:pPr>
      <w:r>
        <w:rPr>
          <w:rFonts w:ascii="Verdana" w:hAnsi="Verdana"/>
          <w:b/>
          <w:sz w:val="20"/>
          <w:szCs w:val="20"/>
        </w:rPr>
        <w:t>3 Results</w:t>
      </w:r>
      <w:r>
        <w:rPr>
          <w:rFonts w:ascii="Verdana" w:hAnsi="Verdana"/>
          <w:b/>
          <w:sz w:val="20"/>
          <w:szCs w:val="20"/>
          <w:lang w:val="uk-UA"/>
        </w:rPr>
        <w:t xml:space="preserve"> </w:t>
      </w:r>
      <w:r>
        <w:rPr>
          <w:rFonts w:ascii="Verdana" w:hAnsi="Verdana"/>
          <w:b/>
          <w:sz w:val="20"/>
          <w:szCs w:val="20"/>
        </w:rPr>
        <w:t>and Discussion</w:t>
      </w:r>
    </w:p>
    <w:p w:rsidR="005C3F63" w:rsidRDefault="006536E7">
      <w:pPr>
        <w:spacing w:after="120"/>
        <w:rPr>
          <w:rFonts w:ascii="Verdana" w:hAnsi="Verdana"/>
          <w:bCs/>
          <w:sz w:val="20"/>
          <w:szCs w:val="20"/>
        </w:rPr>
      </w:pPr>
      <w:r>
        <w:rPr>
          <w:rFonts w:ascii="Verdana" w:hAnsi="Verdana"/>
          <w:bCs/>
          <w:sz w:val="20"/>
          <w:szCs w:val="20"/>
        </w:rPr>
        <w:t xml:space="preserve">To determine the social activity of an agricultural enterprise, it is important to assess the compliance of its resource potential with the level of involvement in the formation of social responsibility. Evaluation of the </w:t>
      </w:r>
      <w:r>
        <w:rPr>
          <w:rFonts w:ascii="Verdana" w:hAnsi="Verdana"/>
          <w:sz w:val="20"/>
          <w:szCs w:val="20"/>
        </w:rPr>
        <w:t xml:space="preserve">social responsibility effectiveness </w:t>
      </w:r>
      <w:r>
        <w:rPr>
          <w:rFonts w:ascii="Verdana" w:hAnsi="Verdana"/>
          <w:bCs/>
          <w:sz w:val="20"/>
          <w:szCs w:val="20"/>
        </w:rPr>
        <w:t>of an enterprise during the social audit is carried out on the basis of a set of indicators characterizing the capabilities of an enterprise in forming social responsibility, in order to establish the degree of compliance of resources and search reserves for the social development strategy implementation.</w:t>
      </w:r>
    </w:p>
    <w:p w:rsidR="005C3F63" w:rsidRDefault="006536E7">
      <w:pPr>
        <w:spacing w:after="120"/>
        <w:rPr>
          <w:rFonts w:ascii="Verdana" w:hAnsi="Verdana"/>
          <w:bCs/>
          <w:sz w:val="20"/>
          <w:szCs w:val="20"/>
          <w:lang w:val="uk-UA"/>
        </w:rPr>
      </w:pPr>
      <w:r>
        <w:rPr>
          <w:rFonts w:ascii="Verdana" w:hAnsi="Verdana"/>
          <w:bCs/>
          <w:sz w:val="20"/>
          <w:szCs w:val="20"/>
          <w:lang w:val="uk-UA"/>
        </w:rPr>
        <w:t xml:space="preserve">The agricultural enterprises of group I "Enterprises with high social responsibility" are the subjects of a large cycle of the social development process, whose social activities include: patronage, development of local social responsibility strategy, public relations, environmental orientation, non-financial reporting. Agricultural enterprises of group II "Enterprises with sufficient social responsibility" implement certain social programs, introduce social packages, stimulate professional development of employees. The </w:t>
      </w:r>
      <w:r>
        <w:rPr>
          <w:rFonts w:ascii="Verdana" w:hAnsi="Verdana"/>
          <w:bCs/>
          <w:sz w:val="20"/>
          <w:szCs w:val="20"/>
          <w:lang w:val="uk-UA"/>
        </w:rPr>
        <w:lastRenderedPageBreak/>
        <w:t>enterprises of the II</w:t>
      </w:r>
      <w:r>
        <w:rPr>
          <w:rFonts w:ascii="Verdana" w:hAnsi="Verdana"/>
          <w:bCs/>
          <w:sz w:val="20"/>
          <w:szCs w:val="20"/>
        </w:rPr>
        <w:t>I</w:t>
      </w:r>
      <w:r>
        <w:rPr>
          <w:rFonts w:ascii="Verdana" w:hAnsi="Verdana"/>
          <w:bCs/>
          <w:sz w:val="20"/>
          <w:szCs w:val="20"/>
          <w:lang w:val="uk-UA"/>
        </w:rPr>
        <w:t xml:space="preserve"> group "Enterprises with basic social responsibility" pay taxes and pay wages on time, create favorable and safe working conditions.</w:t>
      </w:r>
    </w:p>
    <w:p w:rsidR="005C3F63" w:rsidRDefault="006536E7">
      <w:pPr>
        <w:spacing w:after="120"/>
        <w:ind w:firstLine="567"/>
        <w:jc w:val="center"/>
        <w:rPr>
          <w:rFonts w:ascii="Verdana" w:hAnsi="Verdana"/>
          <w:bCs/>
          <w:sz w:val="20"/>
          <w:szCs w:val="20"/>
        </w:rPr>
      </w:pPr>
      <w:r>
        <w:rPr>
          <w:rFonts w:ascii="Verdana" w:hAnsi="Verdana"/>
          <w:b/>
          <w:bCs/>
          <w:sz w:val="20"/>
          <w:szCs w:val="20"/>
        </w:rPr>
        <w:t>Figure 2.</w:t>
      </w:r>
      <w:r>
        <w:t xml:space="preserve"> </w:t>
      </w:r>
      <w:r>
        <w:rPr>
          <w:rFonts w:ascii="Verdana" w:hAnsi="Verdana"/>
          <w:bCs/>
          <w:sz w:val="20"/>
          <w:szCs w:val="20"/>
        </w:rPr>
        <w:t>Correlation between resource provision of agricultural enterprises in the south of Ukraine and their level of formation of local social responsibility</w:t>
      </w:r>
    </w:p>
    <w:p w:rsidR="005C3F63" w:rsidRDefault="006536E7">
      <w:pPr>
        <w:spacing w:after="120"/>
        <w:ind w:firstLine="567"/>
        <w:jc w:val="center"/>
        <w:rPr>
          <w:rFonts w:ascii="Verdana" w:hAnsi="Verdana"/>
          <w:bCs/>
          <w:sz w:val="20"/>
          <w:szCs w:val="20"/>
        </w:rPr>
      </w:pPr>
      <w:r>
        <w:rPr>
          <w:rFonts w:ascii="Verdana" w:hAnsi="Verdana"/>
          <w:bCs/>
          <w:noProof/>
          <w:sz w:val="20"/>
          <w:szCs w:val="20"/>
          <w:lang w:val="uk-UA" w:eastAsia="uk-UA" w:bidi="ar-SA"/>
        </w:rPr>
        <w:drawing>
          <wp:inline distT="0" distB="0" distL="0" distR="0">
            <wp:extent cx="5399405" cy="3761740"/>
            <wp:effectExtent l="0" t="0" r="0" b="0"/>
            <wp:docPr id="15" name="Obráze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Obrázek 1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a:xfrm>
                      <a:off x="0" y="0"/>
                      <a:ext cx="5399405" cy="3761740"/>
                    </a:xfrm>
                    <a:prstGeom prst="rect">
                      <a:avLst/>
                    </a:prstGeom>
                    <a:noFill/>
                  </pic:spPr>
                </pic:pic>
              </a:graphicData>
            </a:graphic>
          </wp:inline>
        </w:drawing>
      </w:r>
    </w:p>
    <w:p w:rsidR="005C3F63" w:rsidRDefault="006536E7">
      <w:pPr>
        <w:spacing w:after="120"/>
        <w:ind w:firstLine="567"/>
        <w:rPr>
          <w:rFonts w:ascii="Verdana" w:hAnsi="Verdana"/>
          <w:sz w:val="20"/>
          <w:szCs w:val="20"/>
        </w:rPr>
      </w:pPr>
      <w:r>
        <w:rPr>
          <w:rFonts w:ascii="Verdana" w:hAnsi="Verdana"/>
          <w:sz w:val="20"/>
        </w:rPr>
        <w:t xml:space="preserve">Compiled by the author </w:t>
      </w:r>
    </w:p>
    <w:p w:rsidR="005C3F63" w:rsidRDefault="006536E7">
      <w:pPr>
        <w:spacing w:after="120"/>
        <w:rPr>
          <w:rFonts w:ascii="Verdana" w:hAnsi="Verdana"/>
          <w:bCs/>
          <w:sz w:val="20"/>
          <w:szCs w:val="20"/>
        </w:rPr>
      </w:pPr>
      <w:r>
        <w:rPr>
          <w:rFonts w:ascii="Verdana" w:hAnsi="Verdana"/>
          <w:bCs/>
          <w:sz w:val="20"/>
          <w:szCs w:val="20"/>
        </w:rPr>
        <w:t>We proposed, during the social audit, to use the compliance of the resource provision of agricultural enterprises as an assessment of the social responsibility formation of the enterprise, which characterizes all the components of the available resource potential, namely, financial, labor, material and technical support, provision of land and information resources. We assessed the compliance of the resource provision of 38 agricultural enterprises in the south of Ukraine with the level of their social responsibility formation in the context of 3 groups (Fig. 2).</w:t>
      </w:r>
    </w:p>
    <w:p w:rsidR="005C3F63" w:rsidRDefault="006536E7">
      <w:pPr>
        <w:spacing w:after="120"/>
        <w:rPr>
          <w:rFonts w:ascii="Verdana" w:hAnsi="Verdana"/>
          <w:bCs/>
          <w:sz w:val="20"/>
          <w:szCs w:val="20"/>
        </w:rPr>
      </w:pPr>
      <w:r>
        <w:rPr>
          <w:rFonts w:ascii="Verdana" w:hAnsi="Verdana"/>
          <w:bCs/>
          <w:sz w:val="20"/>
          <w:szCs w:val="20"/>
        </w:rPr>
        <w:t>Thus, the implementation of the system of local social responsibility is mainly carried out by stable and large enterprises in the south of Ukraine, the main social priorities of which are timely payment of taxes and payment of wages to employees, the creation of favorable and safe working conditions, the introduction of social packages and social programs, the encouragement of staff training, patronage, the formation of non-financial reporting, which, affects the increase in the efficiency of using the resource potential in monetary terms. At the same time, most of the agricultural enterprises belong to group II “Enterprises with sufficient development of social responsibility”, whose indicators of the efficiency of using the resource potential are almost at the level of enterprises of group I “Enterprises with a high level of social responsibility development”. It is this group of enterprises that occupies a special niche in the process of diffusion of social programs. As these enterprises implement social programs, they act as a source of information for other agricultural enterprises, which, given the availability of financial resources, are ready to implement them, since it is the socially oriented development of the economy that makes it possible to ensure their competitiveness.</w:t>
      </w:r>
    </w:p>
    <w:p w:rsidR="005C3F63" w:rsidRDefault="006536E7">
      <w:pPr>
        <w:spacing w:after="120"/>
        <w:rPr>
          <w:rFonts w:ascii="Verdana" w:hAnsi="Verdana"/>
          <w:bCs/>
          <w:sz w:val="20"/>
          <w:szCs w:val="20"/>
        </w:rPr>
      </w:pPr>
      <w:r>
        <w:rPr>
          <w:rFonts w:ascii="Verdana" w:hAnsi="Verdana"/>
          <w:bCs/>
          <w:sz w:val="20"/>
          <w:szCs w:val="20"/>
        </w:rPr>
        <w:t xml:space="preserve">By using a well-founded methodology and a compiled questionnaire in the thematic area "Expert express assessment of local social responsibility of an agricultural enterprise, a </w:t>
      </w:r>
      <w:r>
        <w:rPr>
          <w:rFonts w:ascii="Verdana" w:hAnsi="Verdana"/>
          <w:bCs/>
          <w:sz w:val="20"/>
          <w:szCs w:val="20"/>
        </w:rPr>
        <w:lastRenderedPageBreak/>
        <w:t>survey with management of the agricultural enterprises was carried out to assess the compliance of resource provision with the level of their social responsibility formation."</w:t>
      </w:r>
    </w:p>
    <w:p w:rsidR="005C3F63" w:rsidRDefault="006536E7">
      <w:pPr>
        <w:spacing w:after="120"/>
        <w:rPr>
          <w:rFonts w:ascii="Verdana" w:hAnsi="Verdana"/>
          <w:bCs/>
          <w:sz w:val="20"/>
          <w:szCs w:val="20"/>
        </w:rPr>
      </w:pPr>
      <w:r>
        <w:rPr>
          <w:rFonts w:ascii="Verdana" w:hAnsi="Verdana"/>
          <w:bCs/>
          <w:sz w:val="20"/>
          <w:szCs w:val="20"/>
        </w:rPr>
        <w:t>The respondents are asked to answer the questions about the types of social activities, the sufficiency of the resource potential for the development of the social responsibility of the enterprise, the provision of the enterprise with financial resources, the necessary equipment, land resources, the level of qualifications and experience of employees, etc. To assess the local social responsibility of agricultural enterprises, a dynamic or static approach can be used for comparison. We have applied precisely the dynamic approach.</w:t>
      </w:r>
    </w:p>
    <w:p w:rsidR="005C3F63" w:rsidRDefault="006536E7">
      <w:pPr>
        <w:spacing w:after="120"/>
        <w:rPr>
          <w:rFonts w:ascii="Verdana" w:hAnsi="Verdana"/>
          <w:bCs/>
          <w:sz w:val="20"/>
          <w:szCs w:val="20"/>
        </w:rPr>
      </w:pPr>
      <w:r>
        <w:rPr>
          <w:rFonts w:ascii="Verdana" w:hAnsi="Verdana"/>
          <w:bCs/>
          <w:sz w:val="20"/>
          <w:szCs w:val="20"/>
        </w:rPr>
        <w:t>Comparison of the indicators of assessing the compliance of the resource provision of agricultural enterprises in the south of Ukraine with the level of their social responsibility formation indicates that in all 3 groups a high level of compliance is noted in terms of staffing and land resources.</w:t>
      </w:r>
    </w:p>
    <w:p w:rsidR="005C3F63" w:rsidRDefault="006536E7">
      <w:pPr>
        <w:spacing w:after="120"/>
        <w:rPr>
          <w:rFonts w:ascii="Verdana" w:hAnsi="Verdana"/>
          <w:bCs/>
          <w:sz w:val="20"/>
          <w:szCs w:val="20"/>
        </w:rPr>
      </w:pPr>
      <w:r>
        <w:rPr>
          <w:rFonts w:ascii="Verdana" w:hAnsi="Verdana"/>
          <w:bCs/>
          <w:sz w:val="20"/>
          <w:szCs w:val="20"/>
        </w:rPr>
        <w:t>For the formation of social responsibility of the studied agricultural enterprises, there are not enough financial, material resources and information support. To identify the causes of this situation, deeper analysis is required for each of the blocks of compliance of the resource provision of agricultural enterprises in the south of Ukraine with the level of their social responsibility formation.</w:t>
      </w:r>
    </w:p>
    <w:p w:rsidR="005C3F63" w:rsidRDefault="005C3F63">
      <w:pPr>
        <w:spacing w:after="120"/>
        <w:rPr>
          <w:rFonts w:ascii="Verdana" w:hAnsi="Verdana"/>
          <w:bCs/>
          <w:sz w:val="20"/>
          <w:szCs w:val="20"/>
        </w:rPr>
      </w:pPr>
    </w:p>
    <w:p w:rsidR="005C3F63" w:rsidRDefault="006536E7">
      <w:pPr>
        <w:spacing w:after="120"/>
        <w:rPr>
          <w:rFonts w:ascii="Verdana" w:hAnsi="Verdana"/>
          <w:b/>
          <w:sz w:val="20"/>
          <w:szCs w:val="20"/>
        </w:rPr>
      </w:pPr>
      <w:r>
        <w:rPr>
          <w:rFonts w:ascii="Verdana" w:hAnsi="Verdana"/>
          <w:b/>
          <w:sz w:val="20"/>
          <w:szCs w:val="20"/>
        </w:rPr>
        <w:t>Conclusions</w:t>
      </w:r>
    </w:p>
    <w:p w:rsidR="005C3F63" w:rsidRDefault="006536E7">
      <w:pPr>
        <w:spacing w:after="120"/>
        <w:rPr>
          <w:rFonts w:ascii="Verdana" w:hAnsi="Verdana"/>
          <w:sz w:val="20"/>
          <w:szCs w:val="20"/>
          <w:lang w:val="uk-UA"/>
        </w:rPr>
      </w:pPr>
      <w:r>
        <w:rPr>
          <w:rFonts w:ascii="Verdana" w:hAnsi="Verdana"/>
          <w:sz w:val="20"/>
          <w:szCs w:val="20"/>
          <w:lang w:val="uk-UA"/>
        </w:rPr>
        <w:t>According to the study, we consider it</w:t>
      </w:r>
      <w:r>
        <w:rPr>
          <w:rFonts w:ascii="Verdana" w:hAnsi="Verdana"/>
          <w:sz w:val="20"/>
          <w:szCs w:val="20"/>
        </w:rPr>
        <w:t>’s</w:t>
      </w:r>
      <w:r>
        <w:rPr>
          <w:rFonts w:ascii="Verdana" w:hAnsi="Verdana"/>
          <w:sz w:val="20"/>
          <w:szCs w:val="20"/>
          <w:lang w:val="uk-UA"/>
        </w:rPr>
        <w:t xml:space="preserve"> appropriate to use social audit as one of the methods of social responsibility </w:t>
      </w:r>
      <w:r>
        <w:rPr>
          <w:rFonts w:ascii="Verdana" w:hAnsi="Verdana"/>
          <w:sz w:val="20"/>
          <w:szCs w:val="20"/>
        </w:rPr>
        <w:t>assessment</w:t>
      </w:r>
      <w:r>
        <w:rPr>
          <w:rFonts w:ascii="Verdana" w:hAnsi="Verdana"/>
          <w:sz w:val="20"/>
          <w:szCs w:val="20"/>
          <w:lang w:val="uk-UA"/>
        </w:rPr>
        <w:t xml:space="preserve"> of agricultural enterprises </w:t>
      </w:r>
      <w:r>
        <w:rPr>
          <w:rFonts w:ascii="Verdana" w:hAnsi="Verdana"/>
          <w:sz w:val="20"/>
          <w:szCs w:val="20"/>
        </w:rPr>
        <w:t>for</w:t>
      </w:r>
      <w:r>
        <w:rPr>
          <w:rFonts w:ascii="Verdana" w:hAnsi="Verdana"/>
          <w:sz w:val="20"/>
          <w:szCs w:val="20"/>
          <w:lang w:val="uk-UA"/>
        </w:rPr>
        <w:t xml:space="preserve"> group I "Enterprises with high social responsibility". When conducting an audit of</w:t>
      </w:r>
      <w:r>
        <w:rPr>
          <w:rFonts w:ascii="Verdana" w:hAnsi="Verdana"/>
          <w:sz w:val="20"/>
          <w:szCs w:val="20"/>
        </w:rPr>
        <w:t xml:space="preserve"> the</w:t>
      </w:r>
      <w:r>
        <w:rPr>
          <w:rFonts w:ascii="Verdana" w:hAnsi="Verdana"/>
          <w:sz w:val="20"/>
          <w:szCs w:val="20"/>
          <w:lang w:val="uk-UA"/>
        </w:rPr>
        <w:t xml:space="preserve"> social responsibility assessment of agricultural enterprises, it is necessary to compare the resource provision of economic entities with their social activity, and highlight the following stages:</w:t>
      </w:r>
    </w:p>
    <w:p w:rsidR="005C3F63" w:rsidRDefault="006536E7">
      <w:pPr>
        <w:spacing w:after="120"/>
        <w:rPr>
          <w:rFonts w:ascii="Verdana" w:hAnsi="Verdana"/>
          <w:sz w:val="20"/>
          <w:szCs w:val="20"/>
          <w:lang w:val="uk-UA"/>
        </w:rPr>
      </w:pPr>
      <w:r>
        <w:rPr>
          <w:rFonts w:ascii="Verdana" w:hAnsi="Verdana"/>
          <w:sz w:val="20"/>
          <w:szCs w:val="20"/>
        </w:rPr>
        <w:t>S</w:t>
      </w:r>
      <w:r>
        <w:rPr>
          <w:rFonts w:ascii="Verdana" w:hAnsi="Verdana"/>
          <w:sz w:val="20"/>
          <w:szCs w:val="20"/>
          <w:lang w:val="uk-UA"/>
        </w:rPr>
        <w:t>tage</w:t>
      </w:r>
      <w:r>
        <w:rPr>
          <w:rFonts w:ascii="Verdana" w:hAnsi="Verdana"/>
          <w:sz w:val="20"/>
          <w:szCs w:val="20"/>
        </w:rPr>
        <w:t xml:space="preserve"> I</w:t>
      </w:r>
      <w:r>
        <w:rPr>
          <w:rFonts w:ascii="Verdana" w:hAnsi="Verdana"/>
          <w:sz w:val="20"/>
          <w:szCs w:val="20"/>
          <w:lang w:val="uk-UA"/>
        </w:rPr>
        <w:t xml:space="preserve"> - audit of the agrarian enterprise’ resources - check of all available types of resources of the agrarian enterprises is carried out, their structure and necessary volume for maintenance of </w:t>
      </w:r>
      <w:r>
        <w:rPr>
          <w:rFonts w:ascii="Verdana" w:hAnsi="Verdana"/>
          <w:sz w:val="20"/>
          <w:szCs w:val="20"/>
        </w:rPr>
        <w:t xml:space="preserve">the </w:t>
      </w:r>
      <w:r>
        <w:rPr>
          <w:rFonts w:ascii="Verdana" w:hAnsi="Verdana"/>
          <w:sz w:val="20"/>
          <w:szCs w:val="20"/>
          <w:lang w:val="uk-UA"/>
        </w:rPr>
        <w:t>social activity is defined.</w:t>
      </w:r>
    </w:p>
    <w:p w:rsidR="005C3F63" w:rsidRDefault="006536E7">
      <w:pPr>
        <w:spacing w:after="120"/>
        <w:rPr>
          <w:rFonts w:ascii="Verdana" w:hAnsi="Verdana"/>
          <w:sz w:val="20"/>
          <w:szCs w:val="20"/>
          <w:lang w:val="uk-UA"/>
        </w:rPr>
      </w:pPr>
      <w:r>
        <w:rPr>
          <w:rFonts w:ascii="Verdana" w:hAnsi="Verdana"/>
          <w:sz w:val="20"/>
          <w:szCs w:val="20"/>
          <w:lang w:val="uk-UA"/>
        </w:rPr>
        <w:t>Stage II - assessment of resource efficiency of agricultural enterprises, taking into account their involvement in social processes - using a group of generalized and individual indicators such as capital efficiency, capital intensity, profitability, the efficiency of resource use is assessed by their types.</w:t>
      </w:r>
    </w:p>
    <w:p w:rsidR="005C3F63" w:rsidRDefault="006536E7">
      <w:pPr>
        <w:spacing w:after="120"/>
        <w:rPr>
          <w:rFonts w:ascii="Verdana" w:hAnsi="Verdana"/>
          <w:i/>
          <w:sz w:val="20"/>
          <w:szCs w:val="20"/>
          <w:lang w:val="uk-UA"/>
        </w:rPr>
      </w:pPr>
      <w:r>
        <w:rPr>
          <w:rFonts w:ascii="Verdana" w:hAnsi="Verdana"/>
          <w:i/>
          <w:sz w:val="20"/>
          <w:szCs w:val="20"/>
          <w:lang w:val="uk-UA"/>
        </w:rPr>
        <w:t xml:space="preserve">Stage III - assessment of compliance of agricultural enterprises resource provision with the level of their involvement in social processes – </w:t>
      </w:r>
      <w:r>
        <w:rPr>
          <w:rFonts w:ascii="Verdana" w:hAnsi="Verdana"/>
          <w:i/>
          <w:sz w:val="20"/>
          <w:szCs w:val="20"/>
        </w:rPr>
        <w:t xml:space="preserve">by </w:t>
      </w:r>
      <w:r>
        <w:rPr>
          <w:rFonts w:ascii="Verdana" w:hAnsi="Verdana"/>
          <w:i/>
          <w:sz w:val="20"/>
          <w:szCs w:val="20"/>
          <w:lang w:val="uk-UA"/>
        </w:rPr>
        <w:t>using a system of indicators the adequacy of financial, material support, provision of labor, information, land resources for the formation of social responsibility of agricultural enterprises</w:t>
      </w:r>
      <w:r>
        <w:rPr>
          <w:rFonts w:ascii="Verdana" w:hAnsi="Verdana"/>
          <w:i/>
          <w:sz w:val="20"/>
          <w:szCs w:val="20"/>
        </w:rPr>
        <w:t xml:space="preserve"> is determined</w:t>
      </w:r>
      <w:r>
        <w:rPr>
          <w:rFonts w:ascii="Verdana" w:hAnsi="Verdana"/>
          <w:i/>
          <w:sz w:val="20"/>
          <w:szCs w:val="20"/>
          <w:lang w:val="uk-UA"/>
        </w:rPr>
        <w:t>.</w:t>
      </w:r>
    </w:p>
    <w:p w:rsidR="005C3F63" w:rsidRDefault="006536E7">
      <w:pPr>
        <w:spacing w:after="120"/>
        <w:rPr>
          <w:rFonts w:ascii="Verdana" w:hAnsi="Verdana"/>
          <w:sz w:val="20"/>
          <w:szCs w:val="20"/>
        </w:rPr>
      </w:pPr>
      <w:r>
        <w:rPr>
          <w:rFonts w:ascii="Verdana" w:hAnsi="Verdana"/>
          <w:sz w:val="20"/>
          <w:szCs w:val="20"/>
        </w:rPr>
        <w:t>The revealed significant polarization of social responsibility of large and small agricultural enterprises requires an urgent solution. After all, small agricultural enterprises are not only commodity producers, they are the basis for the formation of the middle class in the countryside and contribute to employment and increase the welfare of the population. In order to develop the social responsibility of agricultural enterprises of Ukraine, it is necessary to develop and implement a comprehensive state program of support and incentives. It is important to develop legal documents with an unambiguous interpretation of social responsibility, criteria for its measurement, forms of application and methodology of social audit.</w:t>
      </w:r>
    </w:p>
    <w:p w:rsidR="005C3F63" w:rsidRDefault="006536E7">
      <w:pPr>
        <w:spacing w:after="120"/>
        <w:rPr>
          <w:rFonts w:ascii="Verdana" w:hAnsi="Verdana"/>
          <w:b/>
          <w:sz w:val="20"/>
          <w:szCs w:val="20"/>
        </w:rPr>
      </w:pPr>
      <w:r>
        <w:rPr>
          <w:rFonts w:ascii="Verdana" w:hAnsi="Verdana"/>
          <w:b/>
          <w:sz w:val="20"/>
          <w:szCs w:val="20"/>
        </w:rPr>
        <w:t>References</w:t>
      </w:r>
    </w:p>
    <w:p w:rsidR="005C3F63" w:rsidRDefault="005C3F63">
      <w:pPr>
        <w:spacing w:after="120"/>
        <w:rPr>
          <w:rFonts w:ascii="Verdana" w:hAnsi="Verdana"/>
          <w:sz w:val="20"/>
          <w:szCs w:val="20"/>
        </w:rPr>
      </w:pPr>
    </w:p>
    <w:p w:rsidR="005C3F63" w:rsidRDefault="006536E7">
      <w:pPr>
        <w:spacing w:after="120"/>
        <w:rPr>
          <w:rFonts w:ascii="Verdana" w:hAnsi="Verdana"/>
          <w:sz w:val="20"/>
          <w:szCs w:val="20"/>
        </w:rPr>
      </w:pPr>
      <w:r>
        <w:rPr>
          <w:rFonts w:ascii="Verdana" w:hAnsi="Verdana"/>
          <w:sz w:val="20"/>
          <w:szCs w:val="20"/>
        </w:rPr>
        <w:t>Vorona, O. V.</w:t>
      </w:r>
      <w:r>
        <w:rPr>
          <w:rFonts w:ascii="Verdana" w:hAnsi="Verdana"/>
          <w:sz w:val="20"/>
          <w:szCs w:val="20"/>
          <w:lang w:val="uk-UA"/>
        </w:rPr>
        <w:t xml:space="preserve"> (2010)</w:t>
      </w:r>
      <w:r>
        <w:rPr>
          <w:rFonts w:ascii="Verdana" w:hAnsi="Verdana"/>
          <w:sz w:val="20"/>
          <w:szCs w:val="20"/>
        </w:rPr>
        <w:t xml:space="preserve"> Metodychni pidkhody do otsinky rivnia sotsialnoi vidpovidalnosti</w:t>
      </w:r>
      <w:r>
        <w:rPr>
          <w:rFonts w:ascii="Verdana" w:hAnsi="Verdana"/>
          <w:sz w:val="20"/>
          <w:szCs w:val="20"/>
          <w:lang w:val="uk-UA"/>
        </w:rPr>
        <w:t>.</w:t>
      </w:r>
      <w:r>
        <w:rPr>
          <w:rFonts w:ascii="Verdana" w:hAnsi="Verdana"/>
          <w:sz w:val="20"/>
          <w:szCs w:val="20"/>
        </w:rPr>
        <w:t xml:space="preserve"> Visnyk ekonomiky transportu i promyslovosti</w:t>
      </w:r>
      <w:r>
        <w:rPr>
          <w:rFonts w:ascii="Verdana" w:hAnsi="Verdana"/>
          <w:sz w:val="20"/>
          <w:szCs w:val="20"/>
          <w:lang w:val="uk-UA"/>
        </w:rPr>
        <w:t xml:space="preserve">, </w:t>
      </w:r>
      <w:r>
        <w:rPr>
          <w:rFonts w:ascii="Verdana" w:hAnsi="Verdana"/>
          <w:sz w:val="20"/>
          <w:szCs w:val="20"/>
        </w:rPr>
        <w:t xml:space="preserve">No. 30, pp. 127–133, Received from: </w:t>
      </w:r>
      <w:hyperlink r:id="rId44" w:history="1">
        <w:r>
          <w:rPr>
            <w:rStyle w:val="af9"/>
            <w:rFonts w:ascii="Verdana" w:hAnsi="Verdana"/>
            <w:sz w:val="20"/>
            <w:szCs w:val="20"/>
          </w:rPr>
          <w:t>file:///C:/Users/User/Downloads/Vetp_2010_30_33%20(1).pdf</w:t>
        </w:r>
      </w:hyperlink>
    </w:p>
    <w:p w:rsidR="005C3F63" w:rsidRDefault="006536E7">
      <w:pPr>
        <w:spacing w:after="120"/>
        <w:rPr>
          <w:rFonts w:ascii="Verdana" w:hAnsi="Verdana"/>
          <w:sz w:val="20"/>
          <w:szCs w:val="20"/>
        </w:rPr>
      </w:pPr>
      <w:r>
        <w:rPr>
          <w:rFonts w:ascii="Verdana" w:hAnsi="Verdana"/>
          <w:sz w:val="20"/>
          <w:szCs w:val="20"/>
        </w:rPr>
        <w:lastRenderedPageBreak/>
        <w:t xml:space="preserve">Juhaszova, Zuzana &amp; Tumpach, Milos &amp; Kubascikova, Zuzana. (2019). Contextual Non-financial Information Analysis of Annual Reports, Received from:  </w:t>
      </w:r>
      <w:hyperlink r:id="rId45" w:history="1">
        <w:r>
          <w:rPr>
            <w:rStyle w:val="af9"/>
            <w:rFonts w:ascii="Verdana" w:hAnsi="Verdana"/>
            <w:sz w:val="20"/>
            <w:szCs w:val="20"/>
          </w:rPr>
          <w:t>https://www.researchgate.net/publication/342203413_Contextual_Non-financial_Information_Analysis_of_Annual_Reports</w:t>
        </w:r>
      </w:hyperlink>
    </w:p>
    <w:p w:rsidR="005C3F63" w:rsidRDefault="006536E7">
      <w:pPr>
        <w:spacing w:after="120"/>
        <w:rPr>
          <w:rFonts w:ascii="Verdana" w:hAnsi="Verdana"/>
          <w:sz w:val="20"/>
          <w:szCs w:val="20"/>
        </w:rPr>
      </w:pPr>
      <w:r>
        <w:rPr>
          <w:rFonts w:ascii="Verdana" w:hAnsi="Verdana"/>
          <w:sz w:val="20"/>
          <w:szCs w:val="20"/>
        </w:rPr>
        <w:t>Nenashev, N.(2008) Kak ocenivat' jeffektivnost' korporativnyh social'nyh program. Kadrovik. Kadrovyj menedzhment, No/ 10, pp. 23-35.</w:t>
      </w:r>
    </w:p>
    <w:p w:rsidR="005C3F63" w:rsidRDefault="006536E7">
      <w:pPr>
        <w:spacing w:after="120"/>
        <w:rPr>
          <w:rFonts w:ascii="Verdana" w:hAnsi="Verdana"/>
          <w:sz w:val="20"/>
          <w:szCs w:val="20"/>
        </w:rPr>
      </w:pPr>
      <w:r>
        <w:rPr>
          <w:rFonts w:ascii="Verdana" w:hAnsi="Verdana"/>
          <w:sz w:val="20"/>
          <w:szCs w:val="20"/>
        </w:rPr>
        <w:t>Shmyhol, N. M. (2010) KSV-dokhid: vyznachennia, otsinka, efektyvnist. Received from: http://www.nbuv.gov.ua/portal/soc_gum/Nvbdfa/2010_1/1%2818%-29_2010_articles/1%2818%29_2010_Shmygol.pdf.</w:t>
      </w:r>
    </w:p>
    <w:p w:rsidR="005C3F63" w:rsidRDefault="006536E7">
      <w:pPr>
        <w:jc w:val="left"/>
        <w:rPr>
          <w:rFonts w:ascii="Verdana" w:hAnsi="Verdana"/>
          <w:sz w:val="20"/>
          <w:szCs w:val="20"/>
        </w:rPr>
      </w:pPr>
      <w:r>
        <w:rPr>
          <w:rFonts w:ascii="Verdana" w:hAnsi="Verdana"/>
          <w:sz w:val="20"/>
          <w:szCs w:val="20"/>
        </w:rPr>
        <w:br w:type="page"/>
      </w:r>
    </w:p>
    <w:p w:rsidR="005C3F63" w:rsidRDefault="006536E7">
      <w:pPr>
        <w:pStyle w:val="1"/>
      </w:pPr>
      <w:bookmarkStart w:id="164" w:name="_Toc47951504"/>
      <w:r>
        <w:lastRenderedPageBreak/>
        <w:t>Development strategies of the rural tourism and features of their accounting and analytical support</w:t>
      </w:r>
      <w:bookmarkEnd w:id="164"/>
    </w:p>
    <w:p w:rsidR="005C3F63" w:rsidRDefault="005C3F63"/>
    <w:p w:rsidR="005C3F63" w:rsidRDefault="006536E7">
      <w:pPr>
        <w:pStyle w:val="Autor"/>
      </w:pPr>
      <w:bookmarkStart w:id="165" w:name="_Toc47447138"/>
      <w:bookmarkStart w:id="166" w:name="_Toc47445937"/>
      <w:bookmarkStart w:id="167" w:name="_Toc47447958"/>
      <w:bookmarkStart w:id="168" w:name="_Toc47448094"/>
      <w:bookmarkStart w:id="169" w:name="_Toc47448299"/>
      <w:bookmarkStart w:id="170" w:name="_Toc47951505"/>
      <w:bookmarkStart w:id="171" w:name="_Toc47448818"/>
      <w:bookmarkStart w:id="172" w:name="_Toc47447904"/>
      <w:bookmarkStart w:id="173" w:name="_Toc47446352"/>
      <w:bookmarkStart w:id="174" w:name="_Toc47448040"/>
      <w:bookmarkStart w:id="175" w:name="_Toc47448592"/>
      <w:bookmarkStart w:id="176" w:name="_Toc47446692"/>
      <w:bookmarkStart w:id="177" w:name="_Toc47448537"/>
      <w:bookmarkStart w:id="178" w:name="_Toc47448177"/>
      <w:bookmarkStart w:id="179" w:name="_Toc47446091"/>
      <w:bookmarkStart w:id="180" w:name="_Toc47951347"/>
      <w:bookmarkStart w:id="181" w:name="_Toc47948713"/>
      <w:bookmarkStart w:id="182" w:name="_Toc47948970"/>
      <w:bookmarkStart w:id="183" w:name="_Toc47948774"/>
      <w:bookmarkStart w:id="184" w:name="_Toc47949284"/>
      <w:bookmarkStart w:id="185" w:name="_Toc47449293"/>
      <w:bookmarkStart w:id="186" w:name="_Toc47951439"/>
      <w:bookmarkStart w:id="187" w:name="_Toc47451134"/>
      <w:r>
        <w:t>Iryna Honcharenko</w:t>
      </w:r>
      <w:r>
        <w:rPr>
          <w:vertAlign w:val="superscript"/>
        </w:rPr>
        <w:t>1</w:t>
      </w:r>
      <w:r>
        <w:t>, Olena Kolesnikova</w:t>
      </w:r>
      <w:r>
        <w:rPr>
          <w:vertAlign w:val="superscript"/>
        </w:rPr>
        <w:t>2</w:t>
      </w:r>
      <w:r>
        <w:t>, Olha Honcharenko</w:t>
      </w:r>
      <w:r>
        <w:rPr>
          <w:vertAlign w:val="superscript"/>
        </w:rPr>
        <w:t>3</w:t>
      </w:r>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p w:rsidR="005C3F63" w:rsidRDefault="006536E7">
      <w:pPr>
        <w:tabs>
          <w:tab w:val="left" w:pos="-1320"/>
          <w:tab w:val="left" w:pos="-600"/>
          <w:tab w:val="left" w:pos="120"/>
          <w:tab w:val="left" w:pos="840"/>
          <w:tab w:val="left" w:pos="1560"/>
          <w:tab w:val="left" w:pos="2280"/>
          <w:tab w:val="left" w:pos="3000"/>
          <w:tab w:val="left" w:pos="3720"/>
          <w:tab w:val="left" w:pos="4440"/>
          <w:tab w:val="left" w:pos="5160"/>
          <w:tab w:val="left" w:pos="5880"/>
          <w:tab w:val="left" w:pos="6600"/>
          <w:tab w:val="left" w:pos="7320"/>
          <w:tab w:val="left" w:pos="8040"/>
          <w:tab w:val="left" w:pos="8760"/>
          <w:tab w:val="left" w:pos="9480"/>
          <w:tab w:val="left" w:pos="10200"/>
        </w:tabs>
        <w:ind w:left="240"/>
        <w:jc w:val="center"/>
        <w:rPr>
          <w:rFonts w:ascii="Verdana" w:hAnsi="Verdana"/>
          <w:sz w:val="18"/>
          <w:szCs w:val="18"/>
        </w:rPr>
      </w:pPr>
      <w:r>
        <w:rPr>
          <w:rFonts w:ascii="Verdana" w:hAnsi="Verdana"/>
          <w:sz w:val="18"/>
          <w:szCs w:val="18"/>
          <w:vertAlign w:val="superscript"/>
          <w:lang w:val="uk-UA"/>
        </w:rPr>
        <w:t>1</w:t>
      </w:r>
      <w:r>
        <w:rPr>
          <w:rFonts w:ascii="Verdana" w:hAnsi="Verdana"/>
          <w:sz w:val="18"/>
          <w:szCs w:val="18"/>
        </w:rPr>
        <w:t>Mykolayiv National Agrarian University</w:t>
      </w:r>
    </w:p>
    <w:p w:rsidR="005C3F63" w:rsidRDefault="006536E7">
      <w:pPr>
        <w:tabs>
          <w:tab w:val="left" w:pos="-1320"/>
          <w:tab w:val="left" w:pos="-600"/>
          <w:tab w:val="left" w:pos="120"/>
          <w:tab w:val="left" w:pos="840"/>
          <w:tab w:val="left" w:pos="1560"/>
          <w:tab w:val="left" w:pos="2280"/>
          <w:tab w:val="left" w:pos="3000"/>
          <w:tab w:val="left" w:pos="3720"/>
          <w:tab w:val="left" w:pos="4440"/>
          <w:tab w:val="left" w:pos="5160"/>
          <w:tab w:val="left" w:pos="5880"/>
          <w:tab w:val="left" w:pos="6600"/>
          <w:tab w:val="left" w:pos="7320"/>
          <w:tab w:val="left" w:pos="8040"/>
          <w:tab w:val="left" w:pos="8760"/>
          <w:tab w:val="left" w:pos="9480"/>
          <w:tab w:val="left" w:pos="10200"/>
        </w:tabs>
        <w:ind w:left="240"/>
        <w:jc w:val="center"/>
        <w:rPr>
          <w:rFonts w:ascii="Verdana" w:hAnsi="Verdana"/>
          <w:sz w:val="18"/>
          <w:szCs w:val="18"/>
        </w:rPr>
      </w:pPr>
      <w:r>
        <w:rPr>
          <w:rFonts w:ascii="Verdana" w:hAnsi="Verdana"/>
          <w:sz w:val="18"/>
          <w:szCs w:val="18"/>
        </w:rPr>
        <w:t>Department of Public Administration and Administration and International Economics</w:t>
      </w:r>
    </w:p>
    <w:p w:rsidR="005C3F63" w:rsidRDefault="006536E7">
      <w:pPr>
        <w:jc w:val="center"/>
        <w:rPr>
          <w:rFonts w:ascii="Verdana" w:hAnsi="Verdana"/>
          <w:sz w:val="18"/>
          <w:szCs w:val="18"/>
        </w:rPr>
      </w:pPr>
      <w:r>
        <w:rPr>
          <w:rFonts w:ascii="Verdana" w:hAnsi="Verdana"/>
          <w:sz w:val="18"/>
          <w:szCs w:val="18"/>
        </w:rPr>
        <w:t>9, Hrehoriya Honhadze Str.,  Mykolayiv, 54020, Ukraine</w:t>
      </w:r>
    </w:p>
    <w:p w:rsidR="005C3F63" w:rsidRDefault="006536E7">
      <w:pPr>
        <w:jc w:val="center"/>
        <w:rPr>
          <w:rFonts w:ascii="Verdana" w:hAnsi="Verdana"/>
          <w:sz w:val="18"/>
          <w:szCs w:val="18"/>
        </w:rPr>
      </w:pPr>
      <w:r>
        <w:rPr>
          <w:rFonts w:ascii="Verdana" w:hAnsi="Verdana"/>
          <w:sz w:val="18"/>
          <w:szCs w:val="18"/>
        </w:rPr>
        <w:t>E-mail: ihoncharenko305@gmail.com</w:t>
      </w:r>
    </w:p>
    <w:p w:rsidR="005C3F63" w:rsidRDefault="006536E7">
      <w:pPr>
        <w:jc w:val="center"/>
        <w:rPr>
          <w:rFonts w:ascii="Verdana" w:hAnsi="Verdana" w:cs="Helvetica"/>
          <w:sz w:val="18"/>
          <w:szCs w:val="18"/>
          <w:shd w:val="clear" w:color="auto" w:fill="FFFFFF"/>
        </w:rPr>
      </w:pPr>
      <w:r>
        <w:rPr>
          <w:vertAlign w:val="superscript"/>
          <w:lang w:val="uk-UA"/>
        </w:rPr>
        <w:t>2</w:t>
      </w:r>
      <w:hyperlink r:id="rId46" w:tgtFrame="_blank" w:history="1">
        <w:r>
          <w:rPr>
            <w:rFonts w:ascii="Verdana" w:hAnsi="Verdana"/>
            <w:sz w:val="18"/>
            <w:szCs w:val="18"/>
          </w:rPr>
          <w:t>National University of Life and Environmental Sciences of Ukraine</w:t>
        </w:r>
      </w:hyperlink>
    </w:p>
    <w:p w:rsidR="005C3F63" w:rsidRDefault="006536E7">
      <w:pPr>
        <w:shd w:val="clear" w:color="auto" w:fill="FFFFFF"/>
        <w:jc w:val="center"/>
        <w:rPr>
          <w:rStyle w:val="af9"/>
          <w:rFonts w:ascii="Verdana" w:hAnsi="Verdana" w:cs="Helvetica"/>
          <w:sz w:val="18"/>
          <w:szCs w:val="18"/>
        </w:rPr>
      </w:pPr>
      <w:r>
        <w:rPr>
          <w:rFonts w:ascii="Verdana" w:hAnsi="Verdana"/>
          <w:sz w:val="18"/>
          <w:szCs w:val="18"/>
          <w:lang w:val="pl-PL"/>
        </w:rPr>
        <w:t>15 Heroiv Oborony Str., Kyiv, 03041, Ukraine</w:t>
      </w:r>
      <w:r>
        <w:rPr>
          <w:rFonts w:ascii="Verdana" w:hAnsi="Verdana"/>
          <w:sz w:val="18"/>
          <w:szCs w:val="18"/>
          <w:lang w:val="pl-PL"/>
        </w:rPr>
        <w:br/>
      </w:r>
      <w:r>
        <w:rPr>
          <w:rFonts w:ascii="Verdana" w:hAnsi="Verdana"/>
          <w:sz w:val="18"/>
          <w:szCs w:val="18"/>
          <w:lang w:val="en-GB"/>
        </w:rPr>
        <w:t>E-mail: </w:t>
      </w:r>
      <w:hyperlink r:id="rId47" w:tgtFrame="_blank" w:history="1">
        <w:r>
          <w:rPr>
            <w:rFonts w:ascii="Verdana" w:hAnsi="Verdana"/>
            <w:sz w:val="18"/>
            <w:szCs w:val="18"/>
          </w:rPr>
          <w:t>lena_kolesnikova@ukr.net</w:t>
        </w:r>
      </w:hyperlink>
    </w:p>
    <w:p w:rsidR="005C3F63" w:rsidRDefault="006536E7">
      <w:pPr>
        <w:shd w:val="clear" w:color="auto" w:fill="FFFFFF"/>
        <w:jc w:val="center"/>
        <w:rPr>
          <w:rFonts w:ascii="Verdana" w:hAnsi="Verdana"/>
          <w:sz w:val="18"/>
          <w:szCs w:val="18"/>
        </w:rPr>
      </w:pPr>
      <w:r>
        <w:rPr>
          <w:rFonts w:ascii="Verdana" w:hAnsi="Verdana"/>
          <w:sz w:val="18"/>
          <w:szCs w:val="18"/>
          <w:vertAlign w:val="superscript"/>
        </w:rPr>
        <w:t>3</w:t>
      </w:r>
      <w:r>
        <w:rPr>
          <w:rFonts w:ascii="Verdana" w:hAnsi="Verdana"/>
          <w:sz w:val="18"/>
          <w:szCs w:val="18"/>
        </w:rPr>
        <w:t>Olha Honcharenko</w:t>
      </w:r>
    </w:p>
    <w:p w:rsidR="005C3F63" w:rsidRDefault="006536E7">
      <w:pPr>
        <w:shd w:val="clear" w:color="auto" w:fill="FFFFFF"/>
        <w:jc w:val="center"/>
        <w:rPr>
          <w:rFonts w:ascii="Verdana" w:hAnsi="Verdana"/>
          <w:sz w:val="18"/>
          <w:szCs w:val="18"/>
        </w:rPr>
      </w:pPr>
      <w:r>
        <w:rPr>
          <w:rFonts w:ascii="Verdana" w:hAnsi="Verdana"/>
          <w:sz w:val="18"/>
          <w:szCs w:val="18"/>
        </w:rPr>
        <w:t>Phd student of the Department of Corporate Finance and Controlling</w:t>
      </w:r>
    </w:p>
    <w:p w:rsidR="005C3F63" w:rsidRDefault="006536E7">
      <w:pPr>
        <w:shd w:val="clear" w:color="auto" w:fill="FFFFFF"/>
        <w:jc w:val="center"/>
        <w:rPr>
          <w:rFonts w:ascii="Verdana" w:hAnsi="Verdana"/>
          <w:sz w:val="18"/>
          <w:szCs w:val="18"/>
        </w:rPr>
      </w:pPr>
      <w:r>
        <w:rPr>
          <w:rFonts w:ascii="Verdana" w:hAnsi="Verdana"/>
          <w:sz w:val="18"/>
          <w:szCs w:val="18"/>
        </w:rPr>
        <w:t>Kyiv National Economic University named after Vadym Hetman</w:t>
      </w:r>
    </w:p>
    <w:p w:rsidR="005C3F63" w:rsidRDefault="006536E7">
      <w:pPr>
        <w:shd w:val="clear" w:color="auto" w:fill="FFFFFF"/>
        <w:jc w:val="center"/>
        <w:rPr>
          <w:rFonts w:ascii="Verdana" w:hAnsi="Verdana"/>
          <w:sz w:val="18"/>
          <w:szCs w:val="18"/>
        </w:rPr>
      </w:pPr>
      <w:r>
        <w:rPr>
          <w:rFonts w:ascii="Verdana" w:hAnsi="Verdana"/>
          <w:sz w:val="18"/>
          <w:szCs w:val="18"/>
        </w:rPr>
        <w:t>54/1 Prospect Peremogy 03057 Kyiv Ukraine</w:t>
      </w:r>
    </w:p>
    <w:p w:rsidR="005C3F63" w:rsidRDefault="006536E7">
      <w:pPr>
        <w:shd w:val="clear" w:color="auto" w:fill="FFFFFF"/>
        <w:jc w:val="center"/>
        <w:rPr>
          <w:rFonts w:ascii="Verdana" w:hAnsi="Verdana"/>
          <w:sz w:val="18"/>
          <w:szCs w:val="18"/>
        </w:rPr>
      </w:pPr>
      <w:r>
        <w:rPr>
          <w:rFonts w:ascii="Verdana" w:hAnsi="Verdana"/>
          <w:sz w:val="18"/>
          <w:szCs w:val="18"/>
        </w:rPr>
        <w:t>E-mail: Honcharenko15olha@gmail.com</w:t>
      </w:r>
    </w:p>
    <w:p w:rsidR="005C3F63" w:rsidRDefault="005C3F63">
      <w:pPr>
        <w:jc w:val="center"/>
        <w:rPr>
          <w:rFonts w:ascii="Verdana" w:hAnsi="Verdana"/>
          <w:sz w:val="18"/>
          <w:szCs w:val="18"/>
        </w:rPr>
      </w:pPr>
    </w:p>
    <w:p w:rsidR="005C3F63" w:rsidRDefault="005C3F63">
      <w:pPr>
        <w:jc w:val="center"/>
        <w:rPr>
          <w:rFonts w:ascii="Verdana" w:hAnsi="Verdana"/>
          <w:sz w:val="18"/>
          <w:szCs w:val="18"/>
        </w:rPr>
      </w:pPr>
    </w:p>
    <w:p w:rsidR="005C3F63" w:rsidRDefault="006536E7">
      <w:pPr>
        <w:pStyle w:val="a1"/>
        <w:rPr>
          <w:rFonts w:ascii="Verdana" w:hAnsi="Verdana"/>
          <w:i/>
          <w:sz w:val="20"/>
        </w:rPr>
      </w:pPr>
      <w:r>
        <w:rPr>
          <w:rFonts w:ascii="Verdana" w:hAnsi="Verdana"/>
          <w:b/>
          <w:sz w:val="22"/>
        </w:rPr>
        <w:t xml:space="preserve">Abstract </w:t>
      </w:r>
      <w:r>
        <w:rPr>
          <w:rFonts w:ascii="Verdana" w:hAnsi="Verdana"/>
          <w:i/>
          <w:sz w:val="20"/>
        </w:rPr>
        <w:t xml:space="preserve">The article considers rural tourism as an activity aimed at solving a number of problem points: preservation of national traditions and socio-cultural heritage, as well as environment and diversification of incomes of the rural population. Based on the </w:t>
      </w:r>
      <w:r>
        <w:rPr>
          <w:rFonts w:ascii="Verdana" w:hAnsi="Verdana"/>
          <w:i/>
          <w:color w:val="262626" w:themeColor="text1" w:themeTint="D9"/>
          <w:sz w:val="20"/>
        </w:rPr>
        <w:t>study</w:t>
      </w:r>
      <w:r>
        <w:rPr>
          <w:rFonts w:ascii="Verdana" w:hAnsi="Verdana"/>
          <w:i/>
          <w:sz w:val="20"/>
        </w:rPr>
        <w:t xml:space="preserve"> of the conditions and features of activities in the field of rural tourism in Ukraine, the prospects for its spread were identified, together with possible ways of organizing and maintaining accounting by the subjects of this industry.</w:t>
      </w:r>
    </w:p>
    <w:p w:rsidR="005C3F63" w:rsidRDefault="005C3F63">
      <w:pPr>
        <w:pStyle w:val="a1"/>
        <w:spacing w:line="360" w:lineRule="auto"/>
        <w:rPr>
          <w:rFonts w:ascii="Verdana" w:hAnsi="Verdana"/>
          <w:b/>
          <w:sz w:val="22"/>
        </w:rPr>
      </w:pPr>
    </w:p>
    <w:p w:rsidR="005C3F63" w:rsidRDefault="006536E7">
      <w:pPr>
        <w:pStyle w:val="a1"/>
        <w:spacing w:line="360" w:lineRule="auto"/>
        <w:rPr>
          <w:rFonts w:ascii="Verdana" w:hAnsi="Verdana"/>
          <w:i/>
          <w:sz w:val="20"/>
        </w:rPr>
      </w:pPr>
      <w:r>
        <w:rPr>
          <w:rFonts w:ascii="Verdana" w:hAnsi="Verdana"/>
          <w:b/>
          <w:sz w:val="22"/>
        </w:rPr>
        <w:t xml:space="preserve">Key words: </w:t>
      </w:r>
      <w:r>
        <w:rPr>
          <w:rFonts w:ascii="Verdana" w:hAnsi="Verdana"/>
          <w:i/>
          <w:sz w:val="20"/>
        </w:rPr>
        <w:t>rural tourism, recreation, development, accounting</w:t>
      </w:r>
    </w:p>
    <w:p w:rsidR="005C3F63" w:rsidRDefault="006536E7">
      <w:pPr>
        <w:pStyle w:val="a1"/>
        <w:spacing w:line="360" w:lineRule="auto"/>
        <w:rPr>
          <w:rFonts w:ascii="Verdana" w:hAnsi="Verdana"/>
          <w:i/>
          <w:sz w:val="22"/>
        </w:rPr>
      </w:pPr>
      <w:r>
        <w:rPr>
          <w:rFonts w:ascii="Verdana" w:hAnsi="Verdana"/>
          <w:bCs/>
          <w:sz w:val="22"/>
        </w:rPr>
        <w:t>JEL c</w:t>
      </w:r>
      <w:r>
        <w:rPr>
          <w:rFonts w:ascii="Verdana" w:hAnsi="Verdana"/>
          <w:bCs/>
          <w:sz w:val="22"/>
          <w:lang w:val="sk-SK"/>
        </w:rPr>
        <w:t>odes</w:t>
      </w:r>
      <w:r>
        <w:rPr>
          <w:rFonts w:ascii="Verdana" w:hAnsi="Verdana"/>
          <w:bCs/>
          <w:sz w:val="22"/>
        </w:rPr>
        <w:t xml:space="preserve">: </w:t>
      </w:r>
      <w:r>
        <w:rPr>
          <w:rFonts w:ascii="Verdana" w:hAnsi="Verdana"/>
          <w:i/>
          <w:sz w:val="22"/>
        </w:rPr>
        <w:t>R11;O18; M41</w:t>
      </w:r>
    </w:p>
    <w:p w:rsidR="005C3F63" w:rsidRDefault="005C3F63">
      <w:pPr>
        <w:pStyle w:val="a1"/>
        <w:spacing w:line="360" w:lineRule="auto"/>
        <w:rPr>
          <w:b/>
          <w:sz w:val="20"/>
        </w:rPr>
      </w:pPr>
    </w:p>
    <w:p w:rsidR="005C3F63" w:rsidRDefault="006536E7">
      <w:pPr>
        <w:pStyle w:val="a1"/>
        <w:rPr>
          <w:rFonts w:ascii="Verdana" w:hAnsi="Verdana"/>
          <w:b/>
          <w:sz w:val="22"/>
        </w:rPr>
      </w:pPr>
      <w:r>
        <w:rPr>
          <w:rFonts w:ascii="Verdana" w:hAnsi="Verdana"/>
          <w:b/>
          <w:sz w:val="22"/>
        </w:rPr>
        <w:t>1 Introduction</w:t>
      </w:r>
    </w:p>
    <w:p w:rsidR="005C3F63" w:rsidRDefault="005C3F63">
      <w:pPr>
        <w:pStyle w:val="a1"/>
        <w:rPr>
          <w:rFonts w:ascii="Verdana" w:hAnsi="Verdana"/>
          <w:sz w:val="20"/>
        </w:rPr>
      </w:pPr>
    </w:p>
    <w:p w:rsidR="005C3F63" w:rsidRDefault="006536E7">
      <w:pPr>
        <w:pStyle w:val="a1"/>
        <w:rPr>
          <w:rFonts w:ascii="Verdana" w:hAnsi="Verdana"/>
          <w:color w:val="0D0D0D" w:themeColor="text1" w:themeTint="F2"/>
          <w:sz w:val="20"/>
        </w:rPr>
      </w:pPr>
      <w:r>
        <w:rPr>
          <w:rFonts w:ascii="Verdana" w:hAnsi="Verdana"/>
          <w:color w:val="0D0D0D" w:themeColor="text1" w:themeTint="F2"/>
          <w:sz w:val="20"/>
        </w:rPr>
        <w:t>Modern trends in the transition of mass demand in accordance with the concept - landscapes, traditions, leisure increase the popularity of travels to the countryside. In the Roman Empire, among the members of patrician families, was originated the fashion for travel from Rome to have a rest in the countryside. In modern times, since the second half of the twentieth century in urbanized European countries, rural tourism has become one of the main ways for people totake break from the stressfull industrial cities. The main driving force of the rapid development of rural tourism is the strong growth of the demand for outdoor recreation, which is determined by the increasing mismatch of the living environment of modern people and their physiological and psychological needs. Different forms of rural tourism have historically developed in countries and regions of the world. In some areas, rural tourism complements a specific type of recreational activity, in others –is a kind of eco-tourism, and in some countries - is a form of highly profitable private enterprise, and in this sense has almost no different from the usual practice of small hotel business in Europe, and in some countries - has a limited seasonal nature and is an ancillary form of activity in the management of the family farm.</w:t>
      </w:r>
    </w:p>
    <w:p w:rsidR="005C3F63" w:rsidRDefault="006536E7">
      <w:pPr>
        <w:pStyle w:val="a1"/>
        <w:rPr>
          <w:rFonts w:ascii="Verdana" w:hAnsi="Verdana"/>
          <w:color w:val="0D0D0D" w:themeColor="text1" w:themeTint="F2"/>
          <w:sz w:val="20"/>
        </w:rPr>
      </w:pPr>
      <w:r>
        <w:rPr>
          <w:rFonts w:ascii="Verdana" w:hAnsi="Verdana"/>
          <w:color w:val="0D0D0D" w:themeColor="text1" w:themeTint="F2"/>
          <w:sz w:val="20"/>
        </w:rPr>
        <w:t xml:space="preserve">In many countries, it is one of the leading areas of tourism, reflected in the national concepts of tourism development, it is aimed at solving a number of problems: preservation of national traditions and socio-cultural heritage, environment, architectural and historical space. It satisfies the growing interest in nature and rural life, the need to </w:t>
      </w:r>
      <w:r>
        <w:rPr>
          <w:rFonts w:ascii="Verdana" w:hAnsi="Verdana"/>
          <w:color w:val="0D0D0D" w:themeColor="text1" w:themeTint="F2"/>
          <w:sz w:val="20"/>
        </w:rPr>
        <w:lastRenderedPageBreak/>
        <w:t>relax in an environment that provides psychological relief to a person who is tired of all the modern realities of urban life.</w:t>
      </w:r>
    </w:p>
    <w:p w:rsidR="005C3F63" w:rsidRDefault="006536E7">
      <w:pPr>
        <w:pStyle w:val="a1"/>
        <w:rPr>
          <w:rFonts w:ascii="Verdana" w:hAnsi="Verdana"/>
          <w:color w:val="0D0D0D" w:themeColor="text1" w:themeTint="F2"/>
          <w:sz w:val="20"/>
        </w:rPr>
      </w:pPr>
      <w:r>
        <w:rPr>
          <w:rFonts w:ascii="Verdana" w:hAnsi="Verdana"/>
          <w:color w:val="0D0D0D" w:themeColor="text1" w:themeTint="F2"/>
          <w:sz w:val="20"/>
        </w:rPr>
        <w:t>There is a growing scientific interest in this type of tourism and increasing the relevance of research in this area.</w:t>
      </w:r>
    </w:p>
    <w:p w:rsidR="005C3F63" w:rsidRDefault="005C3F63">
      <w:pPr>
        <w:pStyle w:val="a1"/>
        <w:rPr>
          <w:rFonts w:ascii="Verdana" w:hAnsi="Verdana"/>
          <w:sz w:val="20"/>
        </w:rPr>
      </w:pPr>
    </w:p>
    <w:p w:rsidR="005C3F63" w:rsidRDefault="006536E7">
      <w:pPr>
        <w:pStyle w:val="a1"/>
        <w:rPr>
          <w:rFonts w:ascii="Verdana" w:hAnsi="Verdana"/>
          <w:b/>
          <w:sz w:val="22"/>
        </w:rPr>
      </w:pPr>
      <w:r>
        <w:rPr>
          <w:rFonts w:ascii="Verdana" w:hAnsi="Verdana"/>
          <w:b/>
          <w:sz w:val="22"/>
        </w:rPr>
        <w:t>2 Methodology and Data</w:t>
      </w:r>
    </w:p>
    <w:p w:rsidR="005C3F63" w:rsidRDefault="005C3F63">
      <w:pPr>
        <w:pStyle w:val="a1"/>
        <w:rPr>
          <w:rFonts w:ascii="Verdana" w:hAnsi="Verdana"/>
          <w:sz w:val="20"/>
        </w:rPr>
      </w:pPr>
    </w:p>
    <w:p w:rsidR="005C3F63" w:rsidRDefault="006536E7">
      <w:pPr>
        <w:pStyle w:val="a1"/>
        <w:rPr>
          <w:rFonts w:ascii="Verdana" w:hAnsi="Verdana"/>
          <w:sz w:val="20"/>
        </w:rPr>
      </w:pPr>
      <w:r>
        <w:rPr>
          <w:rFonts w:ascii="Verdana" w:hAnsi="Verdana"/>
          <w:sz w:val="20"/>
        </w:rPr>
        <w:t>The study, the main results of which are presented in the article, is based on the fundamental principles of economics, including the theory of entrepreneurship. The methodological basis of the article is a dialectical method and a systematic approach to the analysis of rural tourism development and its role not only in the meeting of the needs of consumers, but also in the intensification of entrepreneurial activity of the rural population in Ukraine.</w:t>
      </w:r>
    </w:p>
    <w:p w:rsidR="005C3F63" w:rsidRDefault="006536E7">
      <w:pPr>
        <w:pStyle w:val="a1"/>
        <w:rPr>
          <w:rFonts w:ascii="Verdana" w:hAnsi="Verdana"/>
          <w:sz w:val="20"/>
        </w:rPr>
      </w:pPr>
      <w:r>
        <w:rPr>
          <w:rFonts w:ascii="Verdana" w:hAnsi="Verdana"/>
          <w:sz w:val="20"/>
        </w:rPr>
        <w:t>An abstract-logical method was used in order to generalize and form conclusions. The information base of the article is the special scientific, reference literature, data of the World Tourism Organization (UNWTO). There are specialised web portals, such as http://ruraltourism.com.ua/ https://ua.dorogovkaz.com/, https://selo.ua/, where offers of rural tourism of separate estates, regions, countries are placed. For example, the portal ruraltourism.com.ua, which connects the owners of farmsteads with their potential visitors, has a database of offers with free access to full and comprehensive information about accommodation conditions, services and prices and notes the constant growth of user audience, more information is presented in the Table 1.</w:t>
      </w:r>
    </w:p>
    <w:p w:rsidR="005C3F63" w:rsidRDefault="005C3F63">
      <w:pPr>
        <w:spacing w:after="120"/>
        <w:rPr>
          <w:rFonts w:ascii="Verdana" w:hAnsi="Verdana"/>
          <w:sz w:val="20"/>
          <w:szCs w:val="20"/>
          <w:lang w:val="uk-UA"/>
        </w:rPr>
      </w:pPr>
    </w:p>
    <w:p w:rsidR="005C3F63" w:rsidRDefault="006536E7">
      <w:pPr>
        <w:jc w:val="center"/>
        <w:rPr>
          <w:lang w:val="uk-UA"/>
        </w:rPr>
      </w:pPr>
      <w:r>
        <w:rPr>
          <w:b/>
        </w:rPr>
        <w:t>Table</w:t>
      </w:r>
      <w:r>
        <w:rPr>
          <w:b/>
          <w:lang w:val="uk-UA"/>
        </w:rPr>
        <w:t xml:space="preserve"> 1</w:t>
      </w:r>
      <w:r>
        <w:rPr>
          <w:lang w:val="uk-UA"/>
        </w:rPr>
        <w:t>Offers of rural tourism on the portal rural tourism.com.ua by regions of Ukraine</w:t>
      </w:r>
    </w:p>
    <w:p w:rsidR="005C3F63" w:rsidRDefault="005C3F63">
      <w:pPr>
        <w:jc w:val="center"/>
        <w:rPr>
          <w:lang w:val="uk-UA"/>
        </w:rPr>
      </w:pPr>
    </w:p>
    <w:tbl>
      <w:tblPr>
        <w:tblStyle w:val="afb"/>
        <w:tblW w:w="0" w:type="auto"/>
        <w:jc w:val="center"/>
        <w:tblLayout w:type="fixed"/>
        <w:tblLook w:val="04A0" w:firstRow="1" w:lastRow="0" w:firstColumn="1" w:lastColumn="0" w:noHBand="0" w:noVBand="1"/>
      </w:tblPr>
      <w:tblGrid>
        <w:gridCol w:w="2943"/>
        <w:gridCol w:w="1560"/>
        <w:gridCol w:w="2409"/>
        <w:gridCol w:w="2242"/>
      </w:tblGrid>
      <w:tr w:rsidR="005C3F63">
        <w:trPr>
          <w:trHeight w:val="728"/>
          <w:jc w:val="center"/>
        </w:trPr>
        <w:tc>
          <w:tcPr>
            <w:tcW w:w="2943" w:type="dxa"/>
            <w:vMerge w:val="restart"/>
            <w:vAlign w:val="center"/>
          </w:tcPr>
          <w:p w:rsidR="005C3F63" w:rsidRDefault="006536E7">
            <w:pPr>
              <w:jc w:val="center"/>
              <w:rPr>
                <w:rFonts w:ascii="Verdana" w:hAnsi="Verdana"/>
                <w:b/>
                <w:sz w:val="20"/>
                <w:szCs w:val="20"/>
              </w:rPr>
            </w:pPr>
            <w:r>
              <w:rPr>
                <w:rFonts w:ascii="Verdana" w:hAnsi="Verdana"/>
                <w:b/>
                <w:sz w:val="20"/>
                <w:szCs w:val="20"/>
              </w:rPr>
              <w:t>Region</w:t>
            </w:r>
          </w:p>
        </w:tc>
        <w:tc>
          <w:tcPr>
            <w:tcW w:w="1560" w:type="dxa"/>
            <w:vMerge w:val="restart"/>
            <w:vAlign w:val="center"/>
          </w:tcPr>
          <w:p w:rsidR="005C3F63" w:rsidRDefault="006536E7">
            <w:pPr>
              <w:jc w:val="center"/>
              <w:rPr>
                <w:rFonts w:ascii="Verdana" w:hAnsi="Verdana"/>
                <w:b/>
                <w:sz w:val="20"/>
                <w:szCs w:val="20"/>
              </w:rPr>
            </w:pPr>
            <w:r>
              <w:rPr>
                <w:rFonts w:ascii="Verdana" w:hAnsi="Verdana"/>
                <w:b/>
                <w:sz w:val="20"/>
                <w:szCs w:val="20"/>
              </w:rPr>
              <w:t>Number of farmsteads registered on the portal</w:t>
            </w:r>
          </w:p>
        </w:tc>
        <w:tc>
          <w:tcPr>
            <w:tcW w:w="4651" w:type="dxa"/>
            <w:gridSpan w:val="2"/>
            <w:vAlign w:val="center"/>
          </w:tcPr>
          <w:p w:rsidR="005C3F63" w:rsidRDefault="006536E7">
            <w:pPr>
              <w:jc w:val="center"/>
              <w:rPr>
                <w:rFonts w:ascii="Verdana" w:hAnsi="Verdana"/>
                <w:b/>
                <w:sz w:val="20"/>
                <w:szCs w:val="20"/>
              </w:rPr>
            </w:pPr>
            <w:r>
              <w:rPr>
                <w:rFonts w:ascii="Verdana" w:hAnsi="Verdana"/>
                <w:b/>
                <w:sz w:val="20"/>
                <w:szCs w:val="20"/>
              </w:rPr>
              <w:t>Accommodation conditions</w:t>
            </w:r>
          </w:p>
        </w:tc>
      </w:tr>
      <w:tr w:rsidR="005C3F63">
        <w:trPr>
          <w:trHeight w:val="727"/>
          <w:jc w:val="center"/>
        </w:trPr>
        <w:tc>
          <w:tcPr>
            <w:tcW w:w="2943" w:type="dxa"/>
            <w:vMerge/>
            <w:vAlign w:val="center"/>
          </w:tcPr>
          <w:p w:rsidR="005C3F63" w:rsidRDefault="005C3F63">
            <w:pPr>
              <w:jc w:val="center"/>
              <w:rPr>
                <w:rFonts w:ascii="Verdana" w:hAnsi="Verdana"/>
                <w:b/>
                <w:sz w:val="20"/>
                <w:szCs w:val="20"/>
              </w:rPr>
            </w:pPr>
          </w:p>
        </w:tc>
        <w:tc>
          <w:tcPr>
            <w:tcW w:w="1560" w:type="dxa"/>
            <w:vMerge/>
            <w:vAlign w:val="center"/>
          </w:tcPr>
          <w:p w:rsidR="005C3F63" w:rsidRDefault="005C3F63">
            <w:pPr>
              <w:jc w:val="center"/>
              <w:rPr>
                <w:rFonts w:ascii="Verdana" w:hAnsi="Verdana"/>
                <w:b/>
                <w:sz w:val="20"/>
                <w:szCs w:val="20"/>
              </w:rPr>
            </w:pPr>
          </w:p>
        </w:tc>
        <w:tc>
          <w:tcPr>
            <w:tcW w:w="2409" w:type="dxa"/>
            <w:vAlign w:val="center"/>
          </w:tcPr>
          <w:p w:rsidR="005C3F63" w:rsidRDefault="006536E7">
            <w:pPr>
              <w:jc w:val="center"/>
              <w:rPr>
                <w:rFonts w:ascii="Verdana" w:hAnsi="Verdana"/>
                <w:b/>
                <w:sz w:val="20"/>
                <w:szCs w:val="20"/>
              </w:rPr>
            </w:pPr>
            <w:r>
              <w:rPr>
                <w:rFonts w:ascii="Verdana" w:hAnsi="Verdana"/>
                <w:sz w:val="20"/>
                <w:szCs w:val="20"/>
              </w:rPr>
              <w:t>Name of farmstead</w:t>
            </w:r>
          </w:p>
        </w:tc>
        <w:tc>
          <w:tcPr>
            <w:tcW w:w="2242" w:type="dxa"/>
            <w:vAlign w:val="center"/>
          </w:tcPr>
          <w:p w:rsidR="005C3F63" w:rsidRDefault="006536E7">
            <w:pPr>
              <w:jc w:val="center"/>
              <w:rPr>
                <w:rFonts w:ascii="Verdana" w:hAnsi="Verdana"/>
                <w:b/>
                <w:sz w:val="20"/>
                <w:szCs w:val="20"/>
              </w:rPr>
            </w:pPr>
            <w:r>
              <w:rPr>
                <w:rFonts w:ascii="Verdana" w:hAnsi="Verdana"/>
                <w:sz w:val="20"/>
                <w:szCs w:val="20"/>
              </w:rPr>
              <w:t>Cost of 1 day per house / for one person, UAH</w:t>
            </w:r>
          </w:p>
        </w:tc>
      </w:tr>
      <w:tr w:rsidR="005C3F63">
        <w:trPr>
          <w:jc w:val="center"/>
        </w:trPr>
        <w:tc>
          <w:tcPr>
            <w:tcW w:w="2943" w:type="dxa"/>
            <w:vAlign w:val="center"/>
          </w:tcPr>
          <w:p w:rsidR="005C3F63" w:rsidRDefault="006536E7">
            <w:pPr>
              <w:shd w:val="clear" w:color="auto" w:fill="FFFFFF"/>
              <w:textAlignment w:val="baseline"/>
              <w:rPr>
                <w:rFonts w:ascii="Verdana" w:hAnsi="Verdana" w:cs="Arial"/>
                <w:b/>
                <w:sz w:val="20"/>
                <w:szCs w:val="20"/>
              </w:rPr>
            </w:pPr>
            <w:r>
              <w:rPr>
                <w:rStyle w:val="af9"/>
                <w:rFonts w:ascii="Verdana" w:hAnsi="Verdana" w:cs="Arial"/>
                <w:b/>
                <w:sz w:val="20"/>
                <w:szCs w:val="20"/>
              </w:rPr>
              <w:t>Autonomous Republic of Crimea</w:t>
            </w:r>
          </w:p>
        </w:tc>
        <w:tc>
          <w:tcPr>
            <w:tcW w:w="1560" w:type="dxa"/>
            <w:vAlign w:val="center"/>
          </w:tcPr>
          <w:p w:rsidR="005C3F63" w:rsidRDefault="006536E7">
            <w:pPr>
              <w:rPr>
                <w:rFonts w:ascii="Verdana" w:hAnsi="Verdana"/>
                <w:sz w:val="20"/>
                <w:szCs w:val="20"/>
              </w:rPr>
            </w:pPr>
            <w:r>
              <w:rPr>
                <w:sz w:val="20"/>
                <w:szCs w:val="20"/>
              </w:rPr>
              <w:t>–</w:t>
            </w:r>
          </w:p>
        </w:tc>
        <w:tc>
          <w:tcPr>
            <w:tcW w:w="2409" w:type="dxa"/>
            <w:vAlign w:val="center"/>
          </w:tcPr>
          <w:p w:rsidR="005C3F63" w:rsidRDefault="005C3F63">
            <w:pPr>
              <w:rPr>
                <w:rFonts w:ascii="Verdana" w:hAnsi="Verdana"/>
                <w:sz w:val="20"/>
                <w:szCs w:val="20"/>
              </w:rPr>
            </w:pPr>
          </w:p>
        </w:tc>
        <w:tc>
          <w:tcPr>
            <w:tcW w:w="2242" w:type="dxa"/>
            <w:vAlign w:val="center"/>
          </w:tcPr>
          <w:p w:rsidR="005C3F63" w:rsidRDefault="005C3F63">
            <w:pPr>
              <w:rPr>
                <w:rFonts w:ascii="Verdana" w:hAnsi="Verdana"/>
                <w:sz w:val="20"/>
                <w:szCs w:val="20"/>
              </w:rPr>
            </w:pP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Vinnytsia region</w:t>
            </w:r>
          </w:p>
        </w:tc>
        <w:tc>
          <w:tcPr>
            <w:tcW w:w="1560" w:type="dxa"/>
            <w:vAlign w:val="center"/>
          </w:tcPr>
          <w:p w:rsidR="005C3F63" w:rsidRDefault="006536E7">
            <w:pPr>
              <w:rPr>
                <w:rFonts w:ascii="Verdana" w:hAnsi="Verdana"/>
                <w:sz w:val="20"/>
                <w:szCs w:val="20"/>
              </w:rPr>
            </w:pPr>
            <w:r>
              <w:rPr>
                <w:rFonts w:ascii="Verdana" w:hAnsi="Verdana"/>
                <w:sz w:val="20"/>
                <w:szCs w:val="20"/>
              </w:rPr>
              <w:t>2</w:t>
            </w:r>
          </w:p>
        </w:tc>
        <w:tc>
          <w:tcPr>
            <w:tcW w:w="2409" w:type="dxa"/>
            <w:vAlign w:val="center"/>
          </w:tcPr>
          <w:p w:rsidR="005C3F63" w:rsidRDefault="006536E7">
            <w:pPr>
              <w:rPr>
                <w:rFonts w:ascii="Verdana" w:hAnsi="Verdana"/>
                <w:sz w:val="20"/>
                <w:szCs w:val="20"/>
              </w:rPr>
            </w:pPr>
            <w:r>
              <w:rPr>
                <w:rFonts w:ascii="Verdana" w:hAnsi="Verdana"/>
                <w:sz w:val="20"/>
                <w:szCs w:val="20"/>
              </w:rPr>
              <w:t>Village house "Zatyshok"</w:t>
            </w:r>
          </w:p>
        </w:tc>
        <w:tc>
          <w:tcPr>
            <w:tcW w:w="2242" w:type="dxa"/>
            <w:vAlign w:val="center"/>
          </w:tcPr>
          <w:p w:rsidR="005C3F63" w:rsidRDefault="006536E7">
            <w:pPr>
              <w:rPr>
                <w:rFonts w:ascii="Verdana" w:hAnsi="Verdana"/>
                <w:sz w:val="20"/>
                <w:szCs w:val="20"/>
              </w:rPr>
            </w:pPr>
            <w:r>
              <w:rPr>
                <w:rFonts w:ascii="Verdana" w:hAnsi="Verdana"/>
                <w:sz w:val="20"/>
                <w:szCs w:val="20"/>
              </w:rPr>
              <w:t xml:space="preserve"> 120 / person</w:t>
            </w: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Volyn region</w:t>
            </w:r>
          </w:p>
        </w:tc>
        <w:tc>
          <w:tcPr>
            <w:tcW w:w="1560" w:type="dxa"/>
            <w:vAlign w:val="center"/>
          </w:tcPr>
          <w:p w:rsidR="005C3F63" w:rsidRDefault="006536E7">
            <w:pPr>
              <w:rPr>
                <w:rFonts w:ascii="Verdana" w:hAnsi="Verdana"/>
                <w:sz w:val="20"/>
                <w:szCs w:val="20"/>
              </w:rPr>
            </w:pPr>
            <w:r>
              <w:rPr>
                <w:sz w:val="20"/>
                <w:szCs w:val="20"/>
              </w:rPr>
              <w:t>–</w:t>
            </w:r>
          </w:p>
        </w:tc>
        <w:tc>
          <w:tcPr>
            <w:tcW w:w="2409" w:type="dxa"/>
            <w:vAlign w:val="center"/>
          </w:tcPr>
          <w:p w:rsidR="005C3F63" w:rsidRDefault="005C3F63">
            <w:pPr>
              <w:rPr>
                <w:rFonts w:ascii="Verdana" w:hAnsi="Verdana"/>
                <w:sz w:val="20"/>
                <w:szCs w:val="20"/>
              </w:rPr>
            </w:pPr>
          </w:p>
        </w:tc>
        <w:tc>
          <w:tcPr>
            <w:tcW w:w="2242" w:type="dxa"/>
            <w:vAlign w:val="center"/>
          </w:tcPr>
          <w:p w:rsidR="005C3F63" w:rsidRDefault="005C3F63">
            <w:pPr>
              <w:rPr>
                <w:rFonts w:ascii="Verdana" w:hAnsi="Verdana"/>
                <w:sz w:val="20"/>
                <w:szCs w:val="20"/>
              </w:rPr>
            </w:pP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Dnipropetrovsk region</w:t>
            </w:r>
          </w:p>
        </w:tc>
        <w:tc>
          <w:tcPr>
            <w:tcW w:w="1560" w:type="dxa"/>
            <w:vAlign w:val="center"/>
          </w:tcPr>
          <w:p w:rsidR="005C3F63" w:rsidRDefault="006536E7">
            <w:pPr>
              <w:rPr>
                <w:rFonts w:ascii="Verdana" w:hAnsi="Verdana"/>
                <w:sz w:val="20"/>
                <w:szCs w:val="20"/>
              </w:rPr>
            </w:pPr>
            <w:r>
              <w:rPr>
                <w:rFonts w:ascii="Verdana" w:hAnsi="Verdana"/>
                <w:sz w:val="20"/>
                <w:szCs w:val="20"/>
              </w:rPr>
              <w:t>1</w:t>
            </w:r>
          </w:p>
        </w:tc>
        <w:tc>
          <w:tcPr>
            <w:tcW w:w="2409" w:type="dxa"/>
            <w:vAlign w:val="center"/>
          </w:tcPr>
          <w:p w:rsidR="005C3F63" w:rsidRDefault="006536E7">
            <w:pPr>
              <w:rPr>
                <w:rFonts w:ascii="Verdana" w:hAnsi="Verdana"/>
                <w:sz w:val="20"/>
                <w:szCs w:val="20"/>
              </w:rPr>
            </w:pPr>
            <w:r>
              <w:rPr>
                <w:rFonts w:ascii="Verdana" w:hAnsi="Verdana"/>
                <w:sz w:val="20"/>
                <w:szCs w:val="20"/>
              </w:rPr>
              <w:t>Guest House “Steppe Pearl”</w:t>
            </w:r>
          </w:p>
        </w:tc>
        <w:tc>
          <w:tcPr>
            <w:tcW w:w="2242" w:type="dxa"/>
            <w:vAlign w:val="center"/>
          </w:tcPr>
          <w:p w:rsidR="005C3F63" w:rsidRDefault="006536E7">
            <w:pPr>
              <w:rPr>
                <w:rFonts w:ascii="Verdana" w:hAnsi="Verdana"/>
                <w:sz w:val="20"/>
                <w:szCs w:val="20"/>
              </w:rPr>
            </w:pPr>
            <w:r>
              <w:rPr>
                <w:rFonts w:ascii="Verdana" w:hAnsi="Verdana"/>
                <w:sz w:val="20"/>
                <w:szCs w:val="20"/>
              </w:rPr>
              <w:t>300 /house</w:t>
            </w: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Donetsk region</w:t>
            </w:r>
          </w:p>
        </w:tc>
        <w:tc>
          <w:tcPr>
            <w:tcW w:w="1560" w:type="dxa"/>
            <w:vAlign w:val="center"/>
          </w:tcPr>
          <w:p w:rsidR="005C3F63" w:rsidRDefault="006536E7">
            <w:pPr>
              <w:rPr>
                <w:rFonts w:ascii="Verdana" w:hAnsi="Verdana"/>
                <w:sz w:val="20"/>
                <w:szCs w:val="20"/>
              </w:rPr>
            </w:pPr>
            <w:r>
              <w:rPr>
                <w:sz w:val="20"/>
                <w:szCs w:val="20"/>
              </w:rPr>
              <w:t>–</w:t>
            </w:r>
          </w:p>
        </w:tc>
        <w:tc>
          <w:tcPr>
            <w:tcW w:w="2409" w:type="dxa"/>
            <w:vAlign w:val="center"/>
          </w:tcPr>
          <w:p w:rsidR="005C3F63" w:rsidRDefault="005C3F63">
            <w:pPr>
              <w:rPr>
                <w:rFonts w:ascii="Verdana" w:hAnsi="Verdana"/>
                <w:sz w:val="20"/>
                <w:szCs w:val="20"/>
              </w:rPr>
            </w:pPr>
          </w:p>
        </w:tc>
        <w:tc>
          <w:tcPr>
            <w:tcW w:w="2242" w:type="dxa"/>
            <w:vAlign w:val="center"/>
          </w:tcPr>
          <w:p w:rsidR="005C3F63" w:rsidRDefault="005C3F63">
            <w:pPr>
              <w:rPr>
                <w:rFonts w:ascii="Verdana" w:hAnsi="Verdana"/>
                <w:sz w:val="20"/>
                <w:szCs w:val="20"/>
              </w:rPr>
            </w:pP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Zhytomyr region</w:t>
            </w:r>
          </w:p>
        </w:tc>
        <w:tc>
          <w:tcPr>
            <w:tcW w:w="1560" w:type="dxa"/>
            <w:vAlign w:val="center"/>
          </w:tcPr>
          <w:p w:rsidR="005C3F63" w:rsidRDefault="006536E7">
            <w:pPr>
              <w:rPr>
                <w:rFonts w:ascii="Verdana" w:hAnsi="Verdana"/>
                <w:sz w:val="20"/>
                <w:szCs w:val="20"/>
              </w:rPr>
            </w:pPr>
            <w:r>
              <w:rPr>
                <w:sz w:val="20"/>
                <w:szCs w:val="20"/>
              </w:rPr>
              <w:t>–</w:t>
            </w:r>
          </w:p>
        </w:tc>
        <w:tc>
          <w:tcPr>
            <w:tcW w:w="2409" w:type="dxa"/>
            <w:vAlign w:val="center"/>
          </w:tcPr>
          <w:p w:rsidR="005C3F63" w:rsidRDefault="005C3F63">
            <w:pPr>
              <w:rPr>
                <w:rFonts w:ascii="Verdana" w:hAnsi="Verdana"/>
                <w:sz w:val="20"/>
                <w:szCs w:val="20"/>
              </w:rPr>
            </w:pPr>
          </w:p>
        </w:tc>
        <w:tc>
          <w:tcPr>
            <w:tcW w:w="2242" w:type="dxa"/>
            <w:vAlign w:val="center"/>
          </w:tcPr>
          <w:p w:rsidR="005C3F63" w:rsidRDefault="005C3F63">
            <w:pPr>
              <w:rPr>
                <w:rFonts w:ascii="Verdana" w:hAnsi="Verdana"/>
                <w:sz w:val="20"/>
                <w:szCs w:val="20"/>
              </w:rPr>
            </w:pP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Transcarpathian region</w:t>
            </w:r>
          </w:p>
        </w:tc>
        <w:tc>
          <w:tcPr>
            <w:tcW w:w="1560" w:type="dxa"/>
            <w:vAlign w:val="center"/>
          </w:tcPr>
          <w:p w:rsidR="005C3F63" w:rsidRDefault="006536E7">
            <w:pPr>
              <w:rPr>
                <w:rFonts w:ascii="Verdana" w:hAnsi="Verdana"/>
                <w:sz w:val="20"/>
                <w:szCs w:val="20"/>
              </w:rPr>
            </w:pPr>
            <w:r>
              <w:rPr>
                <w:rFonts w:ascii="Verdana" w:hAnsi="Verdana"/>
                <w:sz w:val="20"/>
                <w:szCs w:val="20"/>
              </w:rPr>
              <w:t>10</w:t>
            </w:r>
          </w:p>
        </w:tc>
        <w:tc>
          <w:tcPr>
            <w:tcW w:w="2409" w:type="dxa"/>
            <w:vAlign w:val="center"/>
          </w:tcPr>
          <w:p w:rsidR="005C3F63" w:rsidRDefault="006536E7">
            <w:pPr>
              <w:rPr>
                <w:rFonts w:ascii="Verdana" w:hAnsi="Verdana"/>
                <w:sz w:val="20"/>
                <w:szCs w:val="20"/>
              </w:rPr>
            </w:pPr>
            <w:r>
              <w:rPr>
                <w:rFonts w:ascii="Verdana" w:hAnsi="Verdana"/>
                <w:sz w:val="20"/>
                <w:szCs w:val="20"/>
              </w:rPr>
              <w:t>Village house "Green homestead «Villa de Campo»"</w:t>
            </w:r>
          </w:p>
        </w:tc>
        <w:tc>
          <w:tcPr>
            <w:tcW w:w="2242" w:type="dxa"/>
            <w:vAlign w:val="center"/>
          </w:tcPr>
          <w:p w:rsidR="005C3F63" w:rsidRDefault="006536E7">
            <w:pPr>
              <w:rPr>
                <w:rFonts w:ascii="Verdana" w:hAnsi="Verdana"/>
                <w:sz w:val="20"/>
                <w:szCs w:val="20"/>
              </w:rPr>
            </w:pPr>
            <w:r>
              <w:rPr>
                <w:rFonts w:ascii="Verdana" w:hAnsi="Verdana"/>
                <w:sz w:val="20"/>
                <w:szCs w:val="20"/>
              </w:rPr>
              <w:t>100/ person</w:t>
            </w: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Zaporozhye region</w:t>
            </w:r>
          </w:p>
        </w:tc>
        <w:tc>
          <w:tcPr>
            <w:tcW w:w="1560" w:type="dxa"/>
            <w:vAlign w:val="center"/>
          </w:tcPr>
          <w:p w:rsidR="005C3F63" w:rsidRDefault="006536E7">
            <w:pPr>
              <w:rPr>
                <w:rFonts w:ascii="Verdana" w:hAnsi="Verdana"/>
                <w:sz w:val="20"/>
                <w:szCs w:val="20"/>
              </w:rPr>
            </w:pPr>
            <w:r>
              <w:rPr>
                <w:sz w:val="20"/>
                <w:szCs w:val="20"/>
              </w:rPr>
              <w:t>–</w:t>
            </w:r>
          </w:p>
        </w:tc>
        <w:tc>
          <w:tcPr>
            <w:tcW w:w="2409" w:type="dxa"/>
            <w:vAlign w:val="center"/>
          </w:tcPr>
          <w:p w:rsidR="005C3F63" w:rsidRDefault="005C3F63">
            <w:pPr>
              <w:rPr>
                <w:rFonts w:ascii="Verdana" w:hAnsi="Verdana"/>
                <w:sz w:val="20"/>
                <w:szCs w:val="20"/>
              </w:rPr>
            </w:pPr>
          </w:p>
        </w:tc>
        <w:tc>
          <w:tcPr>
            <w:tcW w:w="2242" w:type="dxa"/>
            <w:vAlign w:val="center"/>
          </w:tcPr>
          <w:p w:rsidR="005C3F63" w:rsidRDefault="005C3F63">
            <w:pPr>
              <w:rPr>
                <w:rFonts w:ascii="Verdana" w:hAnsi="Verdana"/>
                <w:sz w:val="20"/>
                <w:szCs w:val="20"/>
              </w:rPr>
            </w:pP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Ivano-Frankivsk region</w:t>
            </w:r>
          </w:p>
        </w:tc>
        <w:tc>
          <w:tcPr>
            <w:tcW w:w="1560" w:type="dxa"/>
            <w:vAlign w:val="center"/>
          </w:tcPr>
          <w:p w:rsidR="005C3F63" w:rsidRDefault="006536E7">
            <w:pPr>
              <w:rPr>
                <w:rFonts w:ascii="Verdana" w:hAnsi="Verdana"/>
                <w:sz w:val="20"/>
                <w:szCs w:val="20"/>
              </w:rPr>
            </w:pPr>
            <w:r>
              <w:rPr>
                <w:rFonts w:ascii="Verdana" w:hAnsi="Verdana"/>
                <w:sz w:val="20"/>
                <w:szCs w:val="20"/>
              </w:rPr>
              <w:t>3</w:t>
            </w:r>
          </w:p>
        </w:tc>
        <w:tc>
          <w:tcPr>
            <w:tcW w:w="2409" w:type="dxa"/>
            <w:vAlign w:val="center"/>
          </w:tcPr>
          <w:p w:rsidR="005C3F63" w:rsidRDefault="006536E7">
            <w:pPr>
              <w:rPr>
                <w:rFonts w:ascii="Verdana" w:hAnsi="Verdana"/>
                <w:sz w:val="20"/>
                <w:szCs w:val="20"/>
              </w:rPr>
            </w:pPr>
            <w:r>
              <w:rPr>
                <w:rFonts w:ascii="Verdana" w:hAnsi="Verdana"/>
                <w:sz w:val="20"/>
                <w:szCs w:val="20"/>
              </w:rPr>
              <w:t>Village house "Dniester House"</w:t>
            </w:r>
          </w:p>
        </w:tc>
        <w:tc>
          <w:tcPr>
            <w:tcW w:w="2242" w:type="dxa"/>
            <w:vAlign w:val="center"/>
          </w:tcPr>
          <w:p w:rsidR="005C3F63" w:rsidRDefault="006536E7">
            <w:pPr>
              <w:rPr>
                <w:rFonts w:ascii="Verdana" w:hAnsi="Verdana"/>
                <w:sz w:val="20"/>
                <w:szCs w:val="20"/>
              </w:rPr>
            </w:pPr>
            <w:r>
              <w:rPr>
                <w:rFonts w:ascii="Verdana" w:hAnsi="Verdana"/>
                <w:sz w:val="20"/>
                <w:szCs w:val="20"/>
              </w:rPr>
              <w:t>800/house</w:t>
            </w: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Kiev region</w:t>
            </w:r>
          </w:p>
        </w:tc>
        <w:tc>
          <w:tcPr>
            <w:tcW w:w="1560" w:type="dxa"/>
            <w:vAlign w:val="center"/>
          </w:tcPr>
          <w:p w:rsidR="005C3F63" w:rsidRDefault="006536E7">
            <w:pPr>
              <w:rPr>
                <w:rFonts w:ascii="Verdana" w:hAnsi="Verdana"/>
                <w:sz w:val="20"/>
                <w:szCs w:val="20"/>
              </w:rPr>
            </w:pPr>
            <w:r>
              <w:rPr>
                <w:rFonts w:ascii="Verdana" w:hAnsi="Verdana"/>
                <w:sz w:val="20"/>
                <w:szCs w:val="20"/>
              </w:rPr>
              <w:t>14</w:t>
            </w:r>
          </w:p>
        </w:tc>
        <w:tc>
          <w:tcPr>
            <w:tcW w:w="2409" w:type="dxa"/>
            <w:vAlign w:val="center"/>
          </w:tcPr>
          <w:p w:rsidR="005C3F63" w:rsidRDefault="006536E7">
            <w:pPr>
              <w:rPr>
                <w:rFonts w:ascii="Verdana" w:hAnsi="Verdana"/>
                <w:sz w:val="20"/>
                <w:szCs w:val="20"/>
              </w:rPr>
            </w:pPr>
            <w:r>
              <w:rPr>
                <w:rFonts w:ascii="Verdana" w:hAnsi="Verdana"/>
                <w:sz w:val="20"/>
                <w:szCs w:val="20"/>
              </w:rPr>
              <w:t>Village house "Viburnum bush "</w:t>
            </w:r>
          </w:p>
        </w:tc>
        <w:tc>
          <w:tcPr>
            <w:tcW w:w="2242" w:type="dxa"/>
            <w:vAlign w:val="center"/>
          </w:tcPr>
          <w:p w:rsidR="005C3F63" w:rsidRDefault="006536E7">
            <w:pPr>
              <w:rPr>
                <w:rFonts w:ascii="Verdana" w:hAnsi="Verdana"/>
                <w:sz w:val="20"/>
                <w:szCs w:val="20"/>
              </w:rPr>
            </w:pPr>
            <w:r>
              <w:rPr>
                <w:rFonts w:ascii="Verdana" w:hAnsi="Verdana"/>
                <w:sz w:val="20"/>
                <w:szCs w:val="20"/>
              </w:rPr>
              <w:t>780 /house</w:t>
            </w: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Kirovograd region</w:t>
            </w:r>
          </w:p>
        </w:tc>
        <w:tc>
          <w:tcPr>
            <w:tcW w:w="1560" w:type="dxa"/>
            <w:vAlign w:val="center"/>
          </w:tcPr>
          <w:p w:rsidR="005C3F63" w:rsidRDefault="006536E7">
            <w:pPr>
              <w:rPr>
                <w:rFonts w:ascii="Verdana" w:hAnsi="Verdana"/>
                <w:sz w:val="20"/>
                <w:szCs w:val="20"/>
              </w:rPr>
            </w:pPr>
            <w:r>
              <w:rPr>
                <w:sz w:val="20"/>
                <w:szCs w:val="20"/>
              </w:rPr>
              <w:t>–</w:t>
            </w:r>
          </w:p>
        </w:tc>
        <w:tc>
          <w:tcPr>
            <w:tcW w:w="2409" w:type="dxa"/>
            <w:vAlign w:val="center"/>
          </w:tcPr>
          <w:p w:rsidR="005C3F63" w:rsidRDefault="005C3F63">
            <w:pPr>
              <w:rPr>
                <w:rFonts w:ascii="Verdana" w:hAnsi="Verdana"/>
                <w:sz w:val="20"/>
                <w:szCs w:val="20"/>
              </w:rPr>
            </w:pPr>
          </w:p>
        </w:tc>
        <w:tc>
          <w:tcPr>
            <w:tcW w:w="2242" w:type="dxa"/>
            <w:vAlign w:val="center"/>
          </w:tcPr>
          <w:p w:rsidR="005C3F63" w:rsidRDefault="005C3F63">
            <w:pPr>
              <w:rPr>
                <w:rFonts w:ascii="Verdana" w:hAnsi="Verdana"/>
                <w:sz w:val="20"/>
                <w:szCs w:val="20"/>
              </w:rPr>
            </w:pP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Luhansk region</w:t>
            </w:r>
          </w:p>
        </w:tc>
        <w:tc>
          <w:tcPr>
            <w:tcW w:w="1560" w:type="dxa"/>
            <w:vAlign w:val="center"/>
          </w:tcPr>
          <w:p w:rsidR="005C3F63" w:rsidRDefault="006536E7">
            <w:pPr>
              <w:rPr>
                <w:rFonts w:ascii="Verdana" w:hAnsi="Verdana"/>
                <w:sz w:val="20"/>
                <w:szCs w:val="20"/>
              </w:rPr>
            </w:pPr>
            <w:r>
              <w:rPr>
                <w:sz w:val="20"/>
                <w:szCs w:val="20"/>
              </w:rPr>
              <w:t>–</w:t>
            </w:r>
          </w:p>
        </w:tc>
        <w:tc>
          <w:tcPr>
            <w:tcW w:w="2409" w:type="dxa"/>
            <w:vAlign w:val="center"/>
          </w:tcPr>
          <w:p w:rsidR="005C3F63" w:rsidRDefault="005C3F63">
            <w:pPr>
              <w:rPr>
                <w:rFonts w:ascii="Verdana" w:hAnsi="Verdana"/>
                <w:sz w:val="20"/>
                <w:szCs w:val="20"/>
              </w:rPr>
            </w:pPr>
          </w:p>
        </w:tc>
        <w:tc>
          <w:tcPr>
            <w:tcW w:w="2242" w:type="dxa"/>
            <w:vAlign w:val="center"/>
          </w:tcPr>
          <w:p w:rsidR="005C3F63" w:rsidRDefault="005C3F63">
            <w:pPr>
              <w:rPr>
                <w:rFonts w:ascii="Verdana" w:hAnsi="Verdana"/>
                <w:sz w:val="20"/>
                <w:szCs w:val="20"/>
              </w:rPr>
            </w:pP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Lviv region</w:t>
            </w:r>
          </w:p>
        </w:tc>
        <w:tc>
          <w:tcPr>
            <w:tcW w:w="1560" w:type="dxa"/>
            <w:vAlign w:val="center"/>
          </w:tcPr>
          <w:p w:rsidR="005C3F63" w:rsidRDefault="006536E7">
            <w:pPr>
              <w:rPr>
                <w:rFonts w:ascii="Verdana" w:hAnsi="Verdana"/>
                <w:sz w:val="20"/>
                <w:szCs w:val="20"/>
              </w:rPr>
            </w:pPr>
            <w:r>
              <w:rPr>
                <w:rFonts w:ascii="Verdana" w:hAnsi="Verdana"/>
                <w:sz w:val="20"/>
                <w:szCs w:val="20"/>
              </w:rPr>
              <w:t>1</w:t>
            </w:r>
          </w:p>
        </w:tc>
        <w:tc>
          <w:tcPr>
            <w:tcW w:w="2409" w:type="dxa"/>
            <w:vAlign w:val="center"/>
          </w:tcPr>
          <w:p w:rsidR="005C3F63" w:rsidRDefault="006536E7">
            <w:pPr>
              <w:rPr>
                <w:rFonts w:ascii="Verdana" w:hAnsi="Verdana"/>
                <w:sz w:val="20"/>
                <w:szCs w:val="20"/>
              </w:rPr>
            </w:pPr>
            <w:r>
              <w:rPr>
                <w:rFonts w:ascii="Verdana" w:hAnsi="Verdana"/>
                <w:sz w:val="20"/>
                <w:szCs w:val="20"/>
              </w:rPr>
              <w:t>Guest House "U Domashky"</w:t>
            </w:r>
          </w:p>
        </w:tc>
        <w:tc>
          <w:tcPr>
            <w:tcW w:w="2242" w:type="dxa"/>
            <w:vAlign w:val="center"/>
          </w:tcPr>
          <w:p w:rsidR="005C3F63" w:rsidRDefault="006536E7">
            <w:pPr>
              <w:rPr>
                <w:rFonts w:ascii="Verdana" w:hAnsi="Verdana"/>
                <w:sz w:val="20"/>
                <w:szCs w:val="20"/>
              </w:rPr>
            </w:pPr>
            <w:r>
              <w:rPr>
                <w:rFonts w:ascii="Verdana" w:hAnsi="Verdana"/>
                <w:sz w:val="20"/>
                <w:szCs w:val="20"/>
              </w:rPr>
              <w:t>500 /house</w:t>
            </w: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lastRenderedPageBreak/>
              <w:t>Mykolaiv region</w:t>
            </w:r>
          </w:p>
        </w:tc>
        <w:tc>
          <w:tcPr>
            <w:tcW w:w="1560" w:type="dxa"/>
            <w:vAlign w:val="center"/>
          </w:tcPr>
          <w:p w:rsidR="005C3F63" w:rsidRDefault="006536E7">
            <w:pPr>
              <w:rPr>
                <w:rFonts w:ascii="Verdana" w:hAnsi="Verdana"/>
                <w:sz w:val="20"/>
                <w:szCs w:val="20"/>
              </w:rPr>
            </w:pPr>
            <w:r>
              <w:rPr>
                <w:rFonts w:ascii="Verdana" w:hAnsi="Verdana"/>
                <w:sz w:val="20"/>
                <w:szCs w:val="20"/>
              </w:rPr>
              <w:t>1</w:t>
            </w:r>
          </w:p>
        </w:tc>
        <w:tc>
          <w:tcPr>
            <w:tcW w:w="2409" w:type="dxa"/>
            <w:vAlign w:val="center"/>
          </w:tcPr>
          <w:p w:rsidR="005C3F63" w:rsidRDefault="006536E7">
            <w:pPr>
              <w:rPr>
                <w:rFonts w:ascii="Verdana" w:hAnsi="Verdana"/>
                <w:sz w:val="20"/>
                <w:szCs w:val="20"/>
              </w:rPr>
            </w:pPr>
            <w:r>
              <w:rPr>
                <w:rFonts w:ascii="Verdana" w:hAnsi="Verdana"/>
                <w:sz w:val="20"/>
                <w:szCs w:val="20"/>
              </w:rPr>
              <w:t>Guest House "VitavkA"</w:t>
            </w:r>
          </w:p>
        </w:tc>
        <w:tc>
          <w:tcPr>
            <w:tcW w:w="2242" w:type="dxa"/>
            <w:vAlign w:val="center"/>
          </w:tcPr>
          <w:p w:rsidR="005C3F63" w:rsidRDefault="006536E7">
            <w:pPr>
              <w:rPr>
                <w:rFonts w:ascii="Verdana" w:hAnsi="Verdana"/>
                <w:sz w:val="20"/>
                <w:szCs w:val="20"/>
              </w:rPr>
            </w:pPr>
            <w:r>
              <w:rPr>
                <w:rFonts w:ascii="Verdana" w:hAnsi="Verdana"/>
                <w:sz w:val="20"/>
                <w:szCs w:val="20"/>
              </w:rPr>
              <w:t>300/person</w:t>
            </w: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Odessa region</w:t>
            </w:r>
          </w:p>
        </w:tc>
        <w:tc>
          <w:tcPr>
            <w:tcW w:w="1560" w:type="dxa"/>
            <w:vAlign w:val="center"/>
          </w:tcPr>
          <w:p w:rsidR="005C3F63" w:rsidRDefault="006536E7">
            <w:pPr>
              <w:rPr>
                <w:rFonts w:ascii="Verdana" w:hAnsi="Verdana"/>
                <w:sz w:val="20"/>
                <w:szCs w:val="20"/>
              </w:rPr>
            </w:pPr>
            <w:r>
              <w:rPr>
                <w:rFonts w:ascii="Verdana" w:hAnsi="Verdana"/>
                <w:sz w:val="20"/>
                <w:szCs w:val="20"/>
              </w:rPr>
              <w:t>1</w:t>
            </w:r>
          </w:p>
        </w:tc>
        <w:tc>
          <w:tcPr>
            <w:tcW w:w="2409" w:type="dxa"/>
            <w:vAlign w:val="center"/>
          </w:tcPr>
          <w:p w:rsidR="005C3F63" w:rsidRDefault="006536E7">
            <w:pPr>
              <w:rPr>
                <w:rFonts w:ascii="Verdana" w:hAnsi="Verdana"/>
                <w:sz w:val="20"/>
                <w:szCs w:val="20"/>
              </w:rPr>
            </w:pPr>
            <w:r>
              <w:rPr>
                <w:rFonts w:ascii="Verdana" w:hAnsi="Verdana"/>
                <w:sz w:val="20"/>
                <w:szCs w:val="20"/>
              </w:rPr>
              <w:t>Village house "House-museumParents' House"</w:t>
            </w:r>
          </w:p>
        </w:tc>
        <w:tc>
          <w:tcPr>
            <w:tcW w:w="2242" w:type="dxa"/>
            <w:vAlign w:val="center"/>
          </w:tcPr>
          <w:p w:rsidR="005C3F63" w:rsidRDefault="006536E7">
            <w:pPr>
              <w:rPr>
                <w:rFonts w:ascii="Verdana" w:hAnsi="Verdana"/>
                <w:sz w:val="20"/>
                <w:szCs w:val="20"/>
              </w:rPr>
            </w:pPr>
            <w:r>
              <w:rPr>
                <w:rFonts w:ascii="Verdana" w:hAnsi="Verdana"/>
                <w:sz w:val="20"/>
                <w:szCs w:val="20"/>
              </w:rPr>
              <w:t>100/ person</w:t>
            </w: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Poltava region</w:t>
            </w:r>
          </w:p>
        </w:tc>
        <w:tc>
          <w:tcPr>
            <w:tcW w:w="1560" w:type="dxa"/>
            <w:vAlign w:val="center"/>
          </w:tcPr>
          <w:p w:rsidR="005C3F63" w:rsidRDefault="006536E7">
            <w:pPr>
              <w:rPr>
                <w:rFonts w:ascii="Verdana" w:hAnsi="Verdana"/>
                <w:sz w:val="20"/>
                <w:szCs w:val="20"/>
              </w:rPr>
            </w:pPr>
            <w:r>
              <w:rPr>
                <w:rFonts w:ascii="Verdana" w:hAnsi="Verdana"/>
                <w:sz w:val="20"/>
                <w:szCs w:val="20"/>
              </w:rPr>
              <w:t>5</w:t>
            </w:r>
          </w:p>
        </w:tc>
        <w:tc>
          <w:tcPr>
            <w:tcW w:w="2409" w:type="dxa"/>
            <w:vAlign w:val="center"/>
          </w:tcPr>
          <w:p w:rsidR="005C3F63" w:rsidRDefault="006536E7">
            <w:pPr>
              <w:rPr>
                <w:rFonts w:ascii="Verdana" w:hAnsi="Verdana"/>
                <w:sz w:val="20"/>
                <w:szCs w:val="20"/>
              </w:rPr>
            </w:pPr>
            <w:r>
              <w:rPr>
                <w:rFonts w:ascii="Verdana" w:hAnsi="Verdana"/>
                <w:sz w:val="20"/>
                <w:szCs w:val="20"/>
              </w:rPr>
              <w:t>Village house "Khutir yabluchne"</w:t>
            </w:r>
          </w:p>
        </w:tc>
        <w:tc>
          <w:tcPr>
            <w:tcW w:w="2242" w:type="dxa"/>
            <w:vAlign w:val="center"/>
          </w:tcPr>
          <w:p w:rsidR="005C3F63" w:rsidRDefault="006536E7">
            <w:pPr>
              <w:rPr>
                <w:rFonts w:ascii="Verdana" w:hAnsi="Verdana"/>
                <w:sz w:val="20"/>
                <w:szCs w:val="20"/>
              </w:rPr>
            </w:pPr>
            <w:r>
              <w:rPr>
                <w:rFonts w:ascii="Verdana" w:hAnsi="Verdana"/>
                <w:sz w:val="20"/>
                <w:szCs w:val="20"/>
              </w:rPr>
              <w:t>950/ house</w:t>
            </w: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Rivne region</w:t>
            </w:r>
          </w:p>
        </w:tc>
        <w:tc>
          <w:tcPr>
            <w:tcW w:w="1560" w:type="dxa"/>
            <w:vAlign w:val="center"/>
          </w:tcPr>
          <w:p w:rsidR="005C3F63" w:rsidRDefault="006536E7">
            <w:pPr>
              <w:rPr>
                <w:rFonts w:ascii="Verdana" w:hAnsi="Verdana"/>
                <w:sz w:val="20"/>
                <w:szCs w:val="20"/>
              </w:rPr>
            </w:pPr>
            <w:r>
              <w:rPr>
                <w:sz w:val="20"/>
                <w:szCs w:val="20"/>
              </w:rPr>
              <w:t>–</w:t>
            </w:r>
          </w:p>
        </w:tc>
        <w:tc>
          <w:tcPr>
            <w:tcW w:w="2409" w:type="dxa"/>
            <w:vAlign w:val="center"/>
          </w:tcPr>
          <w:p w:rsidR="005C3F63" w:rsidRDefault="005C3F63">
            <w:pPr>
              <w:rPr>
                <w:rFonts w:ascii="Verdana" w:hAnsi="Verdana"/>
                <w:sz w:val="20"/>
                <w:szCs w:val="20"/>
              </w:rPr>
            </w:pPr>
          </w:p>
        </w:tc>
        <w:tc>
          <w:tcPr>
            <w:tcW w:w="2242" w:type="dxa"/>
            <w:vAlign w:val="center"/>
          </w:tcPr>
          <w:p w:rsidR="005C3F63" w:rsidRDefault="005C3F63">
            <w:pPr>
              <w:rPr>
                <w:rFonts w:ascii="Verdana" w:hAnsi="Verdana"/>
                <w:sz w:val="20"/>
                <w:szCs w:val="20"/>
              </w:rPr>
            </w:pP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Sumy region</w:t>
            </w:r>
          </w:p>
        </w:tc>
        <w:tc>
          <w:tcPr>
            <w:tcW w:w="1560" w:type="dxa"/>
            <w:vAlign w:val="center"/>
          </w:tcPr>
          <w:p w:rsidR="005C3F63" w:rsidRDefault="006536E7">
            <w:pPr>
              <w:rPr>
                <w:rFonts w:ascii="Verdana" w:hAnsi="Verdana"/>
                <w:sz w:val="20"/>
                <w:szCs w:val="20"/>
              </w:rPr>
            </w:pPr>
            <w:r>
              <w:rPr>
                <w:sz w:val="20"/>
                <w:szCs w:val="20"/>
              </w:rPr>
              <w:t>–</w:t>
            </w:r>
          </w:p>
        </w:tc>
        <w:tc>
          <w:tcPr>
            <w:tcW w:w="2409" w:type="dxa"/>
            <w:vAlign w:val="center"/>
          </w:tcPr>
          <w:p w:rsidR="005C3F63" w:rsidRDefault="005C3F63">
            <w:pPr>
              <w:rPr>
                <w:rFonts w:ascii="Verdana" w:hAnsi="Verdana"/>
                <w:sz w:val="20"/>
                <w:szCs w:val="20"/>
              </w:rPr>
            </w:pPr>
          </w:p>
        </w:tc>
        <w:tc>
          <w:tcPr>
            <w:tcW w:w="2242" w:type="dxa"/>
            <w:vAlign w:val="center"/>
          </w:tcPr>
          <w:p w:rsidR="005C3F63" w:rsidRDefault="005C3F63">
            <w:pPr>
              <w:rPr>
                <w:rFonts w:ascii="Verdana" w:hAnsi="Verdana"/>
                <w:sz w:val="20"/>
                <w:szCs w:val="20"/>
              </w:rPr>
            </w:pP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Ternopil region</w:t>
            </w:r>
          </w:p>
        </w:tc>
        <w:tc>
          <w:tcPr>
            <w:tcW w:w="1560" w:type="dxa"/>
            <w:vAlign w:val="center"/>
          </w:tcPr>
          <w:p w:rsidR="005C3F63" w:rsidRDefault="006536E7">
            <w:pPr>
              <w:rPr>
                <w:rFonts w:ascii="Verdana" w:hAnsi="Verdana"/>
                <w:sz w:val="20"/>
                <w:szCs w:val="20"/>
              </w:rPr>
            </w:pPr>
            <w:r>
              <w:rPr>
                <w:sz w:val="20"/>
                <w:szCs w:val="20"/>
              </w:rPr>
              <w:t>–</w:t>
            </w:r>
          </w:p>
        </w:tc>
        <w:tc>
          <w:tcPr>
            <w:tcW w:w="2409" w:type="dxa"/>
            <w:vAlign w:val="center"/>
          </w:tcPr>
          <w:p w:rsidR="005C3F63" w:rsidRDefault="005C3F63">
            <w:pPr>
              <w:rPr>
                <w:rFonts w:ascii="Verdana" w:hAnsi="Verdana"/>
                <w:sz w:val="20"/>
                <w:szCs w:val="20"/>
              </w:rPr>
            </w:pPr>
          </w:p>
        </w:tc>
        <w:tc>
          <w:tcPr>
            <w:tcW w:w="2242" w:type="dxa"/>
            <w:vAlign w:val="center"/>
          </w:tcPr>
          <w:p w:rsidR="005C3F63" w:rsidRDefault="005C3F63">
            <w:pPr>
              <w:rPr>
                <w:rFonts w:ascii="Verdana" w:hAnsi="Verdana"/>
                <w:sz w:val="20"/>
                <w:szCs w:val="20"/>
              </w:rPr>
            </w:pP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Kharkiv region</w:t>
            </w:r>
          </w:p>
        </w:tc>
        <w:tc>
          <w:tcPr>
            <w:tcW w:w="1560" w:type="dxa"/>
            <w:vAlign w:val="center"/>
          </w:tcPr>
          <w:p w:rsidR="005C3F63" w:rsidRDefault="006536E7">
            <w:pPr>
              <w:rPr>
                <w:rFonts w:ascii="Verdana" w:hAnsi="Verdana"/>
                <w:sz w:val="20"/>
                <w:szCs w:val="20"/>
              </w:rPr>
            </w:pPr>
            <w:r>
              <w:rPr>
                <w:sz w:val="20"/>
                <w:szCs w:val="20"/>
              </w:rPr>
              <w:t>–</w:t>
            </w:r>
          </w:p>
        </w:tc>
        <w:tc>
          <w:tcPr>
            <w:tcW w:w="2409" w:type="dxa"/>
            <w:vAlign w:val="center"/>
          </w:tcPr>
          <w:p w:rsidR="005C3F63" w:rsidRDefault="005C3F63">
            <w:pPr>
              <w:rPr>
                <w:rFonts w:ascii="Verdana" w:hAnsi="Verdana"/>
                <w:sz w:val="20"/>
                <w:szCs w:val="20"/>
              </w:rPr>
            </w:pPr>
          </w:p>
        </w:tc>
        <w:tc>
          <w:tcPr>
            <w:tcW w:w="2242" w:type="dxa"/>
            <w:vAlign w:val="center"/>
          </w:tcPr>
          <w:p w:rsidR="005C3F63" w:rsidRDefault="005C3F63">
            <w:pPr>
              <w:rPr>
                <w:rFonts w:ascii="Verdana" w:hAnsi="Verdana"/>
                <w:sz w:val="20"/>
                <w:szCs w:val="20"/>
              </w:rPr>
            </w:pP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Kherson region</w:t>
            </w:r>
          </w:p>
        </w:tc>
        <w:tc>
          <w:tcPr>
            <w:tcW w:w="1560" w:type="dxa"/>
            <w:vAlign w:val="center"/>
          </w:tcPr>
          <w:p w:rsidR="005C3F63" w:rsidRDefault="006536E7">
            <w:pPr>
              <w:rPr>
                <w:rFonts w:ascii="Verdana" w:hAnsi="Verdana"/>
                <w:sz w:val="20"/>
                <w:szCs w:val="20"/>
              </w:rPr>
            </w:pPr>
            <w:r>
              <w:rPr>
                <w:sz w:val="20"/>
                <w:szCs w:val="20"/>
              </w:rPr>
              <w:t>–</w:t>
            </w:r>
          </w:p>
        </w:tc>
        <w:tc>
          <w:tcPr>
            <w:tcW w:w="2409" w:type="dxa"/>
            <w:vAlign w:val="center"/>
          </w:tcPr>
          <w:p w:rsidR="005C3F63" w:rsidRDefault="005C3F63">
            <w:pPr>
              <w:rPr>
                <w:rFonts w:ascii="Verdana" w:hAnsi="Verdana"/>
                <w:sz w:val="20"/>
                <w:szCs w:val="20"/>
              </w:rPr>
            </w:pPr>
          </w:p>
        </w:tc>
        <w:tc>
          <w:tcPr>
            <w:tcW w:w="2242" w:type="dxa"/>
            <w:vAlign w:val="center"/>
          </w:tcPr>
          <w:p w:rsidR="005C3F63" w:rsidRDefault="005C3F63">
            <w:pPr>
              <w:rPr>
                <w:rFonts w:ascii="Verdana" w:hAnsi="Verdana"/>
                <w:sz w:val="20"/>
                <w:szCs w:val="20"/>
              </w:rPr>
            </w:pP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Khmelnytsky region</w:t>
            </w:r>
          </w:p>
        </w:tc>
        <w:tc>
          <w:tcPr>
            <w:tcW w:w="1560" w:type="dxa"/>
            <w:vAlign w:val="center"/>
          </w:tcPr>
          <w:p w:rsidR="005C3F63" w:rsidRDefault="006536E7">
            <w:pPr>
              <w:rPr>
                <w:rFonts w:ascii="Verdana" w:hAnsi="Verdana"/>
                <w:sz w:val="20"/>
                <w:szCs w:val="20"/>
              </w:rPr>
            </w:pPr>
            <w:r>
              <w:rPr>
                <w:rFonts w:ascii="Verdana" w:hAnsi="Verdana"/>
                <w:sz w:val="20"/>
                <w:szCs w:val="20"/>
              </w:rPr>
              <w:t>12</w:t>
            </w:r>
          </w:p>
        </w:tc>
        <w:tc>
          <w:tcPr>
            <w:tcW w:w="2409" w:type="dxa"/>
            <w:vAlign w:val="center"/>
          </w:tcPr>
          <w:p w:rsidR="005C3F63" w:rsidRDefault="006536E7">
            <w:pPr>
              <w:rPr>
                <w:rFonts w:ascii="Verdana" w:hAnsi="Verdana"/>
                <w:sz w:val="20"/>
                <w:szCs w:val="20"/>
              </w:rPr>
            </w:pPr>
            <w:r>
              <w:rPr>
                <w:rFonts w:ascii="Verdana" w:hAnsi="Verdana"/>
                <w:sz w:val="20"/>
                <w:szCs w:val="20"/>
              </w:rPr>
              <w:t>Village house "Sokil Valley"</w:t>
            </w:r>
          </w:p>
        </w:tc>
        <w:tc>
          <w:tcPr>
            <w:tcW w:w="2242" w:type="dxa"/>
            <w:vAlign w:val="center"/>
          </w:tcPr>
          <w:p w:rsidR="005C3F63" w:rsidRDefault="006536E7">
            <w:pPr>
              <w:rPr>
                <w:rFonts w:ascii="Verdana" w:hAnsi="Verdana"/>
                <w:sz w:val="20"/>
                <w:szCs w:val="20"/>
              </w:rPr>
            </w:pPr>
            <w:r>
              <w:rPr>
                <w:rFonts w:ascii="Verdana" w:hAnsi="Verdana"/>
                <w:sz w:val="20"/>
                <w:szCs w:val="20"/>
              </w:rPr>
              <w:t>100 /person</w:t>
            </w: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Cherkasy region</w:t>
            </w:r>
          </w:p>
        </w:tc>
        <w:tc>
          <w:tcPr>
            <w:tcW w:w="1560" w:type="dxa"/>
            <w:vAlign w:val="center"/>
          </w:tcPr>
          <w:p w:rsidR="005C3F63" w:rsidRDefault="006536E7">
            <w:pPr>
              <w:rPr>
                <w:rFonts w:ascii="Verdana" w:hAnsi="Verdana"/>
                <w:sz w:val="20"/>
                <w:szCs w:val="20"/>
              </w:rPr>
            </w:pPr>
            <w:r>
              <w:rPr>
                <w:rFonts w:ascii="Verdana" w:hAnsi="Verdana"/>
                <w:sz w:val="20"/>
                <w:szCs w:val="20"/>
              </w:rPr>
              <w:t>4</w:t>
            </w:r>
          </w:p>
        </w:tc>
        <w:tc>
          <w:tcPr>
            <w:tcW w:w="2409" w:type="dxa"/>
            <w:vAlign w:val="center"/>
          </w:tcPr>
          <w:p w:rsidR="005C3F63" w:rsidRDefault="006536E7">
            <w:pPr>
              <w:rPr>
                <w:rFonts w:ascii="Verdana" w:hAnsi="Verdana"/>
                <w:sz w:val="20"/>
                <w:szCs w:val="20"/>
              </w:rPr>
            </w:pPr>
            <w:r>
              <w:rPr>
                <w:rFonts w:ascii="Verdana" w:hAnsi="Verdana"/>
                <w:sz w:val="20"/>
                <w:szCs w:val="20"/>
              </w:rPr>
              <w:t>Guest House "Tarasovi shliakhy"</w:t>
            </w:r>
          </w:p>
        </w:tc>
        <w:tc>
          <w:tcPr>
            <w:tcW w:w="2242" w:type="dxa"/>
            <w:vAlign w:val="center"/>
          </w:tcPr>
          <w:p w:rsidR="005C3F63" w:rsidRDefault="006536E7">
            <w:pPr>
              <w:rPr>
                <w:rFonts w:ascii="Verdana" w:hAnsi="Verdana"/>
                <w:sz w:val="20"/>
                <w:szCs w:val="20"/>
              </w:rPr>
            </w:pPr>
            <w:r>
              <w:rPr>
                <w:rFonts w:ascii="Verdana" w:hAnsi="Verdana"/>
                <w:sz w:val="20"/>
                <w:szCs w:val="20"/>
              </w:rPr>
              <w:t>300/ person</w:t>
            </w:r>
          </w:p>
        </w:tc>
      </w:tr>
      <w:tr w:rsidR="005C3F63">
        <w:trPr>
          <w:jc w:val="center"/>
        </w:trPr>
        <w:tc>
          <w:tcPr>
            <w:tcW w:w="2943" w:type="dxa"/>
            <w:vAlign w:val="center"/>
          </w:tcPr>
          <w:p w:rsidR="005C3F63" w:rsidRDefault="006536E7">
            <w:pPr>
              <w:shd w:val="clear" w:color="auto" w:fill="FFFFFF"/>
              <w:textAlignment w:val="baseline"/>
              <w:rPr>
                <w:rStyle w:val="af9"/>
                <w:rFonts w:ascii="Verdana" w:hAnsi="Verdana" w:cs="Arial"/>
                <w:b/>
                <w:sz w:val="20"/>
                <w:szCs w:val="20"/>
              </w:rPr>
            </w:pPr>
            <w:r>
              <w:rPr>
                <w:rStyle w:val="af9"/>
                <w:rFonts w:ascii="Verdana" w:hAnsi="Verdana" w:cs="Arial"/>
                <w:b/>
                <w:sz w:val="20"/>
                <w:szCs w:val="20"/>
              </w:rPr>
              <w:t>Chernivtsi region</w:t>
            </w:r>
          </w:p>
        </w:tc>
        <w:tc>
          <w:tcPr>
            <w:tcW w:w="1560" w:type="dxa"/>
            <w:vAlign w:val="center"/>
          </w:tcPr>
          <w:p w:rsidR="005C3F63" w:rsidRDefault="006536E7">
            <w:pPr>
              <w:rPr>
                <w:rFonts w:ascii="Verdana" w:hAnsi="Verdana"/>
                <w:sz w:val="20"/>
                <w:szCs w:val="20"/>
              </w:rPr>
            </w:pPr>
            <w:r>
              <w:rPr>
                <w:sz w:val="20"/>
                <w:szCs w:val="20"/>
              </w:rPr>
              <w:t>–</w:t>
            </w:r>
          </w:p>
        </w:tc>
        <w:tc>
          <w:tcPr>
            <w:tcW w:w="2409" w:type="dxa"/>
            <w:vAlign w:val="center"/>
          </w:tcPr>
          <w:p w:rsidR="005C3F63" w:rsidRDefault="005C3F63">
            <w:pPr>
              <w:rPr>
                <w:rFonts w:ascii="Verdana" w:hAnsi="Verdana"/>
                <w:sz w:val="20"/>
                <w:szCs w:val="20"/>
              </w:rPr>
            </w:pPr>
          </w:p>
        </w:tc>
        <w:tc>
          <w:tcPr>
            <w:tcW w:w="2242" w:type="dxa"/>
            <w:vAlign w:val="center"/>
          </w:tcPr>
          <w:p w:rsidR="005C3F63" w:rsidRDefault="005C3F63">
            <w:pPr>
              <w:rPr>
                <w:rFonts w:ascii="Verdana" w:hAnsi="Verdana"/>
                <w:sz w:val="20"/>
                <w:szCs w:val="20"/>
              </w:rPr>
            </w:pPr>
          </w:p>
        </w:tc>
      </w:tr>
      <w:tr w:rsidR="005C3F63">
        <w:trPr>
          <w:jc w:val="center"/>
        </w:trPr>
        <w:tc>
          <w:tcPr>
            <w:tcW w:w="2943" w:type="dxa"/>
            <w:vAlign w:val="center"/>
          </w:tcPr>
          <w:p w:rsidR="005C3F63" w:rsidRDefault="006536E7">
            <w:pPr>
              <w:rPr>
                <w:rFonts w:ascii="Verdana" w:hAnsi="Verdana"/>
                <w:b/>
                <w:sz w:val="20"/>
                <w:szCs w:val="20"/>
              </w:rPr>
            </w:pPr>
            <w:r>
              <w:rPr>
                <w:rFonts w:ascii="Verdana" w:hAnsi="Verdana"/>
                <w:b/>
                <w:sz w:val="20"/>
                <w:szCs w:val="20"/>
              </w:rPr>
              <w:t>Chernihiv region</w:t>
            </w:r>
          </w:p>
        </w:tc>
        <w:tc>
          <w:tcPr>
            <w:tcW w:w="1560" w:type="dxa"/>
            <w:vAlign w:val="center"/>
          </w:tcPr>
          <w:p w:rsidR="005C3F63" w:rsidRDefault="006536E7">
            <w:pPr>
              <w:rPr>
                <w:rFonts w:ascii="Verdana" w:hAnsi="Verdana"/>
                <w:sz w:val="20"/>
                <w:szCs w:val="20"/>
              </w:rPr>
            </w:pPr>
            <w:r>
              <w:rPr>
                <w:rFonts w:ascii="Verdana" w:hAnsi="Verdana"/>
                <w:sz w:val="20"/>
                <w:szCs w:val="20"/>
              </w:rPr>
              <w:t>4</w:t>
            </w:r>
          </w:p>
        </w:tc>
        <w:tc>
          <w:tcPr>
            <w:tcW w:w="2409" w:type="dxa"/>
            <w:vAlign w:val="center"/>
          </w:tcPr>
          <w:p w:rsidR="005C3F63" w:rsidRDefault="006536E7">
            <w:pPr>
              <w:rPr>
                <w:rFonts w:ascii="Verdana" w:hAnsi="Verdana"/>
                <w:sz w:val="20"/>
                <w:szCs w:val="20"/>
              </w:rPr>
            </w:pPr>
            <w:r>
              <w:rPr>
                <w:rFonts w:ascii="Verdana" w:hAnsi="Verdana"/>
                <w:sz w:val="20"/>
                <w:szCs w:val="20"/>
              </w:rPr>
              <w:t>Village house "U Vasylia"</w:t>
            </w:r>
          </w:p>
        </w:tc>
        <w:tc>
          <w:tcPr>
            <w:tcW w:w="2242" w:type="dxa"/>
            <w:vAlign w:val="center"/>
          </w:tcPr>
          <w:p w:rsidR="005C3F63" w:rsidRDefault="006536E7">
            <w:pPr>
              <w:rPr>
                <w:rFonts w:ascii="Verdana" w:hAnsi="Verdana"/>
                <w:sz w:val="20"/>
                <w:szCs w:val="20"/>
              </w:rPr>
            </w:pPr>
            <w:r>
              <w:rPr>
                <w:rFonts w:ascii="Verdana" w:hAnsi="Verdana"/>
                <w:sz w:val="20"/>
                <w:szCs w:val="20"/>
              </w:rPr>
              <w:t>180 /person</w:t>
            </w:r>
          </w:p>
        </w:tc>
      </w:tr>
    </w:tbl>
    <w:p w:rsidR="005C3F63" w:rsidRDefault="006536E7">
      <w:pPr>
        <w:pStyle w:val="a1"/>
        <w:ind w:firstLine="540"/>
        <w:rPr>
          <w:rFonts w:ascii="Verdana" w:hAnsi="Verdana"/>
          <w:sz w:val="20"/>
        </w:rPr>
      </w:pPr>
      <w:r>
        <w:rPr>
          <w:rFonts w:ascii="Verdana" w:hAnsi="Verdana"/>
          <w:sz w:val="20"/>
        </w:rPr>
        <w:t>Compiled by the author on the basis of:ruraltourism.com.ua</w:t>
      </w:r>
    </w:p>
    <w:p w:rsidR="005C3F63" w:rsidRDefault="006536E7">
      <w:pPr>
        <w:pStyle w:val="a1"/>
        <w:rPr>
          <w:rFonts w:ascii="Verdana" w:hAnsi="Verdana"/>
          <w:sz w:val="20"/>
        </w:rPr>
      </w:pPr>
      <w:r>
        <w:rPr>
          <w:rFonts w:ascii="Verdana" w:hAnsi="Verdana"/>
          <w:sz w:val="20"/>
        </w:rPr>
        <w:t>The total number of the agro-villages that are open for tourists is very difficult to determine, as most of them are unregistered. Data from the rural tourism.com.ua portal confirm the thesis that strong green tourism is developing only in the Carpathians and partially in the Kyiv region. In the Carpathian regions, it is due to the fact that private recreation in the countryside has existed here for a long time, and is not something new for these areas. Also, these regions, of course, can be called the most attractive for tourists from a natural point of view, and they can boast of a large number of attractions that are absent in other regions of Ukraine. However, the number of rural tourism farmsteads is gradually increasing in Ukraine, although so far this activity has not received sufficient theoretical justification, discussions continue even on the interpretation of its essence.</w:t>
      </w:r>
    </w:p>
    <w:p w:rsidR="005C3F63" w:rsidRDefault="005C3F63">
      <w:pPr>
        <w:pStyle w:val="a1"/>
        <w:rPr>
          <w:rFonts w:ascii="Verdana" w:hAnsi="Verdana"/>
          <w:sz w:val="20"/>
        </w:rPr>
      </w:pPr>
    </w:p>
    <w:p w:rsidR="005C3F63" w:rsidRDefault="006536E7">
      <w:pPr>
        <w:pStyle w:val="a1"/>
        <w:rPr>
          <w:szCs w:val="28"/>
        </w:rPr>
      </w:pPr>
      <w:r>
        <w:rPr>
          <w:rFonts w:ascii="Verdana" w:hAnsi="Verdana"/>
          <w:b/>
          <w:sz w:val="22"/>
        </w:rPr>
        <w:t>3 Result sand Discussion</w:t>
      </w:r>
    </w:p>
    <w:p w:rsidR="005C3F63" w:rsidRDefault="005C3F63">
      <w:pPr>
        <w:pStyle w:val="a1"/>
        <w:rPr>
          <w:szCs w:val="28"/>
        </w:rPr>
      </w:pPr>
    </w:p>
    <w:p w:rsidR="005C3F63" w:rsidRDefault="006536E7">
      <w:pPr>
        <w:pStyle w:val="a1"/>
        <w:rPr>
          <w:rFonts w:ascii="Verdana" w:hAnsi="Verdana"/>
          <w:sz w:val="20"/>
        </w:rPr>
      </w:pPr>
      <w:r>
        <w:rPr>
          <w:rFonts w:ascii="Verdana" w:hAnsi="Verdana"/>
          <w:sz w:val="20"/>
        </w:rPr>
        <w:t>Tourism is a multifaceted concept, in the narrow sense it is a form of active recreation (travel, excursions and hikes, sports entertainment, cultural development of citizens), in the broad sense it is a branch of economy (employment, increase of income, and formation of tourist market). There is a wide range of types of tourism, including rural.</w:t>
      </w:r>
    </w:p>
    <w:p w:rsidR="005C3F63" w:rsidRDefault="006536E7">
      <w:pPr>
        <w:pStyle w:val="a1"/>
        <w:rPr>
          <w:rFonts w:ascii="Verdana" w:hAnsi="Verdana" w:cs="Arial"/>
          <w:sz w:val="20"/>
        </w:rPr>
      </w:pPr>
      <w:r>
        <w:rPr>
          <w:rFonts w:ascii="Verdana" w:hAnsi="Verdana" w:cs="Arial"/>
          <w:iCs/>
          <w:spacing w:val="4"/>
          <w:sz w:val="20"/>
        </w:rPr>
        <w:t xml:space="preserve">UNWTO (2020) understands Rural Tourism as "a type of tourism activity in which the visitor’s experience is related to a wide range of products generally linked to nature-based activities, agriculture, rural lifestyle / culture, angling and sightseeing. </w:t>
      </w:r>
      <w:r>
        <w:rPr>
          <w:rFonts w:ascii="Verdana" w:hAnsi="Verdana" w:cs="Arial"/>
          <w:sz w:val="20"/>
        </w:rPr>
        <w:t>Rural Tourism activities take place in non-urban (rural) areas with the following characteristics: i) low population density, ii) landscape and landuse dominated by agriculture and forestry and iii) traditional social structure and lifestyle".</w:t>
      </w:r>
    </w:p>
    <w:p w:rsidR="005C3F63" w:rsidRDefault="006536E7">
      <w:pPr>
        <w:pStyle w:val="a1"/>
        <w:rPr>
          <w:rFonts w:ascii="Verdana" w:hAnsi="Verdana"/>
          <w:sz w:val="20"/>
        </w:rPr>
      </w:pPr>
      <w:r>
        <w:rPr>
          <w:rFonts w:ascii="Verdana" w:hAnsi="Verdana"/>
          <w:sz w:val="20"/>
        </w:rPr>
        <w:t xml:space="preserve">According to </w:t>
      </w:r>
      <w:r>
        <w:rPr>
          <w:rFonts w:ascii="Verdana" w:hAnsi="Verdana" w:cs="Arial"/>
          <w:sz w:val="20"/>
        </w:rPr>
        <w:t xml:space="preserve">Medlik (1993) </w:t>
      </w:r>
      <w:r>
        <w:rPr>
          <w:rFonts w:ascii="Verdana" w:hAnsi="Verdana"/>
          <w:bCs/>
          <w:sz w:val="20"/>
        </w:rPr>
        <w:t>«Сільський туризм (</w:t>
      </w:r>
      <w:r>
        <w:rPr>
          <w:rFonts w:ascii="Verdana" w:hAnsi="Verdana"/>
          <w:bCs/>
          <w:i/>
          <w:iCs/>
          <w:sz w:val="20"/>
        </w:rPr>
        <w:t>rural tourism</w:t>
      </w:r>
      <w:r>
        <w:rPr>
          <w:rFonts w:ascii="Verdana" w:hAnsi="Verdana"/>
          <w:bCs/>
          <w:sz w:val="20"/>
        </w:rPr>
        <w:t>)–it is a recreational type of tourism, concentrated in the rural areas, which provides the development of tourist routes, places of recreation, agricultural and folk museums, as well as tourist service centers with guides»</w:t>
      </w:r>
      <w:r>
        <w:rPr>
          <w:rFonts w:ascii="Verdana" w:hAnsi="Verdana"/>
          <w:sz w:val="20"/>
        </w:rPr>
        <w:t xml:space="preserve">.There are specific features that the region should have for the successful development of the rural tourism. These features are usually different from the realities in which vacationers live: ecologically clean environment, low level of urbanization and industrialization, which is characterized by: low population density and low involvement of the working population in non-agricultural activities, limited intensity </w:t>
      </w:r>
      <w:r>
        <w:rPr>
          <w:rFonts w:ascii="Verdana" w:hAnsi="Verdana"/>
          <w:sz w:val="20"/>
        </w:rPr>
        <w:lastRenderedPageBreak/>
        <w:t>of agriculture and forestry, among agricultural holdings, harmonious agro-cultural landscape, economic feasibility of developing rural tourism for the population, the availability of unused housing resources.</w:t>
      </w:r>
    </w:p>
    <w:p w:rsidR="005C3F63" w:rsidRDefault="006536E7">
      <w:pPr>
        <w:pStyle w:val="a1"/>
        <w:rPr>
          <w:rFonts w:ascii="Verdana" w:hAnsi="Verdana"/>
          <w:sz w:val="20"/>
        </w:rPr>
      </w:pPr>
      <w:r>
        <w:rPr>
          <w:rFonts w:ascii="Verdana" w:hAnsi="Verdana"/>
          <w:sz w:val="20"/>
        </w:rPr>
        <w:t>A kind of agritourism is also a combination of work and leisure, when in exchange for participation in agricultural work during the part of the day the tourist receives housing and food, without paying money between the two parties. This type of interaction between farmers and tourists is organized in many countries around the world through the programWWOOF</w:t>
      </w:r>
      <w:r>
        <w:rPr>
          <w:rStyle w:val="af9"/>
          <w:rFonts w:ascii="Verdana" w:hAnsi="Verdana"/>
          <w:sz w:val="20"/>
        </w:rPr>
        <w:t xml:space="preserve"> (2020)</w:t>
      </w:r>
      <w:r>
        <w:rPr>
          <w:rFonts w:ascii="Verdana" w:hAnsi="Verdana"/>
          <w:sz w:val="20"/>
        </w:rPr>
        <w:t xml:space="preserve">  (</w:t>
      </w:r>
      <w:r>
        <w:rPr>
          <w:rFonts w:ascii="Verdana" w:hAnsi="Verdana"/>
          <w:i/>
          <w:iCs/>
          <w:sz w:val="20"/>
        </w:rPr>
        <w:t>World Wide Opportunities on Organic Farms</w:t>
      </w:r>
      <w:r>
        <w:rPr>
          <w:rFonts w:ascii="Verdana" w:hAnsi="Verdana"/>
          <w:sz w:val="20"/>
        </w:rPr>
        <w:t xml:space="preserve"> or Willing Workers on Organic Farms).</w:t>
      </w:r>
    </w:p>
    <w:p w:rsidR="005C3F63" w:rsidRDefault="006536E7">
      <w:pPr>
        <w:pStyle w:val="a1"/>
        <w:rPr>
          <w:rFonts w:ascii="Verdana" w:hAnsi="Verdana"/>
          <w:sz w:val="20"/>
        </w:rPr>
      </w:pPr>
      <w:r>
        <w:rPr>
          <w:rFonts w:ascii="Verdana" w:hAnsi="Verdana"/>
          <w:sz w:val="20"/>
        </w:rPr>
        <w:t>According to the experience of European countries, rural tourism development strategies provide: development of recreational areas in rural areas; opportunities for recreation of people with different social status; replenishment to local budgets; increasing of the importance of rural areas; the emergence of new jobs; youth involvement; preservation and maintenance of ecology and the environment; intensification of entrepreneurship among the peasants; development of folk art; diversification of peasant activities; rural infrastructure development; increasing the standard of living of villagers.</w:t>
      </w:r>
    </w:p>
    <w:p w:rsidR="005C3F63" w:rsidRDefault="006536E7">
      <w:pPr>
        <w:spacing w:after="120"/>
        <w:rPr>
          <w:rFonts w:ascii="Verdana" w:hAnsi="Verdana"/>
          <w:sz w:val="20"/>
          <w:szCs w:val="20"/>
          <w:lang w:val="uk-UA"/>
        </w:rPr>
      </w:pPr>
      <w:r>
        <w:rPr>
          <w:rFonts w:ascii="Verdana" w:hAnsi="Verdana"/>
          <w:sz w:val="20"/>
          <w:szCs w:val="20"/>
          <w:lang w:val="uk-UA"/>
        </w:rPr>
        <w:t xml:space="preserve"> Article 6 of the Law of Ukraine "On Tourism" (1995) provides that the development of ecological (green) and rural tourism is a priority of </w:t>
      </w:r>
      <w:r>
        <w:rPr>
          <w:rFonts w:ascii="Verdana" w:hAnsi="Verdana"/>
          <w:sz w:val="20"/>
          <w:szCs w:val="20"/>
        </w:rPr>
        <w:t xml:space="preserve">the </w:t>
      </w:r>
      <w:r>
        <w:rPr>
          <w:rFonts w:ascii="Verdana" w:hAnsi="Verdana"/>
          <w:sz w:val="20"/>
          <w:szCs w:val="20"/>
          <w:lang w:val="uk-UA"/>
        </w:rPr>
        <w:t xml:space="preserve">state policy in this area. The concept of rural green tourism was used in the Law of Ukraine "On Personal </w:t>
      </w:r>
      <w:r>
        <w:rPr>
          <w:rFonts w:ascii="Verdana" w:hAnsi="Verdana"/>
          <w:sz w:val="20"/>
          <w:szCs w:val="20"/>
        </w:rPr>
        <w:t>farming</w:t>
      </w:r>
      <w:r>
        <w:rPr>
          <w:rFonts w:ascii="Verdana" w:hAnsi="Verdana"/>
          <w:sz w:val="20"/>
          <w:szCs w:val="20"/>
          <w:lang w:val="uk-UA"/>
        </w:rPr>
        <w:t xml:space="preserve">" (2003). Article 1 of this normative act defines the concept of "personal </w:t>
      </w:r>
      <w:r>
        <w:rPr>
          <w:rFonts w:ascii="Verdana" w:hAnsi="Verdana"/>
          <w:sz w:val="20"/>
          <w:szCs w:val="20"/>
        </w:rPr>
        <w:t>farming</w:t>
      </w:r>
      <w:r>
        <w:rPr>
          <w:rFonts w:ascii="Verdana" w:hAnsi="Verdana"/>
          <w:sz w:val="20"/>
          <w:szCs w:val="20"/>
          <w:lang w:val="uk-UA"/>
        </w:rPr>
        <w:t>", which is an economic activity carried out without the creation of a legal entity by an individual or persons who are in a family or family relationship and live together to meet personal needs through production, processing and the consumption of agricultural products, the sale of its surpluses and the provision of services using the property of personal farming, including in the field of rural green tourism. Members of private farms that provide services in the field of rural green tourism are required to: timely pay land tax or rent; comply with current standards for product quality, sanitary, environmental and other requirements in accordance with the law; to provide village, settlement, city councils with the necessary data on their accounting.</w:t>
      </w:r>
    </w:p>
    <w:p w:rsidR="005C3F63" w:rsidRDefault="006536E7">
      <w:pPr>
        <w:pStyle w:val="af3"/>
        <w:spacing w:before="0" w:beforeAutospacing="0" w:after="120" w:afterAutospacing="0"/>
        <w:jc w:val="both"/>
        <w:rPr>
          <w:rFonts w:ascii="Verdana" w:hAnsi="Verdana"/>
          <w:sz w:val="20"/>
          <w:szCs w:val="20"/>
          <w:lang w:val="en-US"/>
        </w:rPr>
      </w:pPr>
      <w:r>
        <w:rPr>
          <w:rFonts w:ascii="Verdana" w:hAnsi="Verdana"/>
          <w:sz w:val="20"/>
          <w:szCs w:val="20"/>
          <w:lang w:val="en-US"/>
        </w:rPr>
        <w:t>The procedure for accounting of income and expenses of such farms in order to calculate the amount of total annual taxable income is also determined.</w:t>
      </w:r>
    </w:p>
    <w:p w:rsidR="005C3F63" w:rsidRDefault="006536E7">
      <w:pPr>
        <w:pStyle w:val="af3"/>
        <w:spacing w:before="0" w:beforeAutospacing="0" w:after="120" w:afterAutospacing="0"/>
        <w:jc w:val="both"/>
        <w:rPr>
          <w:rFonts w:ascii="Verdana" w:hAnsi="Verdana"/>
          <w:sz w:val="20"/>
          <w:szCs w:val="20"/>
          <w:lang w:val="en-US"/>
        </w:rPr>
      </w:pPr>
      <w:r>
        <w:rPr>
          <w:rFonts w:ascii="Verdana" w:hAnsi="Verdana"/>
          <w:sz w:val="20"/>
          <w:szCs w:val="20"/>
          <w:lang w:val="en-US"/>
        </w:rPr>
        <w:t>Rural tourism is recognized for the continuation of agricultural activities of rural farmsteads, the direction of diversification of their incomes. Thus, the provision of rural green tourism services within a personal farm does not require a special permit from government agencies, and income from such activities is taxed on a general basis as an income of individuals who are not registered as entrepreneurs.</w:t>
      </w:r>
    </w:p>
    <w:p w:rsidR="005C3F63" w:rsidRDefault="006536E7">
      <w:pPr>
        <w:pStyle w:val="af3"/>
        <w:spacing w:before="0" w:beforeAutospacing="0" w:after="120" w:afterAutospacing="0"/>
        <w:jc w:val="both"/>
        <w:rPr>
          <w:rFonts w:ascii="Verdana" w:hAnsi="Verdana"/>
          <w:sz w:val="20"/>
          <w:szCs w:val="20"/>
          <w:lang w:val="en-US"/>
        </w:rPr>
      </w:pPr>
      <w:r>
        <w:rPr>
          <w:rFonts w:ascii="Verdana" w:hAnsi="Verdana"/>
          <w:sz w:val="20"/>
          <w:szCs w:val="20"/>
          <w:lang w:val="en-US"/>
        </w:rPr>
        <w:t>Rural green tourism as a non-entrepreneurial activity includes, in particular, the provision of accommodation and catering services for tourists. These services can be provided by anyone without additional permission. If it is necessary to show tourists certain local attractions of the district, then these services (tourist support) require special education and permission.</w:t>
      </w:r>
    </w:p>
    <w:p w:rsidR="005C3F63" w:rsidRDefault="006536E7">
      <w:pPr>
        <w:pStyle w:val="af3"/>
        <w:spacing w:before="0" w:beforeAutospacing="0" w:after="120" w:afterAutospacing="0"/>
        <w:jc w:val="both"/>
        <w:rPr>
          <w:rFonts w:ascii="Verdana" w:hAnsi="Verdana"/>
          <w:sz w:val="20"/>
          <w:szCs w:val="20"/>
          <w:lang w:val="en-US"/>
        </w:rPr>
      </w:pPr>
      <w:r>
        <w:rPr>
          <w:rFonts w:ascii="Verdana" w:hAnsi="Verdana"/>
          <w:sz w:val="20"/>
          <w:szCs w:val="20"/>
          <w:lang w:val="en-US"/>
        </w:rPr>
        <w:t>The owner of the estate may apply for certification or category of his estate as a tourist attraction voluntarily, if necessary to meet the needs of tourists. The Union of RGTD of Ukraine is in charge of developing standards and criteria for the quality of rural tourism services. According to the union members, the benefits of certification and categorization of estates have both their owners and consumers of services.</w:t>
      </w:r>
    </w:p>
    <w:p w:rsidR="005C3F63" w:rsidRDefault="006536E7">
      <w:pPr>
        <w:pStyle w:val="af3"/>
        <w:spacing w:before="0" w:beforeAutospacing="0" w:after="120" w:afterAutospacing="0"/>
        <w:jc w:val="both"/>
        <w:rPr>
          <w:rFonts w:ascii="Verdana" w:hAnsi="Verdana"/>
          <w:sz w:val="20"/>
          <w:szCs w:val="20"/>
          <w:lang w:val="en-US"/>
        </w:rPr>
      </w:pPr>
      <w:r>
        <w:rPr>
          <w:rFonts w:ascii="Verdana" w:hAnsi="Verdana"/>
          <w:sz w:val="20"/>
          <w:szCs w:val="20"/>
          <w:lang w:val="en-US"/>
        </w:rPr>
        <w:t>Thus, the union introduced the sign "Ukrainian hospitable farmstead" in addition to the inscription and graphic symbol, it has one, two or three mallow flowers (or do not have them at all). Thus, there are four categories of accommodation: the basic - without a flower, and the first, second and third have the appropriate number of flowers.</w:t>
      </w:r>
    </w:p>
    <w:p w:rsidR="005C3F63" w:rsidRDefault="006536E7">
      <w:pPr>
        <w:spacing w:after="120"/>
        <w:rPr>
          <w:rFonts w:ascii="Verdana" w:hAnsi="Verdana"/>
          <w:sz w:val="20"/>
          <w:szCs w:val="20"/>
        </w:rPr>
      </w:pPr>
      <w:r>
        <w:rPr>
          <w:rFonts w:ascii="Verdana" w:hAnsi="Verdana"/>
          <w:sz w:val="20"/>
          <w:szCs w:val="20"/>
        </w:rPr>
        <w:t xml:space="preserve">The right to use the sign and the sign itself is granted by the NGO "Union of Rural Green Tourism Development in Ukraine ", it can be used as a marketing tool to promote the estate. Such a sign has a limited validity period and requires prolongation with a possible </w:t>
      </w:r>
      <w:r>
        <w:rPr>
          <w:rFonts w:ascii="Verdana" w:hAnsi="Verdana"/>
          <w:sz w:val="20"/>
          <w:szCs w:val="20"/>
        </w:rPr>
        <w:lastRenderedPageBreak/>
        <w:t>increase in the number of mallows under conditions of improved quality of service and living conditions.</w:t>
      </w:r>
    </w:p>
    <w:p w:rsidR="005C3F63" w:rsidRDefault="006536E7">
      <w:pPr>
        <w:spacing w:after="120"/>
        <w:rPr>
          <w:rFonts w:ascii="Verdana" w:hAnsi="Verdana"/>
          <w:sz w:val="20"/>
          <w:szCs w:val="20"/>
        </w:rPr>
      </w:pPr>
      <w:r>
        <w:rPr>
          <w:rFonts w:ascii="Verdana" w:hAnsi="Verdana"/>
          <w:sz w:val="20"/>
          <w:szCs w:val="20"/>
        </w:rPr>
        <w:t>Today, the sign and certificate "Ukrainian Hospitable Farmstead" have 210 owners in 21 regions of Ukraine, Figure 1.</w:t>
      </w:r>
    </w:p>
    <w:p w:rsidR="005C3F63" w:rsidRDefault="006536E7">
      <w:pPr>
        <w:pStyle w:val="a1"/>
        <w:rPr>
          <w:rFonts w:ascii="Verdana" w:hAnsi="Verdana"/>
          <w:sz w:val="20"/>
        </w:rPr>
      </w:pPr>
      <w:r>
        <w:rPr>
          <w:rFonts w:ascii="Verdana" w:hAnsi="Verdana"/>
          <w:sz w:val="20"/>
        </w:rPr>
        <w:t>Due to the fact that the traditional system of organization and accounting in rural estates is practically not used due to the cumbersomeness and complexity, and existing approaches to simplification are also remain unsuitable for small farms, it is necessary to revise their methodological principles. For private estates, the emphasis should be made on internal reserves, resources, and, as a consequence, the internal use of accounting information. Therefore, this is what the organization and technology of accounting for such activities should focus on.</w:t>
      </w:r>
    </w:p>
    <w:p w:rsidR="005C3F63" w:rsidRDefault="006536E7">
      <w:pPr>
        <w:pStyle w:val="a1"/>
        <w:rPr>
          <w:rFonts w:ascii="Verdana" w:hAnsi="Verdana"/>
          <w:sz w:val="20"/>
        </w:rPr>
      </w:pPr>
      <w:r>
        <w:rPr>
          <w:rFonts w:ascii="Verdana" w:hAnsi="Verdana"/>
          <w:sz w:val="20"/>
        </w:rPr>
        <w:t>Based on the level of preparedness of the rural residents - potential owners of rural farmsteads, to keep accounts, the most acceptable is to keep a book of income and expenses, despite the difficulties in reporting and limited information for decision-making.</w:t>
      </w:r>
    </w:p>
    <w:p w:rsidR="005C3F63" w:rsidRDefault="006536E7">
      <w:pPr>
        <w:jc w:val="center"/>
        <w:rPr>
          <w:sz w:val="28"/>
          <w:szCs w:val="28"/>
        </w:rPr>
      </w:pPr>
      <w:r>
        <w:rPr>
          <w:noProof/>
          <w:lang w:val="uk-UA" w:eastAsia="uk-UA" w:bidi="ar-SA"/>
        </w:rPr>
        <w:drawing>
          <wp:inline distT="0" distB="0" distL="0" distR="0">
            <wp:extent cx="3867150" cy="27432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5C3F63" w:rsidRDefault="005C3F63">
      <w:pPr>
        <w:rPr>
          <w:rFonts w:ascii="Verdana" w:hAnsi="Verdana"/>
          <w:sz w:val="20"/>
          <w:szCs w:val="20"/>
        </w:rPr>
      </w:pPr>
    </w:p>
    <w:p w:rsidR="005C3F63" w:rsidRDefault="006536E7">
      <w:pPr>
        <w:ind w:left="708"/>
        <w:rPr>
          <w:rFonts w:ascii="Verdana" w:hAnsi="Verdana"/>
          <w:sz w:val="20"/>
          <w:szCs w:val="20"/>
        </w:rPr>
      </w:pPr>
      <w:r>
        <w:rPr>
          <w:rFonts w:ascii="Verdana" w:hAnsi="Verdana"/>
          <w:sz w:val="20"/>
          <w:szCs w:val="20"/>
        </w:rPr>
        <w:t>Compiled by the author on the basis of: https://www.greentour.com.ua/history</w:t>
      </w:r>
    </w:p>
    <w:p w:rsidR="005C3F63" w:rsidRDefault="006536E7">
      <w:pPr>
        <w:rPr>
          <w:sz w:val="28"/>
          <w:szCs w:val="28"/>
        </w:rPr>
      </w:pPr>
      <w:r>
        <w:rPr>
          <w:rFonts w:ascii="Verdana" w:hAnsi="Verdana"/>
          <w:sz w:val="20"/>
          <w:szCs w:val="20"/>
          <w:lang w:val="uk-UA"/>
        </w:rPr>
        <w:tab/>
      </w:r>
      <w:r>
        <w:rPr>
          <w:sz w:val="28"/>
          <w:szCs w:val="28"/>
        </w:rPr>
        <w:tab/>
      </w:r>
    </w:p>
    <w:p w:rsidR="005C3F63" w:rsidRDefault="006536E7">
      <w:pPr>
        <w:spacing w:after="120"/>
        <w:rPr>
          <w:b/>
          <w:sz w:val="28"/>
          <w:szCs w:val="28"/>
          <w:lang w:val="uk-UA"/>
        </w:rPr>
      </w:pPr>
      <w:r>
        <w:rPr>
          <w:rFonts w:ascii="Verdana" w:hAnsi="Verdana"/>
          <w:b/>
          <w:sz w:val="22"/>
        </w:rPr>
        <w:t>Conclusions</w:t>
      </w:r>
    </w:p>
    <w:p w:rsidR="005C3F63" w:rsidRDefault="005C3F63">
      <w:pPr>
        <w:spacing w:after="120"/>
        <w:rPr>
          <w:rFonts w:ascii="Verdana" w:hAnsi="Verdana"/>
          <w:sz w:val="20"/>
          <w:szCs w:val="20"/>
        </w:rPr>
      </w:pPr>
    </w:p>
    <w:p w:rsidR="005C3F63" w:rsidRDefault="006536E7">
      <w:pPr>
        <w:spacing w:after="120"/>
        <w:rPr>
          <w:rFonts w:ascii="Verdana" w:hAnsi="Verdana"/>
          <w:sz w:val="20"/>
          <w:szCs w:val="20"/>
        </w:rPr>
      </w:pPr>
      <w:r>
        <w:rPr>
          <w:rFonts w:ascii="Verdana" w:hAnsi="Verdana"/>
          <w:sz w:val="20"/>
          <w:szCs w:val="20"/>
        </w:rPr>
        <w:t>The strategic development of the rural tourism is a proven world practice way to increase the income of the rural population, it can and shall be used by rural communities. In Ukraine, there are regions traditionally attractive for tourists. However, there are many problems in the development of rural tourism in Ukraine - there is no systematic national policy in this area, proper infrastructure.</w:t>
      </w:r>
    </w:p>
    <w:p w:rsidR="005C3F63" w:rsidRDefault="006536E7">
      <w:pPr>
        <w:spacing w:after="120"/>
        <w:rPr>
          <w:rFonts w:ascii="Verdana" w:hAnsi="Verdana"/>
          <w:sz w:val="20"/>
          <w:szCs w:val="20"/>
        </w:rPr>
      </w:pPr>
      <w:r>
        <w:rPr>
          <w:rFonts w:ascii="Verdana" w:hAnsi="Verdana"/>
          <w:sz w:val="20"/>
          <w:szCs w:val="20"/>
        </w:rPr>
        <w:t>It is necessary to clearly distinguish entrepreneurial and non-entrepreneurial activities in the field of tourism carried out in the rural areas, as well as providing state support for this form of activity of rural residents by organizing professional training and retraining of the members of personal farms in the sphere of rural green tourism. Currently, in Ukraine, in order to overcome the problems that hinder the development of the rural green tourism on the basis of personal farms, it is necessary to make extensive use of European experience and to create an appropriate legislative field as soon as possible.</w:t>
      </w:r>
    </w:p>
    <w:p w:rsidR="005C3F63" w:rsidRDefault="006536E7">
      <w:pPr>
        <w:pStyle w:val="a1"/>
        <w:rPr>
          <w:szCs w:val="28"/>
        </w:rPr>
      </w:pPr>
      <w:r>
        <w:rPr>
          <w:szCs w:val="28"/>
        </w:rPr>
        <w:tab/>
      </w:r>
    </w:p>
    <w:p w:rsidR="005C3F63" w:rsidRDefault="005C3F63">
      <w:pPr>
        <w:pStyle w:val="a1"/>
        <w:rPr>
          <w:rFonts w:ascii="Verdana" w:hAnsi="Verdana"/>
          <w:b/>
          <w:sz w:val="22"/>
        </w:rPr>
      </w:pPr>
    </w:p>
    <w:p w:rsidR="005C3F63" w:rsidRDefault="005C3F63">
      <w:pPr>
        <w:pStyle w:val="a1"/>
        <w:rPr>
          <w:rFonts w:ascii="Verdana" w:hAnsi="Verdana"/>
          <w:b/>
          <w:sz w:val="22"/>
        </w:rPr>
      </w:pPr>
    </w:p>
    <w:p w:rsidR="005C3F63" w:rsidRDefault="006536E7">
      <w:pPr>
        <w:pStyle w:val="a1"/>
        <w:rPr>
          <w:rFonts w:ascii="Verdana" w:hAnsi="Verdana"/>
          <w:b/>
          <w:sz w:val="22"/>
        </w:rPr>
      </w:pPr>
      <w:r>
        <w:rPr>
          <w:rFonts w:ascii="Verdana" w:hAnsi="Verdana"/>
          <w:b/>
          <w:sz w:val="22"/>
        </w:rPr>
        <w:t>References</w:t>
      </w:r>
    </w:p>
    <w:p w:rsidR="005C3F63" w:rsidRDefault="006536E7">
      <w:pPr>
        <w:pStyle w:val="af3"/>
        <w:spacing w:before="0" w:beforeAutospacing="0" w:after="120" w:afterAutospacing="0"/>
        <w:jc w:val="both"/>
        <w:rPr>
          <w:rFonts w:ascii="Verdana" w:hAnsi="Verdana"/>
          <w:sz w:val="20"/>
          <w:szCs w:val="20"/>
          <w:lang w:val="en-US"/>
        </w:rPr>
      </w:pPr>
      <w:r>
        <w:rPr>
          <w:rFonts w:ascii="Verdana" w:hAnsi="Verdana"/>
          <w:sz w:val="20"/>
          <w:szCs w:val="20"/>
          <w:lang w:val="en-US"/>
        </w:rPr>
        <w:t>Law on Tourism - Law of Ukraine "On Tourism" from 15.09.95 y. № 324/95-</w:t>
      </w:r>
      <w:r>
        <w:rPr>
          <w:rFonts w:ascii="Verdana" w:hAnsi="Verdana"/>
          <w:sz w:val="20"/>
          <w:szCs w:val="20"/>
        </w:rPr>
        <w:t>ВР</w:t>
      </w:r>
      <w:r>
        <w:rPr>
          <w:rFonts w:ascii="Verdana" w:hAnsi="Verdana"/>
          <w:sz w:val="20"/>
          <w:szCs w:val="20"/>
          <w:lang w:val="en-US"/>
        </w:rPr>
        <w:t>, in the wording of the Law of Ukraine from 18.11.2003 y. № 742-IV.</w:t>
      </w:r>
    </w:p>
    <w:p w:rsidR="005C3F63" w:rsidRDefault="006536E7">
      <w:pPr>
        <w:pStyle w:val="af3"/>
        <w:spacing w:before="0" w:beforeAutospacing="0" w:after="120" w:afterAutospacing="0"/>
        <w:jc w:val="both"/>
        <w:rPr>
          <w:rFonts w:ascii="Verdana" w:hAnsi="Verdana"/>
          <w:sz w:val="20"/>
          <w:szCs w:val="20"/>
          <w:lang w:val="en-US"/>
        </w:rPr>
      </w:pPr>
      <w:r>
        <w:rPr>
          <w:rFonts w:ascii="Verdana" w:hAnsi="Verdana"/>
          <w:sz w:val="20"/>
          <w:szCs w:val="20"/>
          <w:lang w:val="en-US"/>
        </w:rPr>
        <w:t>Law on Personal farming– Law of Ukraine "On personal farming" from 15.05.2003 y. № 742-IV.</w:t>
      </w:r>
    </w:p>
    <w:p w:rsidR="005C3F63" w:rsidRDefault="006536E7">
      <w:pPr>
        <w:spacing w:after="120"/>
        <w:rPr>
          <w:rFonts w:ascii="Verdana" w:hAnsi="Verdana" w:cs="Arial"/>
          <w:sz w:val="20"/>
          <w:szCs w:val="20"/>
        </w:rPr>
      </w:pPr>
      <w:r>
        <w:rPr>
          <w:rFonts w:ascii="Verdana" w:hAnsi="Verdana" w:cs="Arial"/>
          <w:sz w:val="20"/>
          <w:szCs w:val="20"/>
        </w:rPr>
        <w:t>Medlik, S. (1993) ''Dictionary of Travel. Tourism and Hospitality'', Butterworth-Heinemann Etd., London, UK.</w:t>
      </w:r>
    </w:p>
    <w:p w:rsidR="005C3F63" w:rsidRDefault="006536E7">
      <w:pPr>
        <w:spacing w:after="120"/>
        <w:rPr>
          <w:rFonts w:ascii="Verdana" w:hAnsi="Verdana"/>
          <w:sz w:val="20"/>
          <w:szCs w:val="20"/>
        </w:rPr>
      </w:pPr>
      <w:r>
        <w:rPr>
          <w:rFonts w:ascii="Verdana" w:hAnsi="Verdana"/>
          <w:sz w:val="20"/>
          <w:szCs w:val="20"/>
        </w:rPr>
        <w:t xml:space="preserve">OECD (Organisation for Economic Co-operation and Development) 2002: Glossary </w:t>
      </w:r>
      <w:r>
        <w:rPr>
          <w:rFonts w:ascii="Verdana" w:hAnsi="Verdana" w:cs="Arial"/>
          <w:caps/>
          <w:sz w:val="20"/>
          <w:szCs w:val="20"/>
        </w:rPr>
        <w:t>R</w:t>
      </w:r>
      <w:r>
        <w:rPr>
          <w:rFonts w:ascii="Verdana" w:hAnsi="Verdana" w:cs="Arial"/>
          <w:sz w:val="20"/>
          <w:szCs w:val="20"/>
        </w:rPr>
        <w:t xml:space="preserve">eceived from: </w:t>
      </w:r>
      <w:r>
        <w:rPr>
          <w:rFonts w:ascii="Verdana" w:hAnsi="Verdana"/>
          <w:sz w:val="20"/>
          <w:szCs w:val="20"/>
        </w:rPr>
        <w:t>http://stats.oecd.org/glossary/index.htm.</w:t>
      </w:r>
    </w:p>
    <w:p w:rsidR="005C3F63" w:rsidRDefault="006536E7">
      <w:pPr>
        <w:spacing w:after="120"/>
        <w:rPr>
          <w:rFonts w:ascii="Verdana" w:hAnsi="Verdana"/>
          <w:sz w:val="20"/>
          <w:szCs w:val="20"/>
          <w:lang w:val="uk-UA"/>
        </w:rPr>
      </w:pPr>
      <w:r>
        <w:rPr>
          <w:rFonts w:ascii="Verdana" w:hAnsi="Verdana"/>
          <w:sz w:val="20"/>
          <w:szCs w:val="20"/>
        </w:rPr>
        <w:t xml:space="preserve">Homesteads in the regions </w:t>
      </w:r>
      <w:r>
        <w:rPr>
          <w:rFonts w:ascii="Verdana" w:hAnsi="Verdana" w:cs="Arial"/>
          <w:caps/>
          <w:sz w:val="20"/>
          <w:szCs w:val="20"/>
        </w:rPr>
        <w:t>R</w:t>
      </w:r>
      <w:r>
        <w:rPr>
          <w:rFonts w:ascii="Verdana" w:hAnsi="Verdana" w:cs="Arial"/>
          <w:sz w:val="20"/>
          <w:szCs w:val="20"/>
        </w:rPr>
        <w:t xml:space="preserve">eceived from: </w:t>
      </w:r>
      <w:r>
        <w:rPr>
          <w:rFonts w:ascii="Verdana" w:hAnsi="Verdana"/>
          <w:sz w:val="20"/>
          <w:szCs w:val="20"/>
        </w:rPr>
        <w:t>http</w:t>
      </w:r>
      <w:r>
        <w:rPr>
          <w:rFonts w:ascii="Verdana" w:hAnsi="Verdana"/>
          <w:sz w:val="20"/>
          <w:szCs w:val="20"/>
          <w:lang w:val="uk-UA"/>
        </w:rPr>
        <w:t>://</w:t>
      </w:r>
      <w:r>
        <w:rPr>
          <w:rFonts w:ascii="Verdana" w:hAnsi="Verdana"/>
          <w:sz w:val="20"/>
          <w:szCs w:val="20"/>
        </w:rPr>
        <w:t>ruraltourism</w:t>
      </w:r>
      <w:r>
        <w:rPr>
          <w:rFonts w:ascii="Verdana" w:hAnsi="Verdana"/>
          <w:sz w:val="20"/>
          <w:szCs w:val="20"/>
          <w:lang w:val="uk-UA"/>
        </w:rPr>
        <w:t>.</w:t>
      </w:r>
      <w:r>
        <w:rPr>
          <w:rFonts w:ascii="Verdana" w:hAnsi="Verdana"/>
          <w:sz w:val="20"/>
          <w:szCs w:val="20"/>
        </w:rPr>
        <w:t>com</w:t>
      </w:r>
      <w:r>
        <w:rPr>
          <w:rFonts w:ascii="Verdana" w:hAnsi="Verdana"/>
          <w:sz w:val="20"/>
          <w:szCs w:val="20"/>
          <w:lang w:val="uk-UA"/>
        </w:rPr>
        <w:t>.</w:t>
      </w:r>
      <w:r>
        <w:rPr>
          <w:rFonts w:ascii="Verdana" w:hAnsi="Verdana"/>
          <w:sz w:val="20"/>
          <w:szCs w:val="20"/>
        </w:rPr>
        <w:t>ua</w:t>
      </w:r>
      <w:r>
        <w:rPr>
          <w:rFonts w:ascii="Verdana" w:hAnsi="Verdana"/>
          <w:sz w:val="20"/>
          <w:szCs w:val="20"/>
          <w:lang w:val="uk-UA"/>
        </w:rPr>
        <w:t xml:space="preserve">/  </w:t>
      </w:r>
    </w:p>
    <w:p w:rsidR="005C3F63" w:rsidRDefault="006536E7">
      <w:pPr>
        <w:spacing w:after="120"/>
        <w:rPr>
          <w:rFonts w:ascii="Verdana" w:hAnsi="Verdana"/>
          <w:sz w:val="20"/>
          <w:szCs w:val="20"/>
          <w:lang w:val="uk-UA"/>
        </w:rPr>
      </w:pPr>
      <w:r>
        <w:rPr>
          <w:rFonts w:ascii="Verdana" w:hAnsi="Verdana"/>
          <w:sz w:val="20"/>
          <w:szCs w:val="20"/>
        </w:rPr>
        <w:t xml:space="preserve">Rest in Ukraine 2020 </w:t>
      </w:r>
      <w:r>
        <w:rPr>
          <w:rFonts w:ascii="Verdana" w:hAnsi="Verdana" w:cs="Arial"/>
          <w:caps/>
          <w:sz w:val="20"/>
          <w:szCs w:val="20"/>
        </w:rPr>
        <w:t>R</w:t>
      </w:r>
      <w:r>
        <w:rPr>
          <w:rFonts w:ascii="Verdana" w:hAnsi="Verdana" w:cs="Arial"/>
          <w:sz w:val="20"/>
          <w:szCs w:val="20"/>
        </w:rPr>
        <w:t>eceivedfrom:</w:t>
      </w:r>
      <w:r>
        <w:rPr>
          <w:rFonts w:ascii="Verdana" w:hAnsi="Verdana"/>
          <w:sz w:val="20"/>
          <w:szCs w:val="20"/>
        </w:rPr>
        <w:t>https</w:t>
      </w:r>
      <w:r>
        <w:rPr>
          <w:rFonts w:ascii="Verdana" w:hAnsi="Verdana"/>
          <w:sz w:val="20"/>
          <w:szCs w:val="20"/>
          <w:lang w:val="uk-UA"/>
        </w:rPr>
        <w:t>://</w:t>
      </w:r>
      <w:r>
        <w:rPr>
          <w:rFonts w:ascii="Verdana" w:hAnsi="Verdana"/>
          <w:sz w:val="20"/>
          <w:szCs w:val="20"/>
        </w:rPr>
        <w:t>ua</w:t>
      </w:r>
      <w:r>
        <w:rPr>
          <w:rFonts w:ascii="Verdana" w:hAnsi="Verdana"/>
          <w:sz w:val="20"/>
          <w:szCs w:val="20"/>
          <w:lang w:val="uk-UA"/>
        </w:rPr>
        <w:t>.</w:t>
      </w:r>
      <w:r>
        <w:rPr>
          <w:rFonts w:ascii="Verdana" w:hAnsi="Verdana"/>
          <w:sz w:val="20"/>
          <w:szCs w:val="20"/>
        </w:rPr>
        <w:t>dorogovkaz</w:t>
      </w:r>
      <w:r>
        <w:rPr>
          <w:rFonts w:ascii="Verdana" w:hAnsi="Verdana"/>
          <w:sz w:val="20"/>
          <w:szCs w:val="20"/>
          <w:lang w:val="uk-UA"/>
        </w:rPr>
        <w:t>.</w:t>
      </w:r>
      <w:r>
        <w:rPr>
          <w:rFonts w:ascii="Verdana" w:hAnsi="Verdana"/>
          <w:sz w:val="20"/>
          <w:szCs w:val="20"/>
        </w:rPr>
        <w:t>com</w:t>
      </w:r>
      <w:r>
        <w:rPr>
          <w:rFonts w:ascii="Verdana" w:hAnsi="Verdana"/>
          <w:sz w:val="20"/>
          <w:szCs w:val="20"/>
          <w:lang w:val="uk-UA"/>
        </w:rPr>
        <w:t>/</w:t>
      </w:r>
    </w:p>
    <w:p w:rsidR="005C3F63" w:rsidRDefault="006536E7">
      <w:pPr>
        <w:spacing w:after="120"/>
        <w:rPr>
          <w:rFonts w:ascii="Verdana" w:hAnsi="Verdana"/>
          <w:sz w:val="20"/>
          <w:szCs w:val="20"/>
          <w:lang w:val="uk-UA"/>
        </w:rPr>
      </w:pPr>
      <w:r>
        <w:rPr>
          <w:rFonts w:ascii="Verdana" w:hAnsi="Verdana"/>
          <w:sz w:val="20"/>
          <w:szCs w:val="20"/>
        </w:rPr>
        <w:t xml:space="preserve">Website with ads for agriculture of Ukraine </w:t>
      </w:r>
      <w:r>
        <w:rPr>
          <w:rFonts w:ascii="Verdana" w:hAnsi="Verdana" w:cs="Arial"/>
          <w:caps/>
          <w:sz w:val="20"/>
          <w:szCs w:val="20"/>
        </w:rPr>
        <w:t>R</w:t>
      </w:r>
      <w:r>
        <w:rPr>
          <w:rFonts w:ascii="Verdana" w:hAnsi="Verdana" w:cs="Arial"/>
          <w:sz w:val="20"/>
          <w:szCs w:val="20"/>
        </w:rPr>
        <w:t xml:space="preserve">eceived from: </w:t>
      </w:r>
      <w:r>
        <w:rPr>
          <w:rFonts w:ascii="Verdana" w:hAnsi="Verdana"/>
          <w:sz w:val="20"/>
          <w:szCs w:val="20"/>
        </w:rPr>
        <w:t>https</w:t>
      </w:r>
      <w:r>
        <w:rPr>
          <w:rFonts w:ascii="Verdana" w:hAnsi="Verdana"/>
          <w:sz w:val="20"/>
          <w:szCs w:val="20"/>
          <w:lang w:val="uk-UA"/>
        </w:rPr>
        <w:t>://</w:t>
      </w:r>
      <w:r>
        <w:rPr>
          <w:rFonts w:ascii="Verdana" w:hAnsi="Verdana"/>
          <w:sz w:val="20"/>
          <w:szCs w:val="20"/>
        </w:rPr>
        <w:t>selo</w:t>
      </w:r>
      <w:r>
        <w:rPr>
          <w:rFonts w:ascii="Verdana" w:hAnsi="Verdana"/>
          <w:sz w:val="20"/>
          <w:szCs w:val="20"/>
          <w:lang w:val="uk-UA"/>
        </w:rPr>
        <w:t>.</w:t>
      </w:r>
      <w:r>
        <w:rPr>
          <w:rFonts w:ascii="Verdana" w:hAnsi="Verdana"/>
          <w:sz w:val="20"/>
          <w:szCs w:val="20"/>
        </w:rPr>
        <w:t>ua</w:t>
      </w:r>
      <w:r>
        <w:rPr>
          <w:rFonts w:ascii="Verdana" w:hAnsi="Verdana"/>
          <w:sz w:val="20"/>
          <w:szCs w:val="20"/>
          <w:lang w:val="uk-UA"/>
        </w:rPr>
        <w:t>/</w:t>
      </w:r>
    </w:p>
    <w:p w:rsidR="005C3F63" w:rsidRDefault="006536E7">
      <w:r>
        <w:rPr>
          <w:rStyle w:val="afa"/>
          <w:rFonts w:ascii="Verdana" w:hAnsi="Verdana" w:cs="Arial"/>
          <w:sz w:val="20"/>
          <w:szCs w:val="20"/>
          <w:shd w:val="clear" w:color="auto" w:fill="FFFFFF"/>
          <w:lang w:val="uk-UA"/>
        </w:rPr>
        <w:t xml:space="preserve">Ukrainian public non-profit organization "Union of Rural Green Tourism </w:t>
      </w:r>
      <w:r>
        <w:rPr>
          <w:rStyle w:val="afa"/>
          <w:rFonts w:ascii="Verdana" w:hAnsi="Verdana" w:cs="Arial"/>
          <w:sz w:val="20"/>
          <w:szCs w:val="20"/>
          <w:shd w:val="clear" w:color="auto" w:fill="FFFFFF"/>
        </w:rPr>
        <w:t xml:space="preserve">Development </w:t>
      </w:r>
      <w:r>
        <w:rPr>
          <w:rStyle w:val="afa"/>
          <w:rFonts w:ascii="Verdana" w:hAnsi="Verdana" w:cs="Arial"/>
          <w:sz w:val="20"/>
          <w:szCs w:val="20"/>
          <w:shd w:val="clear" w:color="auto" w:fill="FFFFFF"/>
          <w:lang w:val="uk-UA"/>
        </w:rPr>
        <w:t>in Ukraine"</w:t>
      </w:r>
      <w:r>
        <w:rPr>
          <w:caps/>
        </w:rPr>
        <w:t>R</w:t>
      </w:r>
      <w:r>
        <w:t>eceived from</w:t>
      </w:r>
      <w:r>
        <w:rPr>
          <w:lang w:val="uk-UA"/>
        </w:rPr>
        <w:t>:</w:t>
      </w:r>
      <w:r>
        <w:t>https</w:t>
      </w:r>
      <w:r>
        <w:rPr>
          <w:lang w:val="uk-UA"/>
        </w:rPr>
        <w:t>://</w:t>
      </w:r>
      <w:r>
        <w:t>www</w:t>
      </w:r>
      <w:r>
        <w:rPr>
          <w:lang w:val="uk-UA"/>
        </w:rPr>
        <w:t>.</w:t>
      </w:r>
      <w:r>
        <w:t>greentour</w:t>
      </w:r>
      <w:r>
        <w:rPr>
          <w:lang w:val="uk-UA"/>
        </w:rPr>
        <w:t>.</w:t>
      </w:r>
      <w:r>
        <w:t>com</w:t>
      </w:r>
      <w:r>
        <w:rPr>
          <w:lang w:val="uk-UA"/>
        </w:rPr>
        <w:t>.</w:t>
      </w:r>
      <w:r>
        <w:t>ua</w:t>
      </w:r>
      <w:r>
        <w:rPr>
          <w:lang w:val="uk-UA"/>
        </w:rPr>
        <w:t>/</w:t>
      </w:r>
      <w:r>
        <w:t>projects</w:t>
      </w:r>
    </w:p>
    <w:p w:rsidR="005C3F63" w:rsidRDefault="006536E7">
      <w:pPr>
        <w:rPr>
          <w:rStyle w:val="af9"/>
          <w:rFonts w:ascii="Verdana" w:hAnsi="Verdana"/>
          <w:b/>
          <w:sz w:val="20"/>
          <w:szCs w:val="20"/>
        </w:rPr>
      </w:pPr>
      <w:r>
        <w:t xml:space="preserve">Rural and mountain tourism </w:t>
      </w:r>
      <w:r>
        <w:rPr>
          <w:caps/>
        </w:rPr>
        <w:t>R</w:t>
      </w:r>
      <w:r>
        <w:t xml:space="preserve">eceived from: </w:t>
      </w:r>
      <w:hyperlink r:id="rId49" w:anchor=":~:text=UNWTO%20understands%20Rural%20Tourism%20as,%2F%20culture%2C%20angling%20and%20sightseeing." w:history="1">
        <w:r>
          <w:rPr>
            <w:rStyle w:val="af9"/>
            <w:rFonts w:ascii="Verdana" w:hAnsi="Verdana"/>
            <w:sz w:val="20"/>
            <w:szCs w:val="20"/>
          </w:rPr>
          <w:t>https://www.unwto.org/rural-mountain-tourism#:~:text=UNWTO%20understands%20Rural%20Tourism%20as,%2F%20culture%2C%20angling%20and%20sightseeing.</w:t>
        </w:r>
      </w:hyperlink>
    </w:p>
    <w:p w:rsidR="005C3F63" w:rsidRDefault="006536E7">
      <w:pPr>
        <w:rPr>
          <w:rStyle w:val="af9"/>
          <w:rFonts w:ascii="Verdana" w:hAnsi="Verdana"/>
          <w:sz w:val="20"/>
          <w:szCs w:val="20"/>
        </w:rPr>
      </w:pPr>
      <w:r>
        <w:rPr>
          <w:caps/>
        </w:rPr>
        <w:t>WHAT IS WWOOF? (2020)R</w:t>
      </w:r>
      <w:r>
        <w:t xml:space="preserve">eceived from: </w:t>
      </w:r>
      <w:hyperlink r:id="rId50" w:history="1">
        <w:r>
          <w:rPr>
            <w:rStyle w:val="af9"/>
            <w:rFonts w:ascii="Verdana" w:hAnsi="Verdana"/>
            <w:sz w:val="20"/>
            <w:szCs w:val="20"/>
          </w:rPr>
          <w:t>https://wwoof.net/</w:t>
        </w:r>
      </w:hyperlink>
    </w:p>
    <w:p w:rsidR="005C3F63" w:rsidRDefault="006536E7">
      <w:pPr>
        <w:jc w:val="left"/>
        <w:rPr>
          <w:rStyle w:val="af9"/>
          <w:rFonts w:ascii="Verdana" w:hAnsi="Verdana"/>
          <w:sz w:val="20"/>
          <w:szCs w:val="20"/>
        </w:rPr>
      </w:pPr>
      <w:r>
        <w:rPr>
          <w:rStyle w:val="af9"/>
          <w:rFonts w:ascii="Verdana" w:hAnsi="Verdana"/>
          <w:sz w:val="20"/>
          <w:szCs w:val="20"/>
        </w:rPr>
        <w:br w:type="page"/>
      </w:r>
    </w:p>
    <w:p w:rsidR="005C3F63" w:rsidRDefault="006536E7">
      <w:pPr>
        <w:pStyle w:val="1"/>
        <w:rPr>
          <w:rFonts w:eastAsia="Calibri"/>
          <w:sz w:val="22"/>
          <w:szCs w:val="22"/>
          <w:shd w:val="clear" w:color="auto" w:fill="FFFFFF"/>
          <w:lang w:val="uk-UA" w:eastAsia="en-US"/>
        </w:rPr>
      </w:pPr>
      <w:bookmarkStart w:id="188" w:name="_Toc47951506"/>
      <w:r>
        <w:rPr>
          <w:rFonts w:eastAsia="Calibri"/>
          <w:shd w:val="clear" w:color="auto" w:fill="FFFFFF"/>
          <w:lang w:val="uk-UA"/>
        </w:rPr>
        <w:lastRenderedPageBreak/>
        <w:t>Winemaking and enot</w:t>
      </w:r>
      <w:r>
        <w:rPr>
          <w:rFonts w:eastAsia="Calibri"/>
          <w:shd w:val="clear" w:color="auto" w:fill="FFFFFF"/>
        </w:rPr>
        <w:t>o</w:t>
      </w:r>
      <w:r>
        <w:rPr>
          <w:rFonts w:eastAsia="Calibri"/>
          <w:shd w:val="clear" w:color="auto" w:fill="FFFFFF"/>
          <w:lang w:val="uk-UA"/>
        </w:rPr>
        <w:t>ur</w:t>
      </w:r>
      <w:r>
        <w:rPr>
          <w:rFonts w:eastAsia="Calibri"/>
          <w:shd w:val="clear" w:color="auto" w:fill="FFFFFF"/>
        </w:rPr>
        <w:t>i</w:t>
      </w:r>
      <w:r>
        <w:rPr>
          <w:rFonts w:eastAsia="Calibri"/>
          <w:shd w:val="clear" w:color="auto" w:fill="FFFFFF"/>
          <w:lang w:val="uk-UA"/>
        </w:rPr>
        <w:t>sm in Ukraine: the impact on industry accounting system</w:t>
      </w:r>
      <w:bookmarkEnd w:id="188"/>
    </w:p>
    <w:p w:rsidR="005C3F63" w:rsidRDefault="005C3F63">
      <w:pPr>
        <w:widowControl w:val="0"/>
        <w:jc w:val="center"/>
        <w:rPr>
          <w:rFonts w:ascii="Verdana" w:hAnsi="Verdana"/>
          <w:b/>
          <w:sz w:val="18"/>
          <w:szCs w:val="18"/>
          <w:lang w:eastAsia="ru-RU"/>
        </w:rPr>
      </w:pPr>
    </w:p>
    <w:p w:rsidR="005C3F63" w:rsidRDefault="006536E7">
      <w:pPr>
        <w:pStyle w:val="Autor"/>
      </w:pPr>
      <w:bookmarkStart w:id="189" w:name="_Toc47451136"/>
      <w:bookmarkStart w:id="190" w:name="_Toc47951507"/>
      <w:bookmarkStart w:id="191" w:name="_Toc47948776"/>
      <w:bookmarkStart w:id="192" w:name="_Toc47448820"/>
      <w:bookmarkStart w:id="193" w:name="_Toc47446694"/>
      <w:bookmarkStart w:id="194" w:name="_Toc47447140"/>
      <w:bookmarkStart w:id="195" w:name="_Toc47447960"/>
      <w:bookmarkStart w:id="196" w:name="_Toc47447906"/>
      <w:bookmarkStart w:id="197" w:name="_Toc47948972"/>
      <w:bookmarkStart w:id="198" w:name="_Toc47448594"/>
      <w:bookmarkStart w:id="199" w:name="_Toc47448179"/>
      <w:bookmarkStart w:id="200" w:name="_Toc47948715"/>
      <w:bookmarkStart w:id="201" w:name="_Toc47449295"/>
      <w:bookmarkStart w:id="202" w:name="_Toc47949286"/>
      <w:bookmarkStart w:id="203" w:name="_Toc47448539"/>
      <w:bookmarkStart w:id="204" w:name="_Toc47448301"/>
      <w:bookmarkStart w:id="205" w:name="_Toc47448096"/>
      <w:bookmarkStart w:id="206" w:name="_Toc47951349"/>
      <w:bookmarkStart w:id="207" w:name="_Toc47951441"/>
      <w:bookmarkStart w:id="208" w:name="_Toc47448042"/>
      <w:r>
        <w:t>Liubov Hutsalenko</w:t>
      </w:r>
      <w:r>
        <w:rPr>
          <w:vertAlign w:val="superscript"/>
        </w:rPr>
        <w:t>1</w:t>
      </w:r>
      <w:r>
        <w:t xml:space="preserve">, </w:t>
      </w:r>
      <w:r>
        <w:rPr>
          <w:rFonts w:eastAsia="Calibri"/>
        </w:rPr>
        <w:t>Uliana Marchuk</w:t>
      </w:r>
      <w:r>
        <w:rPr>
          <w:vertAlign w:val="superscript"/>
        </w:rPr>
        <w:t>2</w:t>
      </w:r>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r>
        <w:t xml:space="preserve"> </w:t>
      </w:r>
      <w:r>
        <w:br/>
      </w:r>
    </w:p>
    <w:p w:rsidR="005C3F63" w:rsidRDefault="006536E7">
      <w:pPr>
        <w:widowControl w:val="0"/>
        <w:jc w:val="center"/>
        <w:rPr>
          <w:rFonts w:ascii="Verdana" w:eastAsia="Calibri" w:hAnsi="Verdana"/>
          <w:sz w:val="18"/>
          <w:szCs w:val="18"/>
          <w:shd w:val="clear" w:color="auto" w:fill="FFFFFF"/>
          <w:lang w:eastAsia="ru-RU" w:bidi="ar-SA"/>
        </w:rPr>
      </w:pPr>
      <w:r>
        <w:rPr>
          <w:rFonts w:ascii="Verdana" w:hAnsi="Verdana"/>
          <w:sz w:val="18"/>
          <w:szCs w:val="18"/>
          <w:vertAlign w:val="superscript"/>
        </w:rPr>
        <w:t xml:space="preserve">1 </w:t>
      </w:r>
      <w:hyperlink r:id="rId51" w:history="1">
        <w:r>
          <w:rPr>
            <w:rFonts w:ascii="Verdana" w:hAnsi="Verdana"/>
            <w:sz w:val="18"/>
            <w:szCs w:val="18"/>
          </w:rPr>
          <w:t>National University of Life and Environmental Sciences of Ukraine</w:t>
        </w:r>
      </w:hyperlink>
    </w:p>
    <w:p w:rsidR="005C3F63" w:rsidRDefault="006536E7">
      <w:pPr>
        <w:widowControl w:val="0"/>
        <w:jc w:val="center"/>
        <w:rPr>
          <w:rFonts w:ascii="Verdana" w:eastAsia="Calibri" w:hAnsi="Verdana"/>
          <w:b/>
          <w:sz w:val="18"/>
          <w:szCs w:val="18"/>
          <w:lang w:val="pl-PL"/>
        </w:rPr>
      </w:pPr>
      <w:r>
        <w:rPr>
          <w:rFonts w:ascii="Verdana" w:hAnsi="Verdana"/>
          <w:sz w:val="18"/>
          <w:szCs w:val="18"/>
          <w:lang w:val="pl-PL"/>
        </w:rPr>
        <w:t>15</w:t>
      </w:r>
      <w:r>
        <w:rPr>
          <w:rFonts w:ascii="Verdana" w:hAnsi="Verdana"/>
          <w:sz w:val="18"/>
          <w:szCs w:val="18"/>
          <w:lang w:val="uk-UA"/>
        </w:rPr>
        <w:t xml:space="preserve"> </w:t>
      </w:r>
      <w:r>
        <w:rPr>
          <w:rFonts w:ascii="Verdana" w:hAnsi="Verdana"/>
          <w:sz w:val="18"/>
          <w:szCs w:val="18"/>
          <w:lang w:val="pl-PL"/>
        </w:rPr>
        <w:t xml:space="preserve">Heroiv Oborony Str., Kyiv, </w:t>
      </w:r>
      <w:r>
        <w:rPr>
          <w:rFonts w:ascii="Verdana" w:hAnsi="Verdana"/>
          <w:sz w:val="18"/>
          <w:szCs w:val="18"/>
          <w:shd w:val="clear" w:color="auto" w:fill="FFFFFF"/>
          <w:lang w:val="pl-PL"/>
        </w:rPr>
        <w:t>03041</w:t>
      </w:r>
      <w:r>
        <w:rPr>
          <w:rFonts w:ascii="Verdana" w:eastAsia="Calibri" w:hAnsi="Verdana"/>
          <w:sz w:val="18"/>
          <w:szCs w:val="18"/>
          <w:lang w:val="pl-PL"/>
        </w:rPr>
        <w:t xml:space="preserve">, </w:t>
      </w:r>
      <w:r>
        <w:rPr>
          <w:rFonts w:ascii="Verdana" w:hAnsi="Verdana"/>
          <w:sz w:val="18"/>
          <w:szCs w:val="18"/>
          <w:lang w:val="pl-PL"/>
        </w:rPr>
        <w:t>Ukraine</w:t>
      </w:r>
      <w:r>
        <w:rPr>
          <w:rFonts w:ascii="Verdana" w:hAnsi="Verdana"/>
          <w:sz w:val="18"/>
          <w:szCs w:val="18"/>
          <w:lang w:val="pl-PL"/>
        </w:rPr>
        <w:br/>
      </w:r>
      <w:r>
        <w:rPr>
          <w:rFonts w:ascii="Verdana" w:hAnsi="Verdana"/>
          <w:sz w:val="18"/>
          <w:szCs w:val="18"/>
          <w:lang w:val="en-GB"/>
        </w:rPr>
        <w:t xml:space="preserve">E-mail: </w:t>
      </w:r>
      <w:r>
        <w:rPr>
          <w:rFonts w:ascii="Verdana" w:eastAsia="Calibri" w:hAnsi="Verdana"/>
          <w:sz w:val="18"/>
          <w:szCs w:val="18"/>
          <w:lang w:val="pl-PL"/>
        </w:rPr>
        <w:t>lyboffv@gmail.com</w:t>
      </w:r>
      <w:r>
        <w:rPr>
          <w:rFonts w:ascii="Verdana" w:eastAsia="Calibri" w:hAnsi="Verdana"/>
          <w:sz w:val="18"/>
          <w:szCs w:val="18"/>
          <w:u w:val="single"/>
          <w:lang w:val="pl-PL"/>
        </w:rPr>
        <w:t xml:space="preserve"> </w:t>
      </w:r>
    </w:p>
    <w:p w:rsidR="005C3F63" w:rsidRDefault="006536E7">
      <w:pPr>
        <w:widowControl w:val="0"/>
        <w:jc w:val="center"/>
        <w:rPr>
          <w:rFonts w:ascii="Verdana" w:eastAsia="Calibri" w:hAnsi="Verdana"/>
          <w:b/>
          <w:sz w:val="18"/>
          <w:szCs w:val="18"/>
        </w:rPr>
      </w:pPr>
      <w:r>
        <w:rPr>
          <w:rFonts w:ascii="Verdana" w:eastAsia="Calibri" w:hAnsi="Verdana"/>
          <w:sz w:val="18"/>
          <w:szCs w:val="18"/>
        </w:rPr>
        <w:t xml:space="preserve">ORCID ID: </w:t>
      </w:r>
      <w:r>
        <w:rPr>
          <w:rFonts w:ascii="Verdana" w:eastAsia="Calibri" w:hAnsi="Verdana"/>
          <w:sz w:val="18"/>
          <w:szCs w:val="18"/>
          <w:shd w:val="clear" w:color="auto" w:fill="FFFFFF"/>
          <w:lang w:val="uk-UA"/>
        </w:rPr>
        <w:t>https://orcid.org/0000-0001-5181-8652</w:t>
      </w:r>
    </w:p>
    <w:p w:rsidR="005C3F63" w:rsidRDefault="005C3F63">
      <w:pPr>
        <w:widowControl w:val="0"/>
        <w:jc w:val="center"/>
        <w:rPr>
          <w:rFonts w:ascii="Verdana" w:eastAsia="Calibri" w:hAnsi="Verdana"/>
          <w:b/>
          <w:sz w:val="18"/>
          <w:szCs w:val="18"/>
          <w:lang w:val="uk-UA"/>
        </w:rPr>
      </w:pPr>
    </w:p>
    <w:p w:rsidR="005C3F63" w:rsidRDefault="006536E7">
      <w:pPr>
        <w:widowControl w:val="0"/>
        <w:jc w:val="center"/>
        <w:rPr>
          <w:rFonts w:ascii="Verdana" w:eastAsia="Calibri" w:hAnsi="Verdana"/>
          <w:sz w:val="18"/>
          <w:szCs w:val="18"/>
          <w:lang w:val="en-GB"/>
        </w:rPr>
      </w:pPr>
      <w:r>
        <w:rPr>
          <w:rFonts w:ascii="Verdana" w:hAnsi="Verdana"/>
          <w:sz w:val="18"/>
          <w:szCs w:val="18"/>
          <w:vertAlign w:val="superscript"/>
        </w:rPr>
        <w:t xml:space="preserve">2 </w:t>
      </w:r>
      <w:r>
        <w:rPr>
          <w:rFonts w:ascii="Verdana" w:eastAsia="Calibri" w:hAnsi="Verdana"/>
          <w:sz w:val="18"/>
          <w:szCs w:val="18"/>
          <w:lang w:val="en-GB"/>
        </w:rPr>
        <w:t>Kyiv National Economic University named after Vadym Hetman</w:t>
      </w:r>
    </w:p>
    <w:p w:rsidR="005C3F63" w:rsidRDefault="006536E7">
      <w:pPr>
        <w:widowControl w:val="0"/>
        <w:jc w:val="center"/>
        <w:rPr>
          <w:rFonts w:ascii="Verdana" w:hAnsi="Verdana"/>
          <w:bCs/>
          <w:sz w:val="18"/>
          <w:szCs w:val="18"/>
        </w:rPr>
      </w:pPr>
      <w:r>
        <w:rPr>
          <w:rFonts w:ascii="Verdana" w:hAnsi="Verdana"/>
          <w:sz w:val="18"/>
          <w:szCs w:val="18"/>
        </w:rPr>
        <w:t>54/1  Peremoha Ave., Kyiv, 03057, Ukraine</w:t>
      </w:r>
    </w:p>
    <w:p w:rsidR="005C3F63" w:rsidRDefault="006536E7">
      <w:pPr>
        <w:widowControl w:val="0"/>
        <w:jc w:val="center"/>
        <w:rPr>
          <w:rFonts w:eastAsia="Calibri"/>
          <w:lang w:val="en-GB"/>
        </w:rPr>
      </w:pPr>
      <w:r>
        <w:rPr>
          <w:rFonts w:ascii="Verdana" w:hAnsi="Verdana"/>
          <w:sz w:val="18"/>
          <w:szCs w:val="18"/>
          <w:lang w:val="en-GB"/>
        </w:rPr>
        <w:t xml:space="preserve">E-mail: </w:t>
      </w:r>
      <w:r>
        <w:rPr>
          <w:rFonts w:ascii="Verdana" w:eastAsia="Calibri" w:hAnsi="Verdana"/>
          <w:sz w:val="18"/>
          <w:szCs w:val="18"/>
          <w:lang w:val="en-GB"/>
        </w:rPr>
        <w:t>mar4ukuliana@gmail.com</w:t>
      </w:r>
    </w:p>
    <w:p w:rsidR="005C3F63" w:rsidRDefault="006536E7">
      <w:pPr>
        <w:widowControl w:val="0"/>
        <w:jc w:val="center"/>
        <w:rPr>
          <w:rFonts w:ascii="Verdana" w:eastAsia="Calibri" w:hAnsi="Verdana"/>
          <w:sz w:val="18"/>
          <w:szCs w:val="18"/>
          <w:lang w:val="en-GB"/>
        </w:rPr>
      </w:pPr>
      <w:r>
        <w:rPr>
          <w:rFonts w:ascii="Verdana" w:eastAsia="Calibri" w:hAnsi="Verdana"/>
          <w:sz w:val="18"/>
          <w:szCs w:val="18"/>
          <w:lang w:val="en-GB"/>
        </w:rPr>
        <w:t>ORCID ID: http://orcid.org/0000-0003-0971-1303</w:t>
      </w:r>
    </w:p>
    <w:p w:rsidR="005C3F63" w:rsidRDefault="005C3F63">
      <w:pPr>
        <w:widowControl w:val="0"/>
        <w:jc w:val="center"/>
        <w:rPr>
          <w:rFonts w:eastAsia="Calibri"/>
          <w:b/>
          <w:sz w:val="22"/>
        </w:rPr>
      </w:pPr>
    </w:p>
    <w:p w:rsidR="005C3F63" w:rsidRDefault="005C3F63">
      <w:pPr>
        <w:widowControl w:val="0"/>
        <w:jc w:val="center"/>
        <w:rPr>
          <w:rFonts w:ascii="Verdana" w:hAnsi="Verdana"/>
          <w:b/>
          <w:sz w:val="20"/>
          <w:szCs w:val="20"/>
        </w:rPr>
      </w:pPr>
    </w:p>
    <w:p w:rsidR="005C3F63" w:rsidRDefault="006536E7">
      <w:pPr>
        <w:widowControl w:val="0"/>
        <w:rPr>
          <w:rFonts w:ascii="Verdana" w:eastAsiaTheme="minorHAnsi" w:hAnsi="Verdana"/>
          <w:spacing w:val="-4"/>
          <w:sz w:val="20"/>
          <w:szCs w:val="20"/>
          <w:shd w:val="clear" w:color="auto" w:fill="F8F9FA"/>
          <w:lang w:bidi="ar-SA"/>
        </w:rPr>
      </w:pPr>
      <w:r>
        <w:rPr>
          <w:rFonts w:ascii="Verdana" w:hAnsi="Verdana"/>
          <w:b/>
          <w:color w:val="222222"/>
        </w:rPr>
        <w:t xml:space="preserve">Abstract: </w:t>
      </w:r>
      <w:r>
        <w:rPr>
          <w:rFonts w:ascii="Verdana" w:hAnsi="Verdana"/>
          <w:spacing w:val="-4"/>
          <w:sz w:val="20"/>
          <w:szCs w:val="20"/>
        </w:rPr>
        <w:t xml:space="preserve">The article considers the evolution of winemaking and stages of its development in different countries. Attention is paid to the various micro-climatic zones in Ukraine that promote grape and wine industry development. An analytical assessment of the production of grape wine in Ukraine for the period of 2011-2019 is carried out. Analytical assessment of the production of wine materials in the group range in Ukraine for the period of 2018-2019 is done. </w:t>
      </w:r>
      <w:r>
        <w:rPr>
          <w:rFonts w:ascii="Verdana" w:eastAsia="Calibri" w:hAnsi="Verdana"/>
          <w:spacing w:val="-4"/>
          <w:sz w:val="20"/>
          <w:szCs w:val="20"/>
        </w:rPr>
        <w:t>Theoretical aspects of wine tourism accounting (enotourism) are studied and the environment of wine tourism and its impact on accounting is identified. Traditional and specific types of tourist product services are presented.</w:t>
      </w:r>
    </w:p>
    <w:p w:rsidR="005C3F63" w:rsidRDefault="006536E7">
      <w:pPr>
        <w:widowControl w:val="0"/>
        <w:shd w:val="clear" w:color="auto" w:fill="FFFFFF"/>
        <w:rPr>
          <w:rFonts w:ascii="Verdana" w:eastAsia="Calibri" w:hAnsi="Verdana"/>
          <w:sz w:val="20"/>
          <w:szCs w:val="20"/>
          <w:shd w:val="clear" w:color="auto" w:fill="FFFFFF"/>
        </w:rPr>
      </w:pPr>
      <w:r>
        <w:rPr>
          <w:rFonts w:ascii="Verdana" w:eastAsia="Calibri" w:hAnsi="Verdana"/>
          <w:b/>
          <w:sz w:val="20"/>
          <w:szCs w:val="20"/>
          <w:shd w:val="clear" w:color="auto" w:fill="FFFFFF"/>
        </w:rPr>
        <w:t xml:space="preserve">Keywords: </w:t>
      </w:r>
      <w:r>
        <w:rPr>
          <w:rFonts w:ascii="Verdana" w:eastAsia="Calibri" w:hAnsi="Verdana"/>
          <w:sz w:val="20"/>
          <w:szCs w:val="20"/>
          <w:shd w:val="clear" w:color="auto" w:fill="FFFFFF"/>
        </w:rPr>
        <w:t>evolution, viticulture, winemaking, enotourism, accounting, analytical evaluation.</w:t>
      </w:r>
    </w:p>
    <w:p w:rsidR="005C3F63" w:rsidRDefault="006536E7">
      <w:pPr>
        <w:widowControl w:val="0"/>
        <w:shd w:val="clear" w:color="auto" w:fill="FFFFFF"/>
        <w:rPr>
          <w:rFonts w:ascii="Verdana" w:eastAsia="Calibri" w:hAnsi="Verdana"/>
          <w:bCs/>
          <w:sz w:val="20"/>
          <w:szCs w:val="20"/>
          <w:shd w:val="clear" w:color="auto" w:fill="FFFFFF"/>
        </w:rPr>
      </w:pPr>
      <w:r>
        <w:rPr>
          <w:rFonts w:ascii="Verdana" w:eastAsia="Calibri" w:hAnsi="Verdana"/>
          <w:bCs/>
          <w:sz w:val="20"/>
          <w:szCs w:val="20"/>
          <w:shd w:val="clear" w:color="auto" w:fill="FFFFFF"/>
        </w:rPr>
        <w:t>JEL c</w:t>
      </w:r>
      <w:r>
        <w:rPr>
          <w:rFonts w:ascii="Verdana" w:eastAsia="Calibri" w:hAnsi="Verdana"/>
          <w:bCs/>
          <w:sz w:val="20"/>
          <w:szCs w:val="20"/>
          <w:shd w:val="clear" w:color="auto" w:fill="FFFFFF"/>
          <w:lang w:val="sk-SK"/>
        </w:rPr>
        <w:t>odes</w:t>
      </w:r>
      <w:r>
        <w:rPr>
          <w:rFonts w:ascii="Verdana" w:eastAsia="Calibri" w:hAnsi="Verdana"/>
          <w:bCs/>
          <w:sz w:val="20"/>
          <w:szCs w:val="20"/>
          <w:shd w:val="clear" w:color="auto" w:fill="FFFFFF"/>
        </w:rPr>
        <w:t>: L66, M40, M41, Q13</w:t>
      </w:r>
    </w:p>
    <w:p w:rsidR="005C3F63" w:rsidRDefault="005C3F63">
      <w:pPr>
        <w:widowControl w:val="0"/>
        <w:shd w:val="clear" w:color="auto" w:fill="FFFFFF"/>
        <w:rPr>
          <w:rFonts w:ascii="Verdana" w:eastAsia="Calibri" w:hAnsi="Verdana"/>
          <w:b/>
          <w:sz w:val="20"/>
          <w:szCs w:val="20"/>
          <w:shd w:val="clear" w:color="auto" w:fill="FFFFFF"/>
        </w:rPr>
      </w:pPr>
    </w:p>
    <w:p w:rsidR="005C3F63" w:rsidRDefault="006536E7">
      <w:pPr>
        <w:widowControl w:val="0"/>
        <w:rPr>
          <w:rFonts w:ascii="Verdana" w:eastAsia="Calibri" w:hAnsi="Verdana"/>
          <w:sz w:val="20"/>
          <w:szCs w:val="20"/>
          <w:shd w:val="clear" w:color="auto" w:fill="FFFFFF"/>
        </w:rPr>
      </w:pPr>
      <w:r>
        <w:rPr>
          <w:rFonts w:ascii="Verdana" w:eastAsia="Calibri" w:hAnsi="Verdana"/>
          <w:b/>
          <w:shd w:val="clear" w:color="auto" w:fill="FFFFFF"/>
        </w:rPr>
        <w:t xml:space="preserve">1 Introduction </w:t>
      </w:r>
      <w:r>
        <w:rPr>
          <w:rFonts w:ascii="Verdana" w:eastAsia="Calibri" w:hAnsi="Verdana"/>
          <w:sz w:val="20"/>
          <w:szCs w:val="20"/>
          <w:shd w:val="clear" w:color="auto" w:fill="FFFFFF"/>
        </w:rPr>
        <w:t>The history of the development of the grape and wine industry gives grounds to assert its priority and prospects among other sectors of the economy of any country.</w:t>
      </w:r>
    </w:p>
    <w:p w:rsidR="005C3F63" w:rsidRDefault="006536E7">
      <w:pPr>
        <w:widowControl w:val="0"/>
        <w:rPr>
          <w:rFonts w:ascii="Verdana" w:eastAsia="Calibri" w:hAnsi="Verdana"/>
          <w:sz w:val="20"/>
          <w:szCs w:val="20"/>
          <w:shd w:val="clear" w:color="auto" w:fill="FFFFFF"/>
        </w:rPr>
      </w:pPr>
      <w:r>
        <w:rPr>
          <w:rFonts w:ascii="Verdana" w:eastAsia="Calibri" w:hAnsi="Verdana"/>
          <w:sz w:val="20"/>
          <w:szCs w:val="20"/>
          <w:shd w:val="clear" w:color="auto" w:fill="FFFFFF"/>
        </w:rPr>
        <w:t>Recently, wine tourism is especially popular among the population, which is based on the study of grape growing, wine production, tasting of finished wine products and visits to wineries, vineyards, festivals and other various events related to wine.</w:t>
      </w:r>
    </w:p>
    <w:p w:rsidR="005C3F63" w:rsidRDefault="006536E7">
      <w:pPr>
        <w:widowControl w:val="0"/>
        <w:rPr>
          <w:rFonts w:ascii="Verdana" w:eastAsia="Calibri" w:hAnsi="Verdana"/>
          <w:sz w:val="20"/>
          <w:szCs w:val="20"/>
          <w:shd w:val="clear" w:color="auto" w:fill="FFFFFF"/>
        </w:rPr>
      </w:pPr>
      <w:r>
        <w:rPr>
          <w:rFonts w:ascii="Verdana" w:eastAsia="Calibri" w:hAnsi="Verdana"/>
          <w:sz w:val="20"/>
          <w:szCs w:val="20"/>
          <w:shd w:val="clear" w:color="auto" w:fill="FFFFFF"/>
        </w:rPr>
        <w:t>With the development of enotourism, winemakers incur unique costs that do not exist in other areas, in particular, these are costs associated with the new object of accounting and require changes to its accounts, cost system (capitalization of vineyard costs, depletion allowances and distribution costs of exported goods) and many other procedures. Therefore, special attention should be paid to the study of the reliability of accounting reflection of costs associated with the organization and conduct of such activities as a particular activity and the object of accounting.</w:t>
      </w:r>
    </w:p>
    <w:p w:rsidR="005C3F63" w:rsidRDefault="005C3F63">
      <w:pPr>
        <w:widowControl w:val="0"/>
        <w:rPr>
          <w:rFonts w:ascii="Verdana" w:eastAsia="Calibri" w:hAnsi="Verdana"/>
          <w:b/>
          <w:sz w:val="22"/>
          <w:shd w:val="clear" w:color="auto" w:fill="FFFFFF"/>
        </w:rPr>
      </w:pPr>
    </w:p>
    <w:p w:rsidR="005C3F63" w:rsidRDefault="006536E7">
      <w:pPr>
        <w:widowControl w:val="0"/>
        <w:rPr>
          <w:rFonts w:ascii="Verdana" w:eastAsia="Calibri" w:hAnsi="Verdana"/>
          <w:b/>
          <w:shd w:val="clear" w:color="auto" w:fill="FFFFFF"/>
        </w:rPr>
      </w:pPr>
      <w:r>
        <w:rPr>
          <w:rFonts w:ascii="Verdana" w:eastAsia="Calibri" w:hAnsi="Verdana"/>
          <w:b/>
          <w:shd w:val="clear" w:color="auto" w:fill="FFFFFF"/>
        </w:rPr>
        <w:t>2 Methodology and data</w:t>
      </w:r>
    </w:p>
    <w:p w:rsidR="005C3F63" w:rsidRDefault="006536E7">
      <w:pPr>
        <w:widowControl w:val="0"/>
        <w:rPr>
          <w:rFonts w:ascii="Verdana" w:eastAsia="Calibri" w:hAnsi="Verdana"/>
          <w:sz w:val="20"/>
          <w:szCs w:val="20"/>
        </w:rPr>
      </w:pPr>
      <w:r>
        <w:rPr>
          <w:rFonts w:ascii="Verdana" w:eastAsia="Calibri" w:hAnsi="Verdana"/>
          <w:sz w:val="20"/>
          <w:szCs w:val="20"/>
        </w:rPr>
        <w:t>The works of foreign scientists are devoted to the study of the grape and wine industry development and the peculiarities of its accounting reflection, in particular: John Blake, Oriol Amat &amp; Jack Dowds (1998), Delmas, M., Gergaud, O., &amp; Lim, J. (2016), M. Oliveira; J. M. Costa; R. Fragoso; E. Duarte (2019), D. Santillán, V. Sotés, A. Iglesias and L. Garrote (2019), Katherine L.Christ (2014), who believe that the model of wine tourism is based on interest in wine, knowledge of attractive areas and the possibility of tasting. Along with these approaches, the landscape of the vineyard, architectural monuments, picturesque villages, castles, chateaux, wineries, a special atmosphere of communication with wine consumers (people who are in love with wine), enchanting holidays and a rich palette of flavors are interesting for tourists, which is important for both tourists and wine producers who make business decisions concerning the organizing a wine tour.</w:t>
      </w:r>
    </w:p>
    <w:p w:rsidR="005C3F63" w:rsidRDefault="006536E7">
      <w:pPr>
        <w:widowControl w:val="0"/>
        <w:rPr>
          <w:rFonts w:ascii="Verdana" w:eastAsia="Calibri" w:hAnsi="Verdana"/>
          <w:sz w:val="20"/>
          <w:szCs w:val="20"/>
        </w:rPr>
      </w:pPr>
      <w:r>
        <w:rPr>
          <w:rFonts w:ascii="Verdana" w:eastAsia="Calibri" w:hAnsi="Verdana"/>
          <w:sz w:val="20"/>
          <w:szCs w:val="20"/>
        </w:rPr>
        <w:t xml:space="preserve">Among Ukrainian scientists the following authors studied this problem: A.M. Avidzba (2000), O.M. Garkusha (2002), I.I. Cherven (2008), who devoted their research to </w:t>
      </w:r>
      <w:r>
        <w:rPr>
          <w:rFonts w:ascii="Verdana" w:eastAsia="Calibri" w:hAnsi="Verdana"/>
          <w:sz w:val="20"/>
          <w:szCs w:val="20"/>
        </w:rPr>
        <w:lastRenderedPageBreak/>
        <w:t>studying the conditions of sustainable development of viticulture and winemaking in Ukraine and its regions, a systematic analysis of the most important problems of the industry, both theoretical and practical. Mossakovsky V.B. and Bublyk S.Ya. (2008), considered methodological bases of formation of expenses and calculation of winemaking production in the conditions of functioning the Provisions (standards) of accounting and normative-legal base. Dunaeva M.V. (2011) focuses on the formation of the cost of manufactured products of the wine industry.</w:t>
      </w:r>
    </w:p>
    <w:p w:rsidR="005C3F63" w:rsidRDefault="006536E7">
      <w:pPr>
        <w:widowControl w:val="0"/>
        <w:rPr>
          <w:rFonts w:ascii="Verdana" w:eastAsia="Calibri" w:hAnsi="Verdana"/>
          <w:b/>
          <w:sz w:val="22"/>
          <w:shd w:val="clear" w:color="auto" w:fill="FFFFFF"/>
        </w:rPr>
      </w:pPr>
      <w:r>
        <w:rPr>
          <w:rFonts w:ascii="Verdana" w:eastAsia="Calibri" w:hAnsi="Verdana"/>
          <w:sz w:val="20"/>
          <w:szCs w:val="20"/>
        </w:rPr>
        <w:t>Comparison of official statistics for several years makes it possible to conclude about trends in winemaking development in Ukraine. The lack of a methodology for accounting and estimating income and expenditure from enotourism makes it impossible to collect statistical information for the management of this industry at the macro level. Therefore, authors in the study suggest to identify the objects of accounting for enotourism.</w:t>
      </w:r>
    </w:p>
    <w:p w:rsidR="005C3F63" w:rsidRDefault="005C3F63">
      <w:pPr>
        <w:widowControl w:val="0"/>
        <w:rPr>
          <w:rFonts w:ascii="Verdana" w:eastAsia="Calibri" w:hAnsi="Verdana"/>
          <w:b/>
          <w:shd w:val="clear" w:color="auto" w:fill="FFFFFF"/>
        </w:rPr>
      </w:pPr>
    </w:p>
    <w:p w:rsidR="005C3F63" w:rsidRDefault="006536E7">
      <w:pPr>
        <w:widowControl w:val="0"/>
        <w:rPr>
          <w:rFonts w:ascii="Verdana" w:eastAsia="Calibri" w:hAnsi="Verdana"/>
          <w:b/>
          <w:shd w:val="clear" w:color="auto" w:fill="FFFFFF"/>
        </w:rPr>
      </w:pPr>
      <w:r>
        <w:rPr>
          <w:rFonts w:ascii="Verdana" w:eastAsia="Calibri" w:hAnsi="Verdana"/>
          <w:b/>
          <w:shd w:val="clear" w:color="auto" w:fill="FFFFFF"/>
        </w:rPr>
        <w:t>3 Results of the discussion</w:t>
      </w:r>
    </w:p>
    <w:p w:rsidR="005C3F63" w:rsidRDefault="006536E7">
      <w:pPr>
        <w:widowControl w:val="0"/>
        <w:rPr>
          <w:rFonts w:ascii="Verdana" w:eastAsia="Calibri" w:hAnsi="Verdana"/>
          <w:sz w:val="20"/>
          <w:szCs w:val="20"/>
          <w:shd w:val="clear" w:color="auto" w:fill="FFFFFF"/>
        </w:rPr>
      </w:pPr>
      <w:r>
        <w:rPr>
          <w:rFonts w:ascii="Verdana" w:eastAsia="Calibri" w:hAnsi="Verdana"/>
          <w:sz w:val="20"/>
          <w:szCs w:val="20"/>
          <w:shd w:val="clear" w:color="auto" w:fill="FFFFFF"/>
        </w:rPr>
        <w:t xml:space="preserve">Geographically, the homeland of viticulture is the Caucasus (the territory of modern Georgia and Armenia) because according to archaeological data shards of pottery with the remains of a wine drink have been preserved, and the first graphic and textual evidence of wine existence dates back to the 4th millennium BC. </w:t>
      </w:r>
    </w:p>
    <w:p w:rsidR="005C3F63" w:rsidRDefault="006536E7">
      <w:pPr>
        <w:widowControl w:val="0"/>
        <w:rPr>
          <w:rFonts w:ascii="Verdana" w:eastAsia="Calibri" w:hAnsi="Verdana"/>
          <w:sz w:val="20"/>
          <w:szCs w:val="20"/>
          <w:shd w:val="clear" w:color="auto" w:fill="FFFFFF"/>
        </w:rPr>
      </w:pPr>
      <w:r>
        <w:rPr>
          <w:rFonts w:ascii="Verdana" w:eastAsia="Calibri" w:hAnsi="Verdana"/>
          <w:sz w:val="20"/>
          <w:szCs w:val="20"/>
          <w:shd w:val="clear" w:color="auto" w:fill="FFFFFF"/>
        </w:rPr>
        <w:t>Then from the Middle East and Persia, the vine spread to the east and covered China (reign of the Khan dynasty - 200 BC) and India (500 BC). In Egypt (early XXVIII - mid XXIII century BC) bas-reliefs depicting grape pickers at work were preserved, there is also written evidence.</w:t>
      </w:r>
    </w:p>
    <w:p w:rsidR="005C3F63" w:rsidRDefault="006536E7">
      <w:pPr>
        <w:widowControl w:val="0"/>
        <w:rPr>
          <w:rFonts w:ascii="Verdana" w:eastAsia="Calibri" w:hAnsi="Verdana"/>
          <w:sz w:val="20"/>
          <w:szCs w:val="20"/>
          <w:shd w:val="clear" w:color="auto" w:fill="FFFFFF"/>
        </w:rPr>
      </w:pPr>
      <w:r>
        <w:rPr>
          <w:rFonts w:ascii="Verdana" w:eastAsia="Calibri" w:hAnsi="Verdana"/>
          <w:sz w:val="20"/>
          <w:szCs w:val="20"/>
          <w:shd w:val="clear" w:color="auto" w:fill="FFFFFF"/>
        </w:rPr>
        <w:t>However, the whole world of grapes was conquered only after its appearance in the west. Through the Phoenicians, this culture was passed on to the Greeks, where it was Greece that began to establish trade in wine and spread viticulture throughout the Mediterranean (525 BC). From the Greeks the baton of winemaking development was taken by the Romans, who also actively improved the technique. They not only improved the whole process of winemaking, but also imported into all the lands they conquered and planted vineyards where they had never been before. In this respect, France owes its vineyards to the Romans.</w:t>
      </w:r>
    </w:p>
    <w:p w:rsidR="005C3F63" w:rsidRDefault="006536E7">
      <w:pPr>
        <w:widowControl w:val="0"/>
        <w:rPr>
          <w:rFonts w:ascii="Verdana" w:eastAsia="Calibri" w:hAnsi="Verdana"/>
          <w:sz w:val="20"/>
          <w:szCs w:val="20"/>
          <w:shd w:val="clear" w:color="auto" w:fill="FFFFFF"/>
        </w:rPr>
      </w:pPr>
      <w:r>
        <w:rPr>
          <w:rFonts w:ascii="Verdana" w:eastAsia="Calibri" w:hAnsi="Verdana"/>
          <w:sz w:val="20"/>
          <w:szCs w:val="20"/>
          <w:shd w:val="clear" w:color="auto" w:fill="FFFFFF"/>
        </w:rPr>
        <w:t>At the end of the second century B.C. wine is becoming a more popular drink. In the first century B.C. there was a revolution in the history of viticulture, as new varieties of grape bush were invented in modern France ("Allobrogica" - frost-resistant and adapted to harsh climatic conditions and "Biturica" - adapted to rainy climates).</w:t>
      </w:r>
    </w:p>
    <w:p w:rsidR="005C3F63" w:rsidRDefault="006536E7">
      <w:pPr>
        <w:widowControl w:val="0"/>
        <w:rPr>
          <w:rFonts w:ascii="Verdana" w:eastAsia="Calibri" w:hAnsi="Verdana"/>
          <w:sz w:val="20"/>
          <w:szCs w:val="20"/>
          <w:shd w:val="clear" w:color="auto" w:fill="FFFFFF"/>
        </w:rPr>
      </w:pPr>
      <w:r>
        <w:rPr>
          <w:rFonts w:ascii="Verdana" w:eastAsia="Calibri" w:hAnsi="Verdana"/>
          <w:sz w:val="20"/>
          <w:szCs w:val="20"/>
          <w:shd w:val="clear" w:color="auto" w:fill="FFFFFF"/>
        </w:rPr>
        <w:t>Next at the beginning of IV century Emperor Constantine officially recognized the Christian religion, and the need for wine in religious rites contributed to the spread of vineyards.</w:t>
      </w:r>
    </w:p>
    <w:p w:rsidR="005C3F63" w:rsidRDefault="006536E7">
      <w:pPr>
        <w:widowControl w:val="0"/>
        <w:rPr>
          <w:rFonts w:ascii="Verdana" w:eastAsia="Calibri" w:hAnsi="Verdana"/>
          <w:sz w:val="20"/>
          <w:szCs w:val="20"/>
          <w:shd w:val="clear" w:color="auto" w:fill="FFFFFF"/>
        </w:rPr>
      </w:pPr>
      <w:r>
        <w:rPr>
          <w:rFonts w:ascii="Verdana" w:eastAsia="Calibri" w:hAnsi="Verdana"/>
          <w:sz w:val="20"/>
          <w:szCs w:val="20"/>
          <w:shd w:val="clear" w:color="auto" w:fill="FFFFFF"/>
        </w:rPr>
        <w:t>It should be noted that at the beginning of XIII century a wine competition was organized, which included the first jury with Philip Augustus.</w:t>
      </w:r>
    </w:p>
    <w:p w:rsidR="005C3F63" w:rsidRDefault="006536E7">
      <w:pPr>
        <w:widowControl w:val="0"/>
        <w:rPr>
          <w:rFonts w:ascii="Verdana" w:eastAsia="Calibri" w:hAnsi="Verdana"/>
          <w:sz w:val="20"/>
          <w:szCs w:val="20"/>
          <w:shd w:val="clear" w:color="auto" w:fill="FFFFFF"/>
        </w:rPr>
      </w:pPr>
      <w:r>
        <w:rPr>
          <w:rFonts w:ascii="Verdana" w:eastAsia="Calibri" w:hAnsi="Verdana"/>
          <w:sz w:val="20"/>
          <w:szCs w:val="20"/>
          <w:shd w:val="clear" w:color="auto" w:fill="FFFFFF"/>
        </w:rPr>
        <w:t>Since the XII century French wine became an export product, where the main consumers were England, Flanders and German countries. Therefore, since then its production has been under control, and in 1395 the Duke of Burgundy Philip the Brave took measures to protect its quality.</w:t>
      </w:r>
    </w:p>
    <w:p w:rsidR="005C3F63" w:rsidRDefault="006536E7">
      <w:pPr>
        <w:widowControl w:val="0"/>
        <w:rPr>
          <w:rFonts w:ascii="Verdana" w:eastAsia="Calibri" w:hAnsi="Verdana"/>
          <w:sz w:val="20"/>
          <w:szCs w:val="20"/>
          <w:shd w:val="clear" w:color="auto" w:fill="FFFFFF"/>
        </w:rPr>
      </w:pPr>
      <w:r>
        <w:rPr>
          <w:rFonts w:ascii="Verdana" w:eastAsia="Calibri" w:hAnsi="Verdana"/>
          <w:sz w:val="20"/>
          <w:szCs w:val="20"/>
          <w:shd w:val="clear" w:color="auto" w:fill="FFFFFF"/>
        </w:rPr>
        <w:t>From the end of the XVII century wine spread around the world as bottles and corks began to be used, which improved the transportation and storage of wine. And in the XIX century with the advent of the railway, the way was opened for faster and wider distribution of wine and turned it into a national drink.</w:t>
      </w:r>
    </w:p>
    <w:p w:rsidR="005C3F63" w:rsidRDefault="006536E7">
      <w:pPr>
        <w:widowControl w:val="0"/>
        <w:rPr>
          <w:rFonts w:ascii="Verdana" w:eastAsia="Calibri" w:hAnsi="Verdana"/>
          <w:spacing w:val="-2"/>
          <w:sz w:val="20"/>
          <w:szCs w:val="20"/>
          <w:shd w:val="clear" w:color="auto" w:fill="FFFFFF"/>
        </w:rPr>
      </w:pPr>
      <w:r>
        <w:rPr>
          <w:rFonts w:ascii="Verdana" w:eastAsia="Calibri" w:hAnsi="Verdana"/>
          <w:spacing w:val="-2"/>
          <w:sz w:val="20"/>
          <w:szCs w:val="20"/>
          <w:shd w:val="clear" w:color="auto" w:fill="FFFFFF"/>
        </w:rPr>
        <w:t xml:space="preserve">According to one version, the modern word "wine" is related to the Georgian "ghvivill" - "bloom, wander". Fassmer (a well-known German linguist), however, traces a common root with the </w:t>
      </w:r>
      <w:r>
        <w:rPr>
          <w:rFonts w:ascii="Arial" w:hAnsi="Arial" w:cs="Arial"/>
          <w:color w:val="000000"/>
        </w:rPr>
        <w:t>Slavonian</w:t>
      </w:r>
      <w:r>
        <w:rPr>
          <w:rFonts w:ascii="Arial" w:hAnsi="Arial" w:cs="Arial"/>
          <w:color w:val="000000"/>
          <w:lang w:val="uk-UA"/>
        </w:rPr>
        <w:t xml:space="preserve"> </w:t>
      </w:r>
      <w:r>
        <w:rPr>
          <w:rFonts w:ascii="Verdana" w:eastAsia="Calibri" w:hAnsi="Verdana"/>
          <w:spacing w:val="-2"/>
          <w:sz w:val="20"/>
          <w:szCs w:val="20"/>
          <w:shd w:val="clear" w:color="auto" w:fill="FFFFFF"/>
        </w:rPr>
        <w:t>"</w:t>
      </w:r>
      <w:r>
        <w:rPr>
          <w:rFonts w:ascii="Arial" w:hAnsi="Arial" w:cs="Arial"/>
          <w:color w:val="000000"/>
        </w:rPr>
        <w:t xml:space="preserve"> to curl</w:t>
      </w:r>
      <w:r>
        <w:rPr>
          <w:rFonts w:ascii="Verdana" w:eastAsia="Calibri" w:hAnsi="Verdana"/>
          <w:spacing w:val="-2"/>
          <w:sz w:val="20"/>
          <w:szCs w:val="20"/>
          <w:shd w:val="clear" w:color="auto" w:fill="FFFFFF"/>
        </w:rPr>
        <w:t>", and some researchers even claim that the term is based on the Sanskrit root "vena" - "favorite". However, none of the hypotheses has evidence.</w:t>
      </w:r>
    </w:p>
    <w:p w:rsidR="005C3F63" w:rsidRDefault="006536E7">
      <w:pPr>
        <w:widowControl w:val="0"/>
        <w:rPr>
          <w:rFonts w:ascii="Verdana" w:eastAsia="Calibri" w:hAnsi="Verdana"/>
          <w:spacing w:val="-2"/>
          <w:sz w:val="20"/>
          <w:szCs w:val="20"/>
          <w:shd w:val="clear" w:color="auto" w:fill="FFFFFF"/>
        </w:rPr>
      </w:pPr>
      <w:r>
        <w:rPr>
          <w:rFonts w:ascii="Verdana" w:eastAsia="Calibri" w:hAnsi="Verdana"/>
          <w:spacing w:val="-2"/>
          <w:sz w:val="20"/>
          <w:szCs w:val="20"/>
          <w:shd w:val="clear" w:color="auto" w:fill="FFFFFF"/>
        </w:rPr>
        <w:t xml:space="preserve">From the vineyard's point of view, Ukraine is a set of microclimatic zones, and a certain territory is better suited for each variety. Hence the huge spread: each variety gives its own wine, and it is unique in its own way. But there are general rules: unpretentious variety eventually gives a less interesting drink. </w:t>
      </w:r>
    </w:p>
    <w:p w:rsidR="005C3F63" w:rsidRDefault="006536E7">
      <w:pPr>
        <w:widowControl w:val="0"/>
        <w:rPr>
          <w:rFonts w:ascii="Verdana" w:eastAsia="Calibri" w:hAnsi="Verdana"/>
          <w:sz w:val="20"/>
          <w:szCs w:val="20"/>
        </w:rPr>
      </w:pPr>
      <w:r>
        <w:rPr>
          <w:rFonts w:ascii="Verdana" w:eastAsia="Calibri" w:hAnsi="Verdana"/>
          <w:sz w:val="20"/>
          <w:szCs w:val="20"/>
        </w:rPr>
        <w:t xml:space="preserve">The "wine" regions of Ukraine are Odessa, Kherson, Mykolaiv, Zakarpattia and Zaporizhia </w:t>
      </w:r>
      <w:r>
        <w:rPr>
          <w:rFonts w:ascii="Verdana" w:eastAsia="Calibri" w:hAnsi="Verdana"/>
          <w:sz w:val="20"/>
          <w:szCs w:val="20"/>
        </w:rPr>
        <w:lastRenderedPageBreak/>
        <w:t>regions, respectively, the largest area of vineyards has Odessa region - 38.95 thousand hectares (46% of the total in Ukraine). The vineyards of the lost Crimea occupy 31.0 thousand hectares (37%). The rest (17.4%) are concentrated in Mykolayiv (7.1%), Zakarpattia (2.7%) and Zaporizhia (0.4%) regions. The development of viticulture allows the production of grape wine in Ukraine (Fig. 1).</w:t>
      </w:r>
    </w:p>
    <w:p w:rsidR="005C3F63" w:rsidRDefault="006536E7">
      <w:pPr>
        <w:widowControl w:val="0"/>
        <w:jc w:val="center"/>
        <w:rPr>
          <w:rFonts w:ascii="Calibri" w:eastAsia="Calibri" w:hAnsi="Calibri"/>
          <w:sz w:val="20"/>
          <w:szCs w:val="20"/>
        </w:rPr>
      </w:pPr>
      <w:r>
        <w:rPr>
          <w:rFonts w:ascii="Verdana" w:eastAsia="Calibri" w:hAnsi="Verdana"/>
          <w:sz w:val="20"/>
          <w:szCs w:val="20"/>
        </w:rPr>
        <w:t xml:space="preserve">Fig. 1. Production of grape wine in Ukraine, million </w:t>
      </w:r>
      <w:r>
        <w:rPr>
          <w:rFonts w:ascii="Verdana" w:eastAsia="Calibri" w:hAnsi="Verdana"/>
          <w:noProof/>
          <w:sz w:val="20"/>
          <w:szCs w:val="20"/>
          <w:lang w:val="uk-UA" w:eastAsia="uk-UA" w:bidi="ar-SA"/>
        </w:rPr>
        <w:drawing>
          <wp:inline distT="0" distB="0" distL="0" distR="0">
            <wp:extent cx="4838065" cy="2231390"/>
            <wp:effectExtent l="0" t="0" r="635" b="0"/>
            <wp:docPr id="3" name="Obrázek 3"/>
            <wp:cNvGraphicFramePr/>
            <a:graphic xmlns:a="http://schemas.openxmlformats.org/drawingml/2006/main">
              <a:graphicData uri="http://schemas.openxmlformats.org/drawingml/2006/picture">
                <pic:pic xmlns:pic="http://schemas.openxmlformats.org/drawingml/2006/picture">
                  <pic:nvPicPr>
                    <pic:cNvPr id="3" name="Obrázek 3"/>
                    <pic:cNvPicPr>
                      <a:picLocks noChangeArrowheads="1"/>
                    </pic:cNvPicPr>
                  </pic:nvPicPr>
                  <pic:blipFill>
                    <a:blip r:embed="rId52">
                      <a:extLst>
                        <a:ext uri="{28A0092B-C50C-407E-A947-70E740481C1C}">
                          <a14:useLocalDpi xmlns:a14="http://schemas.microsoft.com/office/drawing/2010/main" val="0"/>
                        </a:ext>
                      </a:extLst>
                    </a:blip>
                    <a:srcRect/>
                    <a:stretch>
                      <a:fillRect/>
                    </a:stretch>
                  </pic:blipFill>
                  <pic:spPr>
                    <a:xfrm>
                      <a:off x="0" y="0"/>
                      <a:ext cx="4838065" cy="2231390"/>
                    </a:xfrm>
                    <a:prstGeom prst="rect">
                      <a:avLst/>
                    </a:prstGeom>
                    <a:noFill/>
                    <a:ln>
                      <a:noFill/>
                    </a:ln>
                  </pic:spPr>
                </pic:pic>
              </a:graphicData>
            </a:graphic>
          </wp:inline>
        </w:drawing>
      </w:r>
    </w:p>
    <w:p w:rsidR="005C3F63" w:rsidRDefault="006536E7">
      <w:pPr>
        <w:widowControl w:val="0"/>
        <w:ind w:firstLine="567"/>
        <w:rPr>
          <w:rStyle w:val="af9"/>
          <w:rFonts w:ascii="Verdana" w:hAnsi="Verdana"/>
          <w:sz w:val="20"/>
          <w:szCs w:val="20"/>
        </w:rPr>
      </w:pPr>
      <w:r>
        <w:rPr>
          <w:rFonts w:ascii="Verdana" w:eastAsia="Calibri" w:hAnsi="Verdana"/>
          <w:sz w:val="20"/>
          <w:szCs w:val="20"/>
        </w:rPr>
        <w:t xml:space="preserve">Source: Official website of statistics: </w:t>
      </w:r>
      <w:hyperlink r:id="rId53" w:history="1">
        <w:r>
          <w:rPr>
            <w:rStyle w:val="af9"/>
            <w:rFonts w:ascii="Verdana" w:hAnsi="Verdana"/>
            <w:sz w:val="20"/>
            <w:szCs w:val="20"/>
          </w:rPr>
          <w:t>http://www.ukrstat.gov.ua/</w:t>
        </w:r>
      </w:hyperlink>
    </w:p>
    <w:p w:rsidR="005C3F63" w:rsidRDefault="005C3F63">
      <w:pPr>
        <w:widowControl w:val="0"/>
        <w:ind w:firstLine="567"/>
        <w:rPr>
          <w:rStyle w:val="af9"/>
          <w:rFonts w:ascii="Verdana" w:hAnsi="Verdana"/>
          <w:sz w:val="20"/>
          <w:szCs w:val="20"/>
        </w:rPr>
      </w:pPr>
    </w:p>
    <w:p w:rsidR="005C3F63" w:rsidRDefault="006536E7">
      <w:pPr>
        <w:widowControl w:val="0"/>
        <w:rPr>
          <w:rFonts w:ascii="Verdana" w:eastAsia="Calibri" w:hAnsi="Verdana"/>
          <w:sz w:val="20"/>
          <w:szCs w:val="20"/>
        </w:rPr>
      </w:pPr>
      <w:r>
        <w:rPr>
          <w:rFonts w:ascii="Verdana" w:eastAsia="Calibri" w:hAnsi="Verdana"/>
          <w:sz w:val="20"/>
          <w:szCs w:val="20"/>
        </w:rPr>
        <w:t>The data shown in Fig. 1 indicate different periods of development of the wine industry. The largest wine production took place in 2011. Due to the loss of large areas of vineyards in the annexed Crimea, in 2014 the lowest rates were observed (4.7 million dollars). But every year the production of grape wine in Ukraine increased and in 2019 its number amounted to 9.9 million dollars, which is more than twice as much as in 2014. This indicates the positive dynamics of the industry.</w:t>
      </w:r>
    </w:p>
    <w:p w:rsidR="005C3F63" w:rsidRDefault="006536E7">
      <w:pPr>
        <w:widowControl w:val="0"/>
        <w:rPr>
          <w:rFonts w:ascii="Verdana" w:eastAsia="Calibri" w:hAnsi="Verdana"/>
          <w:sz w:val="20"/>
          <w:szCs w:val="20"/>
        </w:rPr>
      </w:pPr>
      <w:r>
        <w:rPr>
          <w:rFonts w:ascii="Verdana" w:eastAsia="Calibri" w:hAnsi="Verdana"/>
          <w:sz w:val="20"/>
          <w:szCs w:val="20"/>
        </w:rPr>
        <w:t>The analysis of Fig. 2 will allow us to have an idea of the volumes and trends in the development of wine materials produced in Ukraine.</w:t>
      </w:r>
    </w:p>
    <w:p w:rsidR="005C3F63" w:rsidRDefault="006536E7">
      <w:pPr>
        <w:widowControl w:val="0"/>
        <w:jc w:val="center"/>
        <w:rPr>
          <w:rFonts w:ascii="Calibri" w:eastAsia="Calibri" w:hAnsi="Calibri"/>
          <w:sz w:val="20"/>
          <w:szCs w:val="20"/>
          <w:lang w:val="uk-UA"/>
        </w:rPr>
      </w:pPr>
      <w:r>
        <w:rPr>
          <w:rFonts w:ascii="Verdana" w:eastAsia="Calibri" w:hAnsi="Verdana"/>
          <w:sz w:val="20"/>
          <w:szCs w:val="20"/>
        </w:rPr>
        <w:t xml:space="preserve">Fig.2 The volume of wine materials </w:t>
      </w:r>
      <w:r>
        <w:rPr>
          <w:rFonts w:ascii="Verdana" w:hAnsi="Verdana"/>
          <w:iCs/>
          <w:color w:val="000000"/>
          <w:sz w:val="20"/>
          <w:szCs w:val="20"/>
          <w:lang w:eastAsia="ru-RU"/>
        </w:rPr>
        <w:t>production</w:t>
      </w:r>
      <w:r>
        <w:rPr>
          <w:rFonts w:ascii="Verdana" w:eastAsia="Calibri" w:hAnsi="Verdana"/>
          <w:sz w:val="20"/>
          <w:szCs w:val="20"/>
        </w:rPr>
        <w:t xml:space="preserve"> in Ukraine for 2018 - 2019, thsd. dollars</w:t>
      </w:r>
    </w:p>
    <w:p w:rsidR="005C3F63" w:rsidRDefault="006536E7">
      <w:pPr>
        <w:widowControl w:val="0"/>
        <w:rPr>
          <w:rFonts w:ascii="Verdana" w:eastAsia="Calibri" w:hAnsi="Verdana"/>
          <w:sz w:val="20"/>
          <w:szCs w:val="20"/>
          <w:lang w:val="uk-UA"/>
        </w:rPr>
      </w:pPr>
      <w:r>
        <w:rPr>
          <w:noProof/>
          <w:lang w:val="uk-UA" w:eastAsia="uk-UA" w:bidi="ar-SA"/>
        </w:rPr>
        <w:drawing>
          <wp:inline distT="0" distB="0" distL="0" distR="0">
            <wp:extent cx="5902960" cy="2245360"/>
            <wp:effectExtent l="0" t="0" r="0" b="0"/>
            <wp:docPr id="2" name="Obrázek 2"/>
            <wp:cNvGraphicFramePr/>
            <a:graphic xmlns:a="http://schemas.openxmlformats.org/drawingml/2006/main">
              <a:graphicData uri="http://schemas.openxmlformats.org/drawingml/2006/picture">
                <pic:pic xmlns:pic="http://schemas.openxmlformats.org/drawingml/2006/picture">
                  <pic:nvPicPr>
                    <pic:cNvPr id="2" name="Obrázek 2"/>
                    <pic:cNvPicPr>
                      <a:picLocks noChangeArrowheads="1"/>
                    </pic:cNvPicPr>
                  </pic:nvPicPr>
                  <pic:blipFill>
                    <a:blip r:embed="rId54">
                      <a:extLst>
                        <a:ext uri="{28A0092B-C50C-407E-A947-70E740481C1C}">
                          <a14:useLocalDpi xmlns:a14="http://schemas.microsoft.com/office/drawing/2010/main" val="0"/>
                        </a:ext>
                      </a:extLst>
                    </a:blip>
                    <a:srcRect l="-1279" t="-6456" r="-2112" b="-6679"/>
                    <a:stretch>
                      <a:fillRect/>
                    </a:stretch>
                  </pic:blipFill>
                  <pic:spPr>
                    <a:xfrm>
                      <a:off x="0" y="0"/>
                      <a:ext cx="5902960" cy="2245360"/>
                    </a:xfrm>
                    <a:prstGeom prst="rect">
                      <a:avLst/>
                    </a:prstGeom>
                    <a:noFill/>
                    <a:ln>
                      <a:noFill/>
                    </a:ln>
                  </pic:spPr>
                </pic:pic>
              </a:graphicData>
            </a:graphic>
          </wp:inline>
        </w:drawing>
      </w:r>
    </w:p>
    <w:p w:rsidR="005C3F63" w:rsidRDefault="006536E7">
      <w:pPr>
        <w:widowControl w:val="0"/>
        <w:ind w:firstLine="567"/>
        <w:rPr>
          <w:rFonts w:ascii="Verdana" w:eastAsia="Calibri" w:hAnsi="Verdana"/>
          <w:sz w:val="20"/>
          <w:szCs w:val="20"/>
          <w:lang w:val="uk-UA"/>
        </w:rPr>
      </w:pPr>
      <w:r>
        <w:rPr>
          <w:rFonts w:ascii="Verdana" w:eastAsia="Calibri" w:hAnsi="Verdana"/>
          <w:sz w:val="20"/>
          <w:szCs w:val="20"/>
        </w:rPr>
        <w:t>Source: Official website of statistics:</w:t>
      </w:r>
      <w:r>
        <w:rPr>
          <w:rFonts w:ascii="Verdana" w:eastAsia="Calibri" w:hAnsi="Verdana"/>
          <w:sz w:val="20"/>
          <w:szCs w:val="20"/>
          <w:lang w:val="uk-UA"/>
        </w:rPr>
        <w:t xml:space="preserve"> </w:t>
      </w:r>
      <w:hyperlink r:id="rId55" w:history="1">
        <w:r>
          <w:rPr>
            <w:rStyle w:val="af9"/>
            <w:rFonts w:ascii="Verdana" w:hAnsi="Verdana"/>
            <w:sz w:val="20"/>
            <w:szCs w:val="20"/>
          </w:rPr>
          <w:t>http://www.ukrstat.gov.ua/</w:t>
        </w:r>
      </w:hyperlink>
      <w:r>
        <w:rPr>
          <w:rFonts w:ascii="Verdana" w:eastAsia="Calibri" w:hAnsi="Verdana"/>
          <w:sz w:val="20"/>
          <w:szCs w:val="20"/>
          <w:lang w:val="uk-UA"/>
        </w:rPr>
        <w:t xml:space="preserve"> </w:t>
      </w:r>
    </w:p>
    <w:p w:rsidR="005C3F63" w:rsidRDefault="005C3F63">
      <w:pPr>
        <w:widowControl w:val="0"/>
        <w:ind w:firstLine="567"/>
        <w:rPr>
          <w:rFonts w:ascii="Verdana" w:eastAsia="Calibri" w:hAnsi="Verdana"/>
          <w:sz w:val="20"/>
          <w:szCs w:val="20"/>
          <w:lang w:val="uk-UA"/>
        </w:rPr>
      </w:pPr>
    </w:p>
    <w:p w:rsidR="005C3F63" w:rsidRDefault="006536E7">
      <w:pPr>
        <w:widowControl w:val="0"/>
        <w:rPr>
          <w:rFonts w:ascii="Verdana" w:eastAsia="Calibri" w:hAnsi="Verdana"/>
          <w:sz w:val="20"/>
          <w:szCs w:val="20"/>
        </w:rPr>
      </w:pPr>
      <w:r>
        <w:rPr>
          <w:rFonts w:ascii="Verdana" w:eastAsia="Calibri" w:hAnsi="Verdana"/>
          <w:sz w:val="20"/>
          <w:szCs w:val="20"/>
        </w:rPr>
        <w:t xml:space="preserve">Analytical assessment of the production of wine materials in the group range allows us to conclude that the production of fortified wines is almost unchanged in Ukraine, the volume of which in 2019 amounted to 311.7 million dollars, which is 31.8 million dollars more than in 2018. The volume of table wine materials in 2019 is 5085.9 million dekaliters, which is almost twice less than in 2018. A similar trend is observed in the production of cognac wine materials, the volume of which in 2019 amounted to 2443.7 million dollars, which is 2546.5 million dollars less than in 2018. There is also a significant decrease in the volume of wine for champagne and sparkling wines in 2019, which compared to 2018, decreased by 62% and amounted to only 1895.2 million </w:t>
      </w:r>
      <w:r>
        <w:rPr>
          <w:rFonts w:ascii="Verdana" w:eastAsia="Calibri" w:hAnsi="Verdana"/>
          <w:sz w:val="20"/>
          <w:szCs w:val="20"/>
        </w:rPr>
        <w:lastRenderedPageBreak/>
        <w:t>dollars.</w:t>
      </w:r>
    </w:p>
    <w:p w:rsidR="005C3F63" w:rsidRDefault="006536E7">
      <w:pPr>
        <w:widowControl w:val="0"/>
        <w:rPr>
          <w:rFonts w:ascii="Verdana" w:eastAsia="Calibri" w:hAnsi="Verdana"/>
          <w:sz w:val="20"/>
          <w:szCs w:val="20"/>
        </w:rPr>
      </w:pPr>
      <w:r>
        <w:rPr>
          <w:rFonts w:ascii="Verdana" w:eastAsia="Calibri" w:hAnsi="Verdana"/>
          <w:sz w:val="20"/>
          <w:szCs w:val="20"/>
        </w:rPr>
        <w:t>Basyuk D.I. (2014) notes that wine tourism is becoming especially popular in the world. This is especially true for the famous European wine regions of Italy, France, Spain, Portugal, Hungary, as well as "new world" countries such as Australia, Argentina, Chile, USA, South Africa, where wine tourism plays an important role in promoting local winemaking products. Our research is aimed at the development of wine tourism in Ukraine.</w:t>
      </w:r>
    </w:p>
    <w:p w:rsidR="005C3F63" w:rsidRDefault="006536E7">
      <w:pPr>
        <w:widowControl w:val="0"/>
        <w:rPr>
          <w:rStyle w:val="af7"/>
          <w:rFonts w:eastAsiaTheme="minorHAnsi" w:cs="Arial"/>
          <w:color w:val="000000"/>
          <w:spacing w:val="-4"/>
        </w:rPr>
      </w:pPr>
      <w:r>
        <w:rPr>
          <w:rStyle w:val="af7"/>
          <w:rFonts w:ascii="Verdana" w:hAnsi="Verdana" w:cs="Arial"/>
          <w:color w:val="000000"/>
          <w:spacing w:val="-4"/>
          <w:sz w:val="20"/>
          <w:szCs w:val="20"/>
        </w:rPr>
        <w:t>According to the publication Economichna Pravda (Economic Truth) (2020), wine in Ukraine is officially produced by about 75 companies. The total area of vineyards today is 40.7 thousand hectares, of which those used for wine production are 25.6 thousand hectares.</w:t>
      </w:r>
    </w:p>
    <w:p w:rsidR="005C3F63" w:rsidRDefault="006536E7">
      <w:pPr>
        <w:widowControl w:val="0"/>
        <w:rPr>
          <w:rStyle w:val="af7"/>
          <w:rFonts w:ascii="Verdana" w:hAnsi="Verdana" w:cs="Arial"/>
          <w:i/>
          <w:color w:val="000000"/>
          <w:spacing w:val="-4"/>
          <w:sz w:val="20"/>
          <w:szCs w:val="20"/>
        </w:rPr>
      </w:pPr>
      <w:r>
        <w:rPr>
          <w:rStyle w:val="af7"/>
          <w:rFonts w:ascii="Verdana" w:hAnsi="Verdana" w:cs="Arial"/>
          <w:color w:val="000000"/>
          <w:spacing w:val="-4"/>
          <w:sz w:val="20"/>
          <w:szCs w:val="20"/>
        </w:rPr>
        <w:t>In Ukraine, the kind of wine tourism (enotourism) is just emerging, so there is no practical experience of accounting for the costs associated with it.</w:t>
      </w:r>
    </w:p>
    <w:p w:rsidR="005C3F63" w:rsidRDefault="006536E7">
      <w:pPr>
        <w:widowControl w:val="0"/>
        <w:rPr>
          <w:rStyle w:val="af7"/>
          <w:rFonts w:ascii="Verdana" w:hAnsi="Verdana" w:cs="Arial"/>
          <w:i/>
          <w:color w:val="000000"/>
          <w:spacing w:val="-4"/>
          <w:sz w:val="20"/>
          <w:szCs w:val="20"/>
        </w:rPr>
      </w:pPr>
      <w:r>
        <w:rPr>
          <w:rStyle w:val="af7"/>
          <w:rFonts w:ascii="Verdana" w:hAnsi="Verdana" w:cs="Arial"/>
          <w:color w:val="000000"/>
          <w:spacing w:val="-4"/>
          <w:sz w:val="20"/>
          <w:szCs w:val="20"/>
        </w:rPr>
        <w:t>Methodological principles of accounting for the grape and wine industry are regulated by International Standards and National Accounting Regulations (Standards) and other regulations.</w:t>
      </w:r>
    </w:p>
    <w:p w:rsidR="005C3F63" w:rsidRDefault="006536E7">
      <w:pPr>
        <w:widowControl w:val="0"/>
        <w:rPr>
          <w:rFonts w:eastAsia="Calibri"/>
        </w:rPr>
      </w:pPr>
      <w:r>
        <w:rPr>
          <w:rFonts w:ascii="Verdana" w:eastAsia="Calibri" w:hAnsi="Verdana"/>
          <w:sz w:val="20"/>
          <w:szCs w:val="20"/>
        </w:rPr>
        <w:t>Enotourism is characterized by a number of activities that are of interest to tourists, including the process of growing grapes, wine production technology, tasting of finished wine products and visits to wineries, vineyards, organization and holding of festivals and other various events related to wine. We attempted to group the traditional and specific services of enotourism and singled out their impact on the formation of an accounting environment (Figure 3).</w:t>
      </w:r>
    </w:p>
    <w:p w:rsidR="005C3F63" w:rsidRDefault="006536E7">
      <w:pPr>
        <w:widowControl w:val="0"/>
        <w:ind w:firstLine="709"/>
        <w:rPr>
          <w:rFonts w:ascii="Verdana" w:eastAsia="Calibri" w:hAnsi="Verdana"/>
          <w:sz w:val="20"/>
          <w:szCs w:val="20"/>
        </w:rPr>
      </w:pPr>
      <w:r>
        <w:rPr>
          <w:rFonts w:ascii="Verdana" w:eastAsia="Calibri" w:hAnsi="Verdana"/>
          <w:sz w:val="20"/>
          <w:szCs w:val="20"/>
        </w:rPr>
        <w:t>Fig. 3. The environment of enotourism and its impact on accounting</w:t>
      </w:r>
    </w:p>
    <w:p w:rsidR="005C3F63" w:rsidRDefault="006536E7">
      <w:pPr>
        <w:widowControl w:val="0"/>
        <w:ind w:firstLine="709"/>
        <w:rPr>
          <w:rFonts w:ascii="Verdana" w:eastAsia="Calibri" w:hAnsi="Verdana"/>
          <w:sz w:val="20"/>
          <w:szCs w:val="20"/>
          <w:shd w:val="clear" w:color="auto" w:fill="FFFFFF"/>
          <w:lang w:val="uk-UA"/>
        </w:rPr>
      </w:pPr>
      <w:r>
        <w:rPr>
          <w:rFonts w:asciiTheme="minorHAnsi" w:eastAsiaTheme="minorHAnsi" w:hAnsiTheme="minorHAnsi" w:cstheme="minorBidi"/>
          <w:noProof/>
          <w:sz w:val="22"/>
          <w:lang w:val="uk-UA" w:eastAsia="uk-UA" w:bidi="ar-SA"/>
        </w:rPr>
        <mc:AlternateContent>
          <mc:Choice Requires="wpg">
            <w:drawing>
              <wp:anchor distT="0" distB="0" distL="114300" distR="114300" simplePos="0" relativeHeight="251809792" behindDoc="0" locked="0" layoutInCell="1" allowOverlap="1">
                <wp:simplePos x="0" y="0"/>
                <wp:positionH relativeFrom="column">
                  <wp:posOffset>-99060</wp:posOffset>
                </wp:positionH>
                <wp:positionV relativeFrom="paragraph">
                  <wp:posOffset>43180</wp:posOffset>
                </wp:positionV>
                <wp:extent cx="6113780" cy="5548630"/>
                <wp:effectExtent l="0" t="0" r="20320" b="13970"/>
                <wp:wrapNone/>
                <wp:docPr id="25" name="Skupina 25"/>
                <wp:cNvGraphicFramePr/>
                <a:graphic xmlns:a="http://schemas.openxmlformats.org/drawingml/2006/main">
                  <a:graphicData uri="http://schemas.microsoft.com/office/word/2010/wordprocessingGroup">
                    <wpg:wgp>
                      <wpg:cNvGrpSpPr/>
                      <wpg:grpSpPr>
                        <a:xfrm>
                          <a:off x="0" y="0"/>
                          <a:ext cx="6113780" cy="5547995"/>
                          <a:chOff x="0" y="0"/>
                          <a:chExt cx="6114219" cy="5549616"/>
                        </a:xfrm>
                      </wpg:grpSpPr>
                      <wps:wsp>
                        <wps:cNvPr id="19" name="Прямоугольник 5"/>
                        <wps:cNvSpPr/>
                        <wps:spPr>
                          <a:xfrm>
                            <a:off x="210816" y="318171"/>
                            <a:ext cx="5781675" cy="536171"/>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5C3F63" w:rsidRDefault="006536E7">
                              <w:pPr>
                                <w:jc w:val="center"/>
                                <w:rPr>
                                  <w:rFonts w:ascii="Verdana" w:hAnsi="Verdana"/>
                                  <w:b/>
                                  <w:i/>
                                  <w:sz w:val="18"/>
                                  <w:szCs w:val="18"/>
                                </w:rPr>
                              </w:pPr>
                              <w:r>
                                <w:rPr>
                                  <w:rFonts w:ascii="Verdana" w:hAnsi="Verdana"/>
                                  <w:b/>
                                  <w:i/>
                                  <w:sz w:val="18"/>
                                  <w:szCs w:val="18"/>
                                </w:rPr>
                                <w:t>Purpose of travel and technology of the organization:</w:t>
                              </w:r>
                            </w:p>
                            <w:p w:rsidR="005C3F63" w:rsidRDefault="006536E7">
                              <w:pPr>
                                <w:jc w:val="center"/>
                                <w:rPr>
                                  <w:rFonts w:ascii="Verdana" w:hAnsi="Verdana"/>
                                  <w:i/>
                                  <w:sz w:val="18"/>
                                  <w:szCs w:val="18"/>
                                </w:rPr>
                              </w:pPr>
                              <w:r>
                                <w:rPr>
                                  <w:rFonts w:ascii="Verdana" w:hAnsi="Verdana"/>
                                  <w:i/>
                                  <w:sz w:val="18"/>
                                  <w:szCs w:val="18"/>
                                </w:rPr>
                                <w:t>• cultural and cognitive; • recreational and health; • wine and entertainment tours;</w:t>
                              </w:r>
                            </w:p>
                            <w:p w:rsidR="005C3F63" w:rsidRDefault="006536E7">
                              <w:pPr>
                                <w:jc w:val="center"/>
                                <w:rPr>
                                  <w:rFonts w:ascii="Verdana" w:hAnsi="Verdana"/>
                                  <w:sz w:val="18"/>
                                  <w:szCs w:val="18"/>
                                </w:rPr>
                              </w:pPr>
                              <w:r>
                                <w:rPr>
                                  <w:rFonts w:ascii="Verdana" w:hAnsi="Verdana"/>
                                  <w:i/>
                                  <w:sz w:val="18"/>
                                  <w:szCs w:val="18"/>
                                </w:rPr>
                                <w:t>• wine rural green and agritourism; • business, including educational and scientific</w:t>
                              </w:r>
                            </w:p>
                          </w:txbxContent>
                        </wps:txbx>
                        <wps:bodyPr rot="0" spcFirstLastPara="0" vert="horz" wrap="square" lIns="91440" tIns="45720" rIns="91440" bIns="45720" numCol="1" spcCol="0" rtlCol="0" fromWordArt="0" anchor="ctr" anchorCtr="0" forceAA="0" compatLnSpc="1">
                          <a:noAutofit/>
                        </wps:bodyPr>
                      </wps:wsp>
                      <wps:wsp>
                        <wps:cNvPr id="20" name="Прямоугольник 6"/>
                        <wps:cNvSpPr/>
                        <wps:spPr>
                          <a:xfrm>
                            <a:off x="695346" y="844967"/>
                            <a:ext cx="4857871" cy="239028"/>
                          </a:xfrm>
                          <a:prstGeom prst="rect">
                            <a:avLst/>
                          </a:prstGeom>
                          <a:solidFill>
                            <a:sysClr val="window" lastClr="FFFFFF"/>
                          </a:solidFill>
                          <a:ln w="12700" cap="flat" cmpd="sng" algn="ctr">
                            <a:solidFill>
                              <a:sysClr val="windowText" lastClr="000000"/>
                            </a:solidFill>
                            <a:prstDash val="solid"/>
                          </a:ln>
                          <a:effectLst/>
                        </wps:spPr>
                        <wps:txbx>
                          <w:txbxContent>
                            <w:p w:rsidR="005C3F63" w:rsidRDefault="006536E7">
                              <w:pPr>
                                <w:jc w:val="center"/>
                                <w:rPr>
                                  <w:rFonts w:ascii="Verdana" w:hAnsi="Verdana"/>
                                  <w:sz w:val="18"/>
                                  <w:szCs w:val="18"/>
                                </w:rPr>
                              </w:pPr>
                              <w:r>
                                <w:rPr>
                                  <w:rFonts w:ascii="Verdana" w:hAnsi="Verdana"/>
                                  <w:b/>
                                  <w:i/>
                                  <w:sz w:val="18"/>
                                  <w:szCs w:val="18"/>
                                </w:rPr>
                                <w:t>Service of a tourist product of wine tourism</w:t>
                              </w:r>
                            </w:p>
                          </w:txbxContent>
                        </wps:txbx>
                        <wps:bodyPr rot="0" spcFirstLastPara="0" vert="horz" wrap="square" lIns="91440" tIns="45720" rIns="91440" bIns="45720" numCol="1" spcCol="0" rtlCol="0" fromWordArt="0" anchor="ctr" anchorCtr="0" forceAA="0" compatLnSpc="1">
                          <a:noAutofit/>
                        </wps:bodyPr>
                      </wps:wsp>
                      <wps:wsp>
                        <wps:cNvPr id="21" name="Прямоугольник 3"/>
                        <wps:cNvSpPr/>
                        <wps:spPr>
                          <a:xfrm>
                            <a:off x="1068044" y="0"/>
                            <a:ext cx="4133850" cy="318171"/>
                          </a:xfrm>
                          <a:prstGeom prst="rect">
                            <a:avLst/>
                          </a:prstGeom>
                        </wps:spPr>
                        <wps:style>
                          <a:lnRef idx="2">
                            <a:schemeClr val="dk1"/>
                          </a:lnRef>
                          <a:fillRef idx="1">
                            <a:schemeClr val="lt1"/>
                          </a:fillRef>
                          <a:effectRef idx="0">
                            <a:schemeClr val="dk1"/>
                          </a:effectRef>
                          <a:fontRef idx="minor">
                            <a:schemeClr val="dk1"/>
                          </a:fontRef>
                        </wps:style>
                        <wps:txbx>
                          <w:txbxContent>
                            <w:p w:rsidR="005C3F63" w:rsidRDefault="006536E7">
                              <w:pPr>
                                <w:jc w:val="center"/>
                                <w:rPr>
                                  <w:rFonts w:ascii="Verdana" w:hAnsi="Verdana"/>
                                  <w:b/>
                                  <w:sz w:val="18"/>
                                  <w:szCs w:val="18"/>
                                </w:rPr>
                              </w:pPr>
                              <w:r>
                                <w:rPr>
                                  <w:rFonts w:ascii="Verdana" w:hAnsi="Verdana"/>
                                  <w:b/>
                                  <w:sz w:val="18"/>
                                  <w:szCs w:val="18"/>
                                </w:rPr>
                                <w:t>Wine tourism («enotourism»)</w:t>
                              </w:r>
                            </w:p>
                            <w:p w:rsidR="005C3F63" w:rsidRDefault="005C3F63">
                              <w:pPr>
                                <w:jc w:val="center"/>
                                <w:rPr>
                                  <w:rFonts w:ascii="Verdana" w:hAnsi="Verdana"/>
                                  <w:sz w:val="18"/>
                                  <w:szCs w:val="18"/>
                                  <w:lang w:val="uk-UA"/>
                                </w:rPr>
                              </w:pPr>
                            </w:p>
                          </w:txbxContent>
                        </wps:txbx>
                        <wps:bodyPr rot="0" spcFirstLastPara="0" vert="horz" wrap="square" lIns="91440" tIns="45720" rIns="91440" bIns="45720" numCol="1" spcCol="0" rtlCol="0" fromWordArt="0" anchor="ctr" anchorCtr="0" forceAA="0" compatLnSpc="1">
                          <a:noAutofit/>
                        </wps:bodyPr>
                      </wps:wsp>
                      <wps:wsp>
                        <wps:cNvPr id="22" name="Прямая соединительная линия 17"/>
                        <wps:cNvCnPr/>
                        <wps:spPr>
                          <a:xfrm>
                            <a:off x="1271" y="1084155"/>
                            <a:ext cx="6096000" cy="0"/>
                          </a:xfrm>
                          <a:prstGeom prst="line">
                            <a:avLst/>
                          </a:prstGeom>
                          <a:ln>
                            <a:prstDash val="lgDash"/>
                          </a:ln>
                        </wps:spPr>
                        <wps:style>
                          <a:lnRef idx="1">
                            <a:schemeClr val="dk1"/>
                          </a:lnRef>
                          <a:fillRef idx="0">
                            <a:schemeClr val="dk1"/>
                          </a:fillRef>
                          <a:effectRef idx="0">
                            <a:schemeClr val="dk1"/>
                          </a:effectRef>
                          <a:fontRef idx="minor">
                            <a:schemeClr val="tx1"/>
                          </a:fontRef>
                        </wps:style>
                        <wps:bodyPr/>
                      </wps:wsp>
                      <wps:wsp>
                        <wps:cNvPr id="23" name="Прямая соединительная линия 18"/>
                        <wps:cNvCnPr/>
                        <wps:spPr>
                          <a:xfrm>
                            <a:off x="37269" y="4804014"/>
                            <a:ext cx="6076950" cy="0"/>
                          </a:xfrm>
                          <a:prstGeom prst="line">
                            <a:avLst/>
                          </a:prstGeom>
                          <a:noFill/>
                          <a:ln w="9525" cap="flat" cmpd="sng" algn="ctr">
                            <a:solidFill>
                              <a:sysClr val="windowText" lastClr="000000">
                                <a:shade val="95000"/>
                                <a:satMod val="105000"/>
                              </a:sysClr>
                            </a:solidFill>
                            <a:prstDash val="lgDash"/>
                          </a:ln>
                          <a:effectLst/>
                        </wps:spPr>
                        <wps:bodyPr/>
                      </wps:wsp>
                      <wps:wsp>
                        <wps:cNvPr id="26" name="Прямая соединительная линия 19"/>
                        <wps:cNvCnPr/>
                        <wps:spPr>
                          <a:xfrm flipH="1">
                            <a:off x="6096952" y="1084053"/>
                            <a:ext cx="322" cy="3718605"/>
                          </a:xfrm>
                          <a:prstGeom prst="line">
                            <a:avLst/>
                          </a:prstGeom>
                          <a:noFill/>
                          <a:ln w="9525" cap="flat" cmpd="sng" algn="ctr">
                            <a:solidFill>
                              <a:sysClr val="windowText" lastClr="000000">
                                <a:shade val="95000"/>
                                <a:satMod val="105000"/>
                              </a:sysClr>
                            </a:solidFill>
                            <a:prstDash val="lgDash"/>
                          </a:ln>
                          <a:effectLst/>
                        </wps:spPr>
                        <wps:bodyPr/>
                      </wps:wsp>
                      <wps:wsp>
                        <wps:cNvPr id="27" name="Прямая соединительная линия 20"/>
                        <wps:cNvCnPr/>
                        <wps:spPr>
                          <a:xfrm flipV="1">
                            <a:off x="3" y="1143135"/>
                            <a:ext cx="0" cy="3659523"/>
                          </a:xfrm>
                          <a:prstGeom prst="line">
                            <a:avLst/>
                          </a:prstGeom>
                          <a:noFill/>
                          <a:ln w="9525" cap="flat" cmpd="sng" algn="ctr">
                            <a:solidFill>
                              <a:sysClr val="windowText" lastClr="000000">
                                <a:shade val="95000"/>
                                <a:satMod val="105000"/>
                              </a:sysClr>
                            </a:solidFill>
                            <a:prstDash val="lgDash"/>
                          </a:ln>
                          <a:effectLst/>
                        </wps:spPr>
                        <wps:bodyPr/>
                      </wps:wsp>
                      <wps:wsp>
                        <wps:cNvPr id="28" name="Правая фигурная скобка 22"/>
                        <wps:cNvSpPr/>
                        <wps:spPr>
                          <a:xfrm rot="5400000">
                            <a:off x="2906076" y="1956071"/>
                            <a:ext cx="284800" cy="6096952"/>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horz" wrap="square" lIns="91440" tIns="45720" rIns="91440" bIns="45720" numCol="1" spcCol="0" rtlCol="0" fromWordArt="0" anchor="ctr" anchorCtr="0" forceAA="0" compatLnSpc="1">
                          <a:noAutofit/>
                        </wps:bodyPr>
                      </wps:wsp>
                      <wps:wsp>
                        <wps:cNvPr id="29" name="Прямоугольник 23"/>
                        <wps:cNvSpPr/>
                        <wps:spPr>
                          <a:xfrm>
                            <a:off x="37269" y="5147797"/>
                            <a:ext cx="6076950" cy="401819"/>
                          </a:xfrm>
                          <a:prstGeom prst="rect">
                            <a:avLst/>
                          </a:prstGeom>
                          <a:ln w="19050"/>
                        </wps:spPr>
                        <wps:style>
                          <a:lnRef idx="2">
                            <a:schemeClr val="dk1"/>
                          </a:lnRef>
                          <a:fillRef idx="1">
                            <a:schemeClr val="lt1"/>
                          </a:fillRef>
                          <a:effectRef idx="0">
                            <a:schemeClr val="dk1"/>
                          </a:effectRef>
                          <a:fontRef idx="minor">
                            <a:schemeClr val="dk1"/>
                          </a:fontRef>
                        </wps:style>
                        <wps:txbx>
                          <w:txbxContent>
                            <w:p w:rsidR="005C3F63" w:rsidRDefault="006536E7">
                              <w:pPr>
                                <w:jc w:val="center"/>
                                <w:rPr>
                                  <w:rFonts w:ascii="Verdana" w:hAnsi="Verdana"/>
                                  <w:b/>
                                  <w:sz w:val="18"/>
                                  <w:szCs w:val="18"/>
                                </w:rPr>
                              </w:pPr>
                              <w:r>
                                <w:rPr>
                                  <w:rFonts w:ascii="Verdana" w:hAnsi="Verdana"/>
                                  <w:b/>
                                  <w:sz w:val="18"/>
                                  <w:szCs w:val="18"/>
                                </w:rPr>
                                <w:t>Accounting and control</w:t>
                              </w:r>
                            </w:p>
                            <w:p w:rsidR="005C3F63" w:rsidRDefault="006536E7">
                              <w:pPr>
                                <w:jc w:val="center"/>
                                <w:rPr>
                                  <w:rFonts w:ascii="Verdana" w:hAnsi="Verdana"/>
                                  <w:sz w:val="18"/>
                                  <w:szCs w:val="18"/>
                                </w:rPr>
                              </w:pPr>
                              <w:r>
                                <w:rPr>
                                  <w:rFonts w:ascii="Verdana" w:hAnsi="Verdana"/>
                                  <w:sz w:val="18"/>
                                  <w:szCs w:val="18"/>
                                </w:rPr>
                                <w:t>(Consumables, overhead costs, direct period, distributed and marketing costs)</w:t>
                              </w:r>
                            </w:p>
                          </w:txbxContent>
                        </wps:txbx>
                        <wps:bodyPr rot="0" spcFirstLastPara="0" vert="horz" wrap="square" lIns="91440" tIns="45720" rIns="91440" bIns="45720" numCol="1" spcCol="0" rtlCol="0" fromWordArt="0" anchor="ctr" anchorCtr="0" forceAA="0" compatLnSpc="1">
                          <a:noAutofit/>
                        </wps:bodyPr>
                      </wps:wsp>
                    </wpg:wg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psCustomData="http://www.wps.cn/officeDocument/2013/wpsCustomData" xmlns:w16se="http://schemas.microsoft.com/office/word/2015/wordml/symex" xmlns:w15="http://schemas.microsoft.com/office/word/2012/wordml" xmlns:cx1="http://schemas.microsoft.com/office/drawing/2015/9/8/chartex" xmlns:cx="http://schemas.microsoft.com/office/drawing/2014/chartex">
            <w:pict>
              <v:group id="Skupina 25" o:spid="_x0000_s1026" o:spt="203" style="position:absolute;left:0pt;margin-left:-7.8pt;margin-top:3.4pt;height:436.9pt;width:481.4pt;z-index:251809792;mso-width-relative:page;mso-height-relative:page;" coordsize="6114219,5549616" o:gfxdata="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">
                <o:lock v:ext="edit" aspectratio="f"/>
                <v:rect id="Прямоугольник 5" o:spid="_x0000_s1026" o:spt="1" style="position:absolute;left:210816;top:318171;height:536171;width:5781675;v-text-anchor:middle;" fillcolor="#FFFFFF [3201]" filled="t" stroked="t" coordsize="21600,21600" o:gfxdata="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a6rvLsAAADb&#10;AAAADwAAAAAAAAABACAAAAAiAAAAZHJzL2Rvd25yZXYueG1sUEsBAhQAFAAAAAgAh07iQDMvBZ47&#10;AAAAOQAAABAAAAAAAAAAAQAgAAAACgEAAGRycy9zaGFwZXhtbC54bWxQSwUGAAAAAAYABgBbAQAA&#10;tAMAAAAA&#10;">
                  <v:fill on="t" focussize="0,0"/>
                  <v:stroke weight="1pt" color="#000000 [3200]" joinstyle="round"/>
                  <v:imagedata o:title=""/>
                  <o:lock v:ext="edit" aspectratio="f"/>
                  <v:textbox>
                    <w:txbxContent>
                      <w:p>
                        <w:pPr>
                          <w:jc w:val="center"/>
                          <w:rPr>
                            <w:rFonts w:ascii="Verdana" w:hAnsi="Verdana"/>
                            <w:b/>
                            <w:i/>
                            <w:sz w:val="18"/>
                            <w:szCs w:val="18"/>
                          </w:rPr>
                        </w:pPr>
                        <w:r>
                          <w:rPr>
                            <w:rFonts w:ascii="Verdana" w:hAnsi="Verdana"/>
                            <w:b/>
                            <w:i/>
                            <w:sz w:val="18"/>
                            <w:szCs w:val="18"/>
                          </w:rPr>
                          <w:t>Purpose of travel and technology of the organization:</w:t>
                        </w:r>
                      </w:p>
                      <w:p>
                        <w:pPr>
                          <w:jc w:val="center"/>
                          <w:rPr>
                            <w:rFonts w:ascii="Verdana" w:hAnsi="Verdana"/>
                            <w:i/>
                            <w:sz w:val="18"/>
                            <w:szCs w:val="18"/>
                          </w:rPr>
                        </w:pPr>
                        <w:r>
                          <w:rPr>
                            <w:rFonts w:ascii="Verdana" w:hAnsi="Verdana"/>
                            <w:i/>
                            <w:sz w:val="18"/>
                            <w:szCs w:val="18"/>
                          </w:rPr>
                          <w:t>• cultural and cognitive; • recreational and health; • wine and entertainment tours;</w:t>
                        </w:r>
                      </w:p>
                      <w:p>
                        <w:pPr>
                          <w:jc w:val="center"/>
                          <w:rPr>
                            <w:rFonts w:ascii="Verdana" w:hAnsi="Verdana"/>
                            <w:sz w:val="18"/>
                            <w:szCs w:val="18"/>
                          </w:rPr>
                        </w:pPr>
                        <w:r>
                          <w:rPr>
                            <w:rFonts w:ascii="Verdana" w:hAnsi="Verdana"/>
                            <w:i/>
                            <w:sz w:val="18"/>
                            <w:szCs w:val="18"/>
                          </w:rPr>
                          <w:t>• wine rural green and agritourism; • business, including educational and scientific</w:t>
                        </w:r>
                      </w:p>
                    </w:txbxContent>
                  </v:textbox>
                </v:rect>
                <v:rect id="Прямоугольник 6" o:spid="_x0000_s1026" o:spt="1" style="position:absolute;left:695346;top:844967;height:239028;width:4857871;v-text-anchor:middle;" fillcolor="#FFFFFF" filled="t" stroked="t" coordsize="21600,21600" o:gfxdata="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b4yJy5AAAA2wAA&#10;AA8AAAAAAAAAAQAgAAAAIgAAAGRycy9kb3ducmV2LnhtbFBLAQIUABQAAAAIAIdO4kAzLwWeOwAA&#10;ADkAAAAQAAAAAAAAAAEAIAAAAAgBAABkcnMvc2hhcGV4bWwueG1sUEsFBgAAAAAGAAYAWwEAALID&#10;AAAAAA==&#10;">
                  <v:fill on="t" focussize="0,0"/>
                  <v:stroke weight="1pt" color="#000000" joinstyle="round"/>
                  <v:imagedata o:title=""/>
                  <o:lock v:ext="edit" aspectratio="f"/>
                  <v:textbox>
                    <w:txbxContent>
                      <w:p>
                        <w:pPr>
                          <w:jc w:val="center"/>
                          <w:rPr>
                            <w:rFonts w:ascii="Verdana" w:hAnsi="Verdana"/>
                            <w:sz w:val="18"/>
                            <w:szCs w:val="18"/>
                          </w:rPr>
                        </w:pPr>
                        <w:r>
                          <w:rPr>
                            <w:rFonts w:ascii="Verdana" w:hAnsi="Verdana"/>
                            <w:b/>
                            <w:i/>
                            <w:sz w:val="18"/>
                            <w:szCs w:val="18"/>
                          </w:rPr>
                          <w:t>Service of a tourist product of wine tourism</w:t>
                        </w:r>
                      </w:p>
                    </w:txbxContent>
                  </v:textbox>
                </v:rect>
                <v:rect id="Прямоугольник 3" o:spid="_x0000_s1026" o:spt="1" style="position:absolute;left:1068044;top:0;height:318171;width:4133850;v-text-anchor:middle;" fillcolor="#FFFFFF [3201]" filled="t" stroked="t" coordsize="21600,21600" o:gfxdata="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upF7K8AAAA&#10;2wAAAA8AAAAAAAAAAQAgAAAAIgAAAGRycy9kb3ducmV2LnhtbFBLAQIUABQAAAAIAIdO4kAzLwWe&#10;OwAAADkAAAAQAAAAAAAAAAEAIAAAAAsBAABkcnMvc2hhcGV4bWwueG1sUEsFBgAAAAAGAAYAWwEA&#10;ALUDAAAAAA==&#10;">
                  <v:fill on="t" focussize="0,0"/>
                  <v:stroke weight="2pt" color="#000000 [3200]" joinstyle="round"/>
                  <v:imagedata o:title=""/>
                  <o:lock v:ext="edit" aspectratio="f"/>
                  <v:textbox>
                    <w:txbxContent>
                      <w:p>
                        <w:pPr>
                          <w:jc w:val="center"/>
                          <w:rPr>
                            <w:rFonts w:ascii="Verdana" w:hAnsi="Verdana"/>
                            <w:b/>
                            <w:sz w:val="18"/>
                            <w:szCs w:val="18"/>
                          </w:rPr>
                        </w:pPr>
                        <w:r>
                          <w:rPr>
                            <w:rFonts w:ascii="Verdana" w:hAnsi="Verdana"/>
                            <w:b/>
                            <w:sz w:val="18"/>
                            <w:szCs w:val="18"/>
                          </w:rPr>
                          <w:t>Wine tourism («enotourism»)</w:t>
                        </w:r>
                      </w:p>
                      <w:p>
                        <w:pPr>
                          <w:jc w:val="center"/>
                          <w:rPr>
                            <w:rFonts w:ascii="Verdana" w:hAnsi="Verdana"/>
                            <w:sz w:val="18"/>
                            <w:szCs w:val="18"/>
                            <w:lang w:val="uk-UA"/>
                          </w:rPr>
                        </w:pPr>
                      </w:p>
                    </w:txbxContent>
                  </v:textbox>
                </v:rect>
                <v:line id="Прямая соединительная линия 17" o:spid="_x0000_s1026" o:spt="20" style="position:absolute;left:1271;top:1084155;height:0;width:6096000;" filled="f" stroked="t" coordsize="21600,21600" o:gfxdata="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N50L4A&#10;AADbAAAADwAAAAAAAAABACAAAAAiAAAAZHJzL2Rvd25yZXYueG1sUEsBAhQAFAAAAAgAh07iQDMv&#10;BZ47AAAAOQAAABAAAAAAAAAAAQAgAAAADQEAAGRycy9zaGFwZXhtbC54bWxQSwUGAAAAAAYABgBb&#10;AQAAtwMAAAAA&#10;">
                  <v:fill on="f" focussize="0,0"/>
                  <v:stroke color="#000000 [3200]" joinstyle="round" dashstyle="longDash"/>
                  <v:imagedata o:title=""/>
                  <o:lock v:ext="edit" aspectratio="f"/>
                </v:line>
                <v:line id="Прямая соединительная линия 18" o:spid="_x0000_s1026" o:spt="20" style="position:absolute;left:37269;top:4804014;height:0;width:6076950;" filled="f" stroked="t" coordsize="21600,21600" o:gfxdata="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v9xLvQAA&#10;ANsAAAAPAAAAAAAAAAEAIAAAACIAAABkcnMvZG93bnJldi54bWxQSwECFAAUAAAACACHTuJAMy8F&#10;njsAAAA5AAAAEAAAAAAAAAABACAAAAAMAQAAZHJzL3NoYXBleG1sLnhtbFBLBQYAAAAABgAGAFsB&#10;AAC2AwAAAAA=&#10;">
                  <v:fill on="f" focussize="0,0"/>
                  <v:stroke color="#000000" joinstyle="round" dashstyle="longDash"/>
                  <v:imagedata o:title=""/>
                  <o:lock v:ext="edit" aspectratio="f"/>
                </v:line>
                <v:line id="Прямая соединительная линия 19" o:spid="_x0000_s1026" o:spt="20" style="position:absolute;left:6096952;top:1084053;flip:x;height:3718605;width:322;" filled="f" stroked="t" coordsize="21600,21600" o:gfxdata="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EMg3C8AAAA&#10;2wAAAA8AAAAAAAAAAQAgAAAAIgAAAGRycy9kb3ducmV2LnhtbFBLAQIUABQAAAAIAIdO4kAzLwWe&#10;OwAAADkAAAAQAAAAAAAAAAEAIAAAAAsBAABkcnMvc2hhcGV4bWwueG1sUEsFBgAAAAAGAAYAWwEA&#10;ALUDAAAAAA==&#10;">
                  <v:fill on="f" focussize="0,0"/>
                  <v:stroke color="#000000" joinstyle="round" dashstyle="longDash"/>
                  <v:imagedata o:title=""/>
                  <o:lock v:ext="edit" aspectratio="f"/>
                </v:line>
                <v:line id="Прямая соединительная линия 20" o:spid="_x0000_s1026" o:spt="20" style="position:absolute;left:3;top:1143135;flip:y;height:3659523;width:0;" filled="f" stroked="t" coordsize="21600,21600" o:gfxdata="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QCbrvQAA&#10;ANsAAAAPAAAAAAAAAAEAIAAAACIAAABkcnMvZG93bnJldi54bWxQSwECFAAUAAAACACHTuJAMy8F&#10;njsAAAA5AAAAEAAAAAAAAAABACAAAAAMAQAAZHJzL3NoYXBleG1sLnhtbFBLBQYAAAAABgAGAFsB&#10;AAC2AwAAAAA=&#10;">
                  <v:fill on="f" focussize="0,0"/>
                  <v:stroke color="#000000" joinstyle="round" dashstyle="longDash"/>
                  <v:imagedata o:title=""/>
                  <o:lock v:ext="edit" aspectratio="f"/>
                </v:line>
                <v:shape id="Правая фигурная скобка 22" o:spid="_x0000_s1026" o:spt="88" type="#_x0000_t88" style="position:absolute;left:2906076;top:1956071;height:6096952;width:284800;rotation:5898240f;v-text-anchor:middle;" filled="f" stroked="t" coordsize="21600,21600" o:gfxdata="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7/DZLsAAADb&#10;AAAADwAAAAAAAAABACAAAAAiAAAAZHJzL2Rvd25yZXYueG1sUEsBAhQAFAAAAAgAh07iQDMvBZ47&#10;AAAAOQAAABAAAAAAAAAAAQAgAAAACgEAAGRycy9zaGFwZXhtbC54bWxQSwUGAAAAAAYABgBbAQAA&#10;tAMAAAAA&#10;" adj="84,10800">
                  <v:fill on="f" focussize="0,0"/>
                  <v:stroke color="#000000 [3200]" joinstyle="round"/>
                  <v:imagedata o:title=""/>
                  <o:lock v:ext="edit" aspectratio="f"/>
                </v:shape>
                <v:rect id="Прямоугольник 23" o:spid="_x0000_s1026" o:spt="1" style="position:absolute;left:37269;top:5147797;height:401819;width:6076950;v-text-anchor:middle;" fillcolor="#FFFFFF [3201]" filled="t" stroked="t" coordsize="21600,21600" o:gfxdata="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Rtu/lvQAA&#10;ANsAAAAPAAAAAAAAAAEAIAAAACIAAABkcnMvZG93bnJldi54bWxQSwECFAAUAAAACACHTuJAMy8F&#10;njsAAAA5AAAAEAAAAAAAAAABACAAAAAMAQAAZHJzL3NoYXBleG1sLnhtbFBLBQYAAAAABgAGAFsB&#10;AAC2AwAAAAA=&#10;">
                  <v:fill on="t" focussize="0,0"/>
                  <v:stroke weight="1.5pt" color="#000000 [3200]" joinstyle="round"/>
                  <v:imagedata o:title=""/>
                  <o:lock v:ext="edit" aspectratio="f"/>
                  <v:textbox>
                    <w:txbxContent>
                      <w:p>
                        <w:pPr>
                          <w:jc w:val="center"/>
                          <w:rPr>
                            <w:rFonts w:ascii="Verdana" w:hAnsi="Verdana"/>
                            <w:b/>
                            <w:sz w:val="18"/>
                            <w:szCs w:val="18"/>
                          </w:rPr>
                        </w:pPr>
                        <w:r>
                          <w:rPr>
                            <w:rFonts w:ascii="Verdana" w:hAnsi="Verdana"/>
                            <w:b/>
                            <w:sz w:val="18"/>
                            <w:szCs w:val="18"/>
                          </w:rPr>
                          <w:t>Accounting and control</w:t>
                        </w:r>
                      </w:p>
                      <w:p>
                        <w:pPr>
                          <w:jc w:val="center"/>
                          <w:rPr>
                            <w:rFonts w:ascii="Verdana" w:hAnsi="Verdana"/>
                            <w:sz w:val="18"/>
                            <w:szCs w:val="18"/>
                          </w:rPr>
                        </w:pPr>
                        <w:r>
                          <w:rPr>
                            <w:rFonts w:ascii="Verdana" w:hAnsi="Verdana"/>
                            <w:sz w:val="18"/>
                            <w:szCs w:val="18"/>
                          </w:rPr>
                          <w:t>(Consumables, overhead costs, direct period, distributed and marketing costs)</w:t>
                        </w:r>
                      </w:p>
                    </w:txbxContent>
                  </v:textbox>
                </v:rect>
              </v:group>
            </w:pict>
          </mc:Fallback>
        </mc:AlternateContent>
      </w:r>
    </w:p>
    <w:p w:rsidR="005C3F63" w:rsidRDefault="005C3F63">
      <w:pPr>
        <w:widowControl w:val="0"/>
        <w:ind w:firstLine="709"/>
        <w:rPr>
          <w:rFonts w:ascii="Verdana" w:eastAsia="Calibri" w:hAnsi="Verdana"/>
          <w:sz w:val="20"/>
          <w:szCs w:val="20"/>
          <w:shd w:val="clear" w:color="auto" w:fill="FFFFFF"/>
          <w:lang w:val="uk-UA"/>
        </w:rPr>
      </w:pPr>
    </w:p>
    <w:p w:rsidR="005C3F63" w:rsidRDefault="005C3F63">
      <w:pPr>
        <w:widowControl w:val="0"/>
        <w:ind w:firstLine="709"/>
        <w:rPr>
          <w:rFonts w:ascii="Verdana" w:eastAsia="Calibri" w:hAnsi="Verdana"/>
          <w:sz w:val="20"/>
          <w:szCs w:val="20"/>
          <w:shd w:val="clear" w:color="auto" w:fill="FFFFFF"/>
          <w:lang w:val="uk-UA"/>
        </w:rPr>
      </w:pPr>
    </w:p>
    <w:p w:rsidR="005C3F63" w:rsidRDefault="005C3F63">
      <w:pPr>
        <w:widowControl w:val="0"/>
        <w:ind w:firstLine="709"/>
        <w:rPr>
          <w:rFonts w:ascii="Verdana" w:eastAsia="Calibri" w:hAnsi="Verdana"/>
          <w:sz w:val="20"/>
          <w:szCs w:val="20"/>
          <w:shd w:val="clear" w:color="auto" w:fill="FFFFFF"/>
          <w:lang w:val="uk-UA"/>
        </w:rPr>
      </w:pPr>
    </w:p>
    <w:p w:rsidR="005C3F63" w:rsidRDefault="005C3F63">
      <w:pPr>
        <w:widowControl w:val="0"/>
        <w:ind w:firstLine="709"/>
        <w:rPr>
          <w:rFonts w:ascii="Verdana" w:eastAsia="Calibri" w:hAnsi="Verdana"/>
          <w:sz w:val="20"/>
          <w:szCs w:val="20"/>
          <w:shd w:val="clear" w:color="auto" w:fill="FFFFFF"/>
          <w:lang w:val="uk-UA"/>
        </w:rPr>
      </w:pPr>
    </w:p>
    <w:p w:rsidR="005C3F63" w:rsidRDefault="005C3F63">
      <w:pPr>
        <w:widowControl w:val="0"/>
        <w:ind w:firstLine="709"/>
        <w:rPr>
          <w:rFonts w:ascii="Verdana" w:eastAsia="Calibri" w:hAnsi="Verdana"/>
          <w:sz w:val="20"/>
          <w:szCs w:val="20"/>
          <w:shd w:val="clear" w:color="auto" w:fill="FFFFFF"/>
          <w:lang w:val="uk-UA"/>
        </w:rPr>
      </w:pPr>
    </w:p>
    <w:p w:rsidR="005C3F63" w:rsidRDefault="005C3F63">
      <w:pPr>
        <w:widowControl w:val="0"/>
        <w:ind w:firstLine="709"/>
        <w:rPr>
          <w:rFonts w:ascii="Verdana" w:eastAsia="Calibri" w:hAnsi="Verdana"/>
          <w:sz w:val="20"/>
          <w:szCs w:val="20"/>
          <w:shd w:val="clear" w:color="auto" w:fill="FFFFFF"/>
          <w:lang w:val="uk-UA"/>
        </w:rPr>
      </w:pPr>
    </w:p>
    <w:p w:rsidR="005C3F63" w:rsidRDefault="005C3F63">
      <w:pPr>
        <w:widowControl w:val="0"/>
        <w:ind w:firstLine="709"/>
        <w:rPr>
          <w:rFonts w:ascii="Verdana" w:eastAsia="Calibri" w:hAnsi="Verdana"/>
          <w:sz w:val="20"/>
          <w:szCs w:val="20"/>
          <w:shd w:val="clear" w:color="auto" w:fill="FFFFFF"/>
          <w:lang w:val="uk-UA"/>
        </w:rPr>
      </w:pPr>
    </w:p>
    <w:tbl>
      <w:tblPr>
        <w:tblStyle w:val="af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01"/>
        <w:gridCol w:w="1842"/>
        <w:gridCol w:w="4395"/>
        <w:gridCol w:w="2229"/>
      </w:tblGrid>
      <w:tr w:rsidR="005C3F63">
        <w:tc>
          <w:tcPr>
            <w:tcW w:w="1101" w:type="dxa"/>
          </w:tcPr>
          <w:p w:rsidR="005C3F63" w:rsidRDefault="006536E7">
            <w:pPr>
              <w:widowControl w:val="0"/>
              <w:jc w:val="center"/>
              <w:rPr>
                <w:rFonts w:ascii="Verdana" w:eastAsia="Calibri" w:hAnsi="Verdana" w:cs="Courier New"/>
                <w:sz w:val="18"/>
                <w:szCs w:val="18"/>
                <w:shd w:val="clear" w:color="auto" w:fill="FFFFFF"/>
              </w:rPr>
            </w:pPr>
            <w:r>
              <w:rPr>
                <w:rFonts w:ascii="Verdana" w:hAnsi="Verdana" w:cs="Courier New"/>
                <w:b/>
                <w:i/>
                <w:sz w:val="18"/>
                <w:szCs w:val="18"/>
              </w:rPr>
              <w:t>Types of services</w:t>
            </w:r>
          </w:p>
        </w:tc>
        <w:tc>
          <w:tcPr>
            <w:tcW w:w="1842" w:type="dxa"/>
          </w:tcPr>
          <w:p w:rsidR="005C3F63" w:rsidRDefault="006536E7">
            <w:pPr>
              <w:widowControl w:val="0"/>
              <w:jc w:val="center"/>
              <w:rPr>
                <w:rFonts w:ascii="Verdana" w:eastAsia="Calibri" w:hAnsi="Verdana" w:cs="Courier New"/>
                <w:b/>
                <w:sz w:val="18"/>
                <w:szCs w:val="18"/>
                <w:shd w:val="clear" w:color="auto" w:fill="FFFFFF"/>
              </w:rPr>
            </w:pPr>
            <w:r>
              <w:rPr>
                <w:rFonts w:asciiTheme="minorHAnsi" w:eastAsiaTheme="minorHAnsi" w:hAnsiTheme="minorHAnsi" w:cstheme="minorBidi"/>
                <w:noProof/>
                <w:sz w:val="22"/>
                <w:lang w:val="uk-UA" w:eastAsia="uk-UA" w:bidi="ar-SA"/>
              </w:rPr>
              <mc:AlternateContent>
                <mc:Choice Requires="wps">
                  <w:drawing>
                    <wp:anchor distT="0" distB="0" distL="114300" distR="114300" simplePos="0" relativeHeight="251808768" behindDoc="0" locked="0" layoutInCell="1" allowOverlap="1">
                      <wp:simplePos x="0" y="0"/>
                      <wp:positionH relativeFrom="column">
                        <wp:posOffset>-102870</wp:posOffset>
                      </wp:positionH>
                      <wp:positionV relativeFrom="paragraph">
                        <wp:posOffset>79375</wp:posOffset>
                      </wp:positionV>
                      <wp:extent cx="361950" cy="0"/>
                      <wp:effectExtent l="0" t="76200" r="19050" b="95250"/>
                      <wp:wrapNone/>
                      <wp:docPr id="24" name="Přímá spojnice se šipkou 24"/>
                      <wp:cNvGraphicFramePr/>
                      <a:graphic xmlns:a="http://schemas.openxmlformats.org/drawingml/2006/main">
                        <a:graphicData uri="http://schemas.microsoft.com/office/word/2010/wordprocessingShape">
                          <wps:wsp>
                            <wps:cNvCnPr/>
                            <wps:spPr>
                              <a:xfrm>
                                <a:off x="0" y="0"/>
                                <a:ext cx="3619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psCustomData="http://www.wps.cn/officeDocument/2013/wpsCustomData" xmlns:w16se="http://schemas.microsoft.com/office/word/2015/wordml/symex" xmlns:w15="http://schemas.microsoft.com/office/word/2012/wordml" xmlns:cx1="http://schemas.microsoft.com/office/drawing/2015/9/8/chartex" xmlns:cx="http://schemas.microsoft.com/office/drawing/2014/chartex">
                  <w:pict>
                    <v:shape id="Přímá spojnice se šipkou 24" o:spid="_x0000_s1026" o:spt="32" type="#_x0000_t32" style="position:absolute;left:0pt;margin-left:-8.1pt;margin-top:6.25pt;height:0pt;width:28.5pt;z-index:251808768;mso-width-relative:page;mso-height-relative:page;" filled="f" stroked="t" coordsize="21600,21600" o:gfxdata="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cHq6GNYAAAAIAQAADwAAAAAAAAABACAAAAAiAAAAZHJzL2Rvd25yZXYueG1sUEsBAhQAFAAA&#10;AAgAh07iQPIKKfDxAQAAvQMAAA4AAAAAAAAAAQAgAAAAJQEAAGRycy9lMm9Eb2MueG1sUEsFBgAA&#10;AAAGAAYAWQEAAIgFAAAAAA==&#10;">
                      <v:fill on="f" focussize="0,0"/>
                      <v:stroke color="#000000 [3200]" joinstyle="round" endarrow="block"/>
                      <v:imagedata o:title=""/>
                      <o:lock v:ext="edit" aspectratio="f"/>
                    </v:shape>
                  </w:pict>
                </mc:Fallback>
              </mc:AlternateContent>
            </w:r>
            <w:r>
              <w:rPr>
                <w:rFonts w:asciiTheme="minorHAnsi" w:eastAsiaTheme="minorHAnsi" w:hAnsiTheme="minorHAnsi" w:cstheme="minorBidi"/>
                <w:noProof/>
                <w:sz w:val="22"/>
                <w:lang w:val="uk-UA" w:eastAsia="uk-UA" w:bidi="ar-SA"/>
              </w:rPr>
              <mc:AlternateContent>
                <mc:Choice Requires="wps">
                  <w:drawing>
                    <wp:anchor distT="0" distB="0" distL="114300" distR="114300" simplePos="0" relativeHeight="251806720" behindDoc="0" locked="0" layoutInCell="1" allowOverlap="1">
                      <wp:simplePos x="0" y="0"/>
                      <wp:positionH relativeFrom="column">
                        <wp:posOffset>1123950</wp:posOffset>
                      </wp:positionH>
                      <wp:positionV relativeFrom="paragraph">
                        <wp:posOffset>69850</wp:posOffset>
                      </wp:positionV>
                      <wp:extent cx="762000" cy="0"/>
                      <wp:effectExtent l="0" t="76200" r="19050" b="95250"/>
                      <wp:wrapNone/>
                      <wp:docPr id="5" name="Přímá spojnice se šipkou 5"/>
                      <wp:cNvGraphicFramePr/>
                      <a:graphic xmlns:a="http://schemas.openxmlformats.org/drawingml/2006/main">
                        <a:graphicData uri="http://schemas.microsoft.com/office/word/2010/wordprocessingShape">
                          <wps:wsp>
                            <wps:cNvCnPr/>
                            <wps:spPr>
                              <a:xfrm>
                                <a:off x="0" y="0"/>
                                <a:ext cx="7620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psCustomData="http://www.wps.cn/officeDocument/2013/wpsCustomData" xmlns:w16se="http://schemas.microsoft.com/office/word/2015/wordml/symex" xmlns:w15="http://schemas.microsoft.com/office/word/2012/wordml" xmlns:cx1="http://schemas.microsoft.com/office/drawing/2015/9/8/chartex" xmlns:cx="http://schemas.microsoft.com/office/drawing/2014/chartex">
                  <w:pict>
                    <v:shape id="Přímá spojnice se šipkou 5" o:spid="_x0000_s1026" o:spt="32" type="#_x0000_t32" style="position:absolute;left:0pt;margin-left:88.5pt;margin-top:5.5pt;height:0pt;width:60pt;z-index:251806720;mso-width-relative:page;mso-height-relative:page;" filled="f" stroked="t" coordsize="21600,21600" o:gfxdata="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EAjZanWAAAACQEAAA8AAAAAAAAAAQAgAAAAIgAAAGRycy9kb3ducmV2LnhtbFBLAQIUABQAAAAI&#10;AIdO4kD7Wsj17wEAALsDAAAOAAAAAAAAAAEAIAAAACUBAABkcnMvZTJvRG9jLnhtbFBLBQYAAAAA&#10;BgAGAFkBAACGBQAAAAA=&#10;">
                      <v:fill on="f" focussize="0,0"/>
                      <v:stroke color="#000000 [3200]" joinstyle="round" endarrow="block"/>
                      <v:imagedata o:title=""/>
                      <o:lock v:ext="edit" aspectratio="f"/>
                    </v:shape>
                  </w:pict>
                </mc:Fallback>
              </mc:AlternateContent>
            </w:r>
            <w:r>
              <w:rPr>
                <w:rFonts w:ascii="Verdana" w:eastAsia="Calibri" w:hAnsi="Verdana" w:cs="Courier New"/>
                <w:b/>
                <w:sz w:val="18"/>
                <w:szCs w:val="18"/>
                <w:shd w:val="clear" w:color="auto" w:fill="FFFFFF"/>
              </w:rPr>
              <w:t>Basic</w:t>
            </w:r>
          </w:p>
        </w:tc>
        <w:tc>
          <w:tcPr>
            <w:tcW w:w="4395" w:type="dxa"/>
          </w:tcPr>
          <w:p w:rsidR="005C3F63" w:rsidRDefault="006536E7">
            <w:pPr>
              <w:widowControl w:val="0"/>
              <w:jc w:val="center"/>
              <w:rPr>
                <w:rFonts w:ascii="Verdana" w:eastAsia="Calibri" w:hAnsi="Verdana" w:cs="Courier New"/>
                <w:sz w:val="18"/>
                <w:szCs w:val="18"/>
                <w:shd w:val="clear" w:color="auto" w:fill="FFFFFF"/>
              </w:rPr>
            </w:pPr>
            <w:r>
              <w:rPr>
                <w:rFonts w:asciiTheme="minorHAnsi" w:eastAsiaTheme="minorHAnsi" w:hAnsiTheme="minorHAnsi" w:cstheme="minorBidi"/>
                <w:noProof/>
                <w:sz w:val="22"/>
                <w:lang w:val="uk-UA" w:eastAsia="uk-UA" w:bidi="ar-SA"/>
              </w:rPr>
              <mc:AlternateContent>
                <mc:Choice Requires="wps">
                  <w:drawing>
                    <wp:anchor distT="0" distB="0" distL="114300" distR="114300" simplePos="0" relativeHeight="251807744" behindDoc="0" locked="0" layoutInCell="1" allowOverlap="1">
                      <wp:simplePos x="0" y="0"/>
                      <wp:positionH relativeFrom="column">
                        <wp:posOffset>1653540</wp:posOffset>
                      </wp:positionH>
                      <wp:positionV relativeFrom="paragraph">
                        <wp:posOffset>79375</wp:posOffset>
                      </wp:positionV>
                      <wp:extent cx="1009650" cy="0"/>
                      <wp:effectExtent l="0" t="76200" r="19050" b="95250"/>
                      <wp:wrapNone/>
                      <wp:docPr id="4" name="Přímá spojnice se šipkou 4"/>
                      <wp:cNvGraphicFramePr/>
                      <a:graphic xmlns:a="http://schemas.openxmlformats.org/drawingml/2006/main">
                        <a:graphicData uri="http://schemas.microsoft.com/office/word/2010/wordprocessingShape">
                          <wps:wsp>
                            <wps:cNvCnPr/>
                            <wps:spPr>
                              <a:xfrm>
                                <a:off x="0" y="0"/>
                                <a:ext cx="10096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psCustomData="http://www.wps.cn/officeDocument/2013/wpsCustomData" xmlns:w16se="http://schemas.microsoft.com/office/word/2015/wordml/symex" xmlns:w15="http://schemas.microsoft.com/office/word/2012/wordml" xmlns:cx1="http://schemas.microsoft.com/office/drawing/2015/9/8/chartex" xmlns:cx="http://schemas.microsoft.com/office/drawing/2014/chartex">
                  <w:pict>
                    <v:shape id="Přímá spojnice se šipkou 4" o:spid="_x0000_s1026" o:spt="32" type="#_x0000_t32" style="position:absolute;left:0pt;margin-left:130.2pt;margin-top:6.25pt;height:0pt;width:79.5pt;z-index:251807744;mso-width-relative:page;mso-height-relative:page;" filled="f" stroked="t" coordsize="21600,21600" o:gfxdata="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PHgKTHXAAAACQEAAA8AAAAAAAAAAQAgAAAAIgAAAGRycy9kb3ducmV2LnhtbFBLAQIUABQA&#10;AAAIAIdO4kCuJJCm8QEAALwDAAAOAAAAAAAAAAEAIAAAACYBAABkcnMvZTJvRG9jLnhtbFBLBQYA&#10;AAAABgAGAFkBAACJBQAAAAA=&#10;">
                      <v:fill on="f" focussize="0,0"/>
                      <v:stroke color="#000000 [3200]" joinstyle="round" endarrow="block"/>
                      <v:imagedata o:title=""/>
                      <o:lock v:ext="edit" aspectratio="f"/>
                    </v:shape>
                  </w:pict>
                </mc:Fallback>
              </mc:AlternateContent>
            </w:r>
            <w:r>
              <w:rPr>
                <w:rFonts w:ascii="Verdana" w:hAnsi="Verdana" w:cs="Courier New"/>
                <w:b/>
                <w:i/>
                <w:sz w:val="18"/>
                <w:szCs w:val="18"/>
              </w:rPr>
              <w:t>Additional</w:t>
            </w:r>
          </w:p>
        </w:tc>
        <w:tc>
          <w:tcPr>
            <w:tcW w:w="2229" w:type="dxa"/>
          </w:tcPr>
          <w:p w:rsidR="005C3F63" w:rsidRDefault="006536E7">
            <w:pPr>
              <w:widowControl w:val="0"/>
              <w:jc w:val="center"/>
              <w:rPr>
                <w:rFonts w:ascii="Verdana" w:eastAsia="Calibri" w:hAnsi="Verdana" w:cs="Courier New"/>
                <w:sz w:val="18"/>
                <w:szCs w:val="18"/>
                <w:shd w:val="clear" w:color="auto" w:fill="FFFFFF"/>
              </w:rPr>
            </w:pPr>
            <w:r>
              <w:rPr>
                <w:rFonts w:ascii="Verdana" w:hAnsi="Verdana" w:cs="Courier New"/>
                <w:b/>
                <w:i/>
                <w:sz w:val="18"/>
                <w:szCs w:val="18"/>
              </w:rPr>
              <w:t>Related</w:t>
            </w:r>
          </w:p>
        </w:tc>
      </w:tr>
      <w:tr w:rsidR="005C3F63">
        <w:trPr>
          <w:cantSplit/>
          <w:trHeight w:val="1134"/>
        </w:trPr>
        <w:tc>
          <w:tcPr>
            <w:tcW w:w="1101" w:type="dxa"/>
            <w:textDirection w:val="btLr"/>
            <w:vAlign w:val="center"/>
          </w:tcPr>
          <w:p w:rsidR="005C3F63" w:rsidRDefault="006536E7">
            <w:pPr>
              <w:widowControl w:val="0"/>
              <w:ind w:left="113" w:right="113"/>
              <w:jc w:val="center"/>
              <w:rPr>
                <w:rFonts w:ascii="Verdana" w:eastAsia="Calibri" w:hAnsi="Verdana" w:cs="Courier New"/>
                <w:i/>
                <w:sz w:val="18"/>
                <w:szCs w:val="18"/>
                <w:u w:val="single"/>
                <w:shd w:val="clear" w:color="auto" w:fill="FFFFFF"/>
              </w:rPr>
            </w:pPr>
            <w:r>
              <w:rPr>
                <w:rFonts w:ascii="Verdana" w:eastAsia="Calibri" w:hAnsi="Verdana" w:cs="Courier New"/>
                <w:i/>
                <w:sz w:val="18"/>
                <w:szCs w:val="18"/>
                <w:u w:val="single"/>
                <w:shd w:val="clear" w:color="auto" w:fill="FFFFFF"/>
              </w:rPr>
              <w:t>Traditional</w:t>
            </w:r>
          </w:p>
        </w:tc>
        <w:tc>
          <w:tcPr>
            <w:tcW w:w="1842" w:type="dxa"/>
          </w:tcPr>
          <w:p w:rsidR="005C3F63" w:rsidRDefault="006536E7">
            <w:pPr>
              <w:widowControl w:val="0"/>
              <w:tabs>
                <w:tab w:val="left" w:pos="39"/>
              </w:tabs>
              <w:rPr>
                <w:rFonts w:ascii="Verdana" w:eastAsiaTheme="minorHAnsi" w:hAnsi="Verdana" w:cs="Courier New"/>
                <w:sz w:val="18"/>
                <w:szCs w:val="18"/>
              </w:rPr>
            </w:pPr>
            <w:r>
              <w:rPr>
                <w:rFonts w:ascii="Verdana" w:hAnsi="Verdana" w:cs="Courier New"/>
                <w:sz w:val="18"/>
                <w:szCs w:val="18"/>
              </w:rPr>
              <w:t>-transport service;</w:t>
            </w:r>
          </w:p>
          <w:p w:rsidR="005C3F63" w:rsidRDefault="006536E7">
            <w:pPr>
              <w:widowControl w:val="0"/>
              <w:tabs>
                <w:tab w:val="left" w:pos="39"/>
                <w:tab w:val="left" w:pos="330"/>
              </w:tabs>
              <w:rPr>
                <w:rFonts w:ascii="Verdana" w:hAnsi="Verdana" w:cs="Courier New"/>
                <w:sz w:val="18"/>
                <w:szCs w:val="18"/>
              </w:rPr>
            </w:pPr>
            <w:r>
              <w:rPr>
                <w:rFonts w:ascii="Verdana" w:hAnsi="Verdana" w:cs="Courier New"/>
                <w:sz w:val="18"/>
                <w:szCs w:val="18"/>
              </w:rPr>
              <w:t>-accommodation;</w:t>
            </w:r>
          </w:p>
          <w:p w:rsidR="005C3F63" w:rsidRDefault="006536E7">
            <w:pPr>
              <w:widowControl w:val="0"/>
              <w:tabs>
                <w:tab w:val="left" w:pos="39"/>
                <w:tab w:val="left" w:pos="330"/>
              </w:tabs>
              <w:rPr>
                <w:rFonts w:ascii="Verdana" w:eastAsia="Calibri" w:hAnsi="Verdana" w:cs="Courier New"/>
                <w:sz w:val="18"/>
                <w:szCs w:val="18"/>
                <w:shd w:val="clear" w:color="auto" w:fill="FFFFFF"/>
              </w:rPr>
            </w:pPr>
            <w:r>
              <w:rPr>
                <w:rFonts w:ascii="Verdana" w:hAnsi="Verdana" w:cs="Courier New"/>
                <w:sz w:val="18"/>
                <w:szCs w:val="18"/>
              </w:rPr>
              <w:t>-food</w:t>
            </w:r>
          </w:p>
        </w:tc>
        <w:tc>
          <w:tcPr>
            <w:tcW w:w="4395" w:type="dxa"/>
          </w:tcPr>
          <w:p w:rsidR="005C3F63" w:rsidRDefault="006536E7">
            <w:pPr>
              <w:widowControl w:val="0"/>
              <w:rPr>
                <w:rFonts w:ascii="Verdana" w:eastAsiaTheme="minorHAnsi" w:hAnsi="Verdana" w:cs="Courier New"/>
                <w:sz w:val="18"/>
                <w:szCs w:val="18"/>
              </w:rPr>
            </w:pPr>
            <w:r>
              <w:rPr>
                <w:rFonts w:ascii="Verdana" w:hAnsi="Verdana" w:cs="Courier New"/>
                <w:sz w:val="18"/>
                <w:szCs w:val="18"/>
              </w:rPr>
              <w:t>- organization of excursions to local tourist sites;</w:t>
            </w:r>
          </w:p>
          <w:p w:rsidR="005C3F63" w:rsidRDefault="006536E7">
            <w:pPr>
              <w:widowControl w:val="0"/>
              <w:rPr>
                <w:rFonts w:ascii="Verdana" w:hAnsi="Verdana" w:cs="Courier New"/>
                <w:sz w:val="18"/>
                <w:szCs w:val="18"/>
              </w:rPr>
            </w:pPr>
            <w:r>
              <w:rPr>
                <w:rFonts w:ascii="Verdana" w:hAnsi="Verdana" w:cs="Courier New"/>
                <w:sz w:val="18"/>
                <w:szCs w:val="18"/>
              </w:rPr>
              <w:t>- services of guides-translators;</w:t>
            </w:r>
          </w:p>
          <w:p w:rsidR="005C3F63" w:rsidRDefault="006536E7">
            <w:pPr>
              <w:widowControl w:val="0"/>
              <w:rPr>
                <w:rFonts w:ascii="Verdana" w:hAnsi="Verdana" w:cs="Courier New"/>
                <w:sz w:val="18"/>
                <w:szCs w:val="18"/>
              </w:rPr>
            </w:pPr>
            <w:r>
              <w:rPr>
                <w:rFonts w:ascii="Verdana" w:hAnsi="Verdana" w:cs="Courier New"/>
                <w:sz w:val="18"/>
                <w:szCs w:val="18"/>
              </w:rPr>
              <w:t>- tourist equipment rental services;</w:t>
            </w:r>
          </w:p>
          <w:p w:rsidR="005C3F63" w:rsidRDefault="006536E7">
            <w:pPr>
              <w:widowControl w:val="0"/>
              <w:rPr>
                <w:rFonts w:ascii="Verdana" w:hAnsi="Verdana" w:cs="Courier New"/>
                <w:sz w:val="18"/>
                <w:szCs w:val="18"/>
              </w:rPr>
            </w:pPr>
            <w:r>
              <w:rPr>
                <w:rFonts w:ascii="Verdana" w:hAnsi="Verdana" w:cs="Courier New"/>
                <w:sz w:val="18"/>
                <w:szCs w:val="18"/>
              </w:rPr>
              <w:t>- trade service;</w:t>
            </w:r>
          </w:p>
          <w:p w:rsidR="005C3F63" w:rsidRDefault="006536E7">
            <w:pPr>
              <w:widowControl w:val="0"/>
              <w:rPr>
                <w:rFonts w:ascii="Verdana" w:eastAsia="Calibri" w:hAnsi="Verdana" w:cs="Courier New"/>
                <w:sz w:val="18"/>
                <w:szCs w:val="18"/>
                <w:shd w:val="clear" w:color="auto" w:fill="FFFFFF"/>
              </w:rPr>
            </w:pPr>
            <w:r>
              <w:rPr>
                <w:rFonts w:ascii="Verdana" w:hAnsi="Verdana" w:cs="Courier New"/>
                <w:sz w:val="18"/>
                <w:szCs w:val="18"/>
              </w:rPr>
              <w:t>- treatment-and-prophylactic and cosmetic services;</w:t>
            </w:r>
          </w:p>
        </w:tc>
        <w:tc>
          <w:tcPr>
            <w:tcW w:w="2229" w:type="dxa"/>
          </w:tcPr>
          <w:p w:rsidR="005C3F63" w:rsidRDefault="006536E7">
            <w:pPr>
              <w:widowControl w:val="0"/>
              <w:rPr>
                <w:rFonts w:ascii="Verdana" w:eastAsia="Calibri" w:hAnsi="Verdana" w:cs="Courier New"/>
                <w:sz w:val="18"/>
                <w:szCs w:val="18"/>
                <w:shd w:val="clear" w:color="auto" w:fill="FFFFFF"/>
                <w:lang w:val="uk-UA"/>
              </w:rPr>
            </w:pPr>
            <w:r>
              <w:rPr>
                <w:rFonts w:ascii="Verdana" w:hAnsi="Verdana" w:cs="Courier New"/>
                <w:sz w:val="18"/>
                <w:szCs w:val="18"/>
              </w:rPr>
              <w:t>- local infrastructure services</w:t>
            </w:r>
          </w:p>
        </w:tc>
      </w:tr>
      <w:tr w:rsidR="005C3F63">
        <w:trPr>
          <w:cantSplit/>
          <w:trHeight w:val="3827"/>
        </w:trPr>
        <w:tc>
          <w:tcPr>
            <w:tcW w:w="1101" w:type="dxa"/>
            <w:textDirection w:val="btLr"/>
            <w:vAlign w:val="center"/>
          </w:tcPr>
          <w:p w:rsidR="005C3F63" w:rsidRDefault="006536E7">
            <w:pPr>
              <w:widowControl w:val="0"/>
              <w:ind w:left="113" w:right="113"/>
              <w:jc w:val="center"/>
              <w:rPr>
                <w:rFonts w:ascii="Verdana" w:eastAsia="Calibri" w:hAnsi="Verdana" w:cs="Courier New"/>
                <w:sz w:val="18"/>
                <w:szCs w:val="18"/>
                <w:shd w:val="clear" w:color="auto" w:fill="FFFFFF"/>
              </w:rPr>
            </w:pPr>
            <w:r>
              <w:rPr>
                <w:rFonts w:ascii="Verdana" w:eastAsia="Calibri" w:hAnsi="Verdana" w:cs="Courier New"/>
                <w:i/>
                <w:sz w:val="18"/>
                <w:szCs w:val="18"/>
                <w:shd w:val="clear" w:color="auto" w:fill="FFFFFF"/>
                <w:lang w:val="uk-UA"/>
              </w:rPr>
              <w:t xml:space="preserve">                                  </w:t>
            </w:r>
            <w:r>
              <w:rPr>
                <w:rFonts w:ascii="Verdana" w:eastAsia="Calibri" w:hAnsi="Verdana" w:cs="Courier New"/>
                <w:i/>
                <w:sz w:val="18"/>
                <w:szCs w:val="18"/>
                <w:shd w:val="clear" w:color="auto" w:fill="FFFFFF"/>
              </w:rPr>
              <w:t xml:space="preserve">  </w:t>
            </w:r>
            <w:r>
              <w:rPr>
                <w:rFonts w:ascii="Verdana" w:eastAsia="Calibri" w:hAnsi="Verdana" w:cs="Courier New"/>
                <w:i/>
                <w:sz w:val="18"/>
                <w:szCs w:val="18"/>
                <w:u w:val="single"/>
                <w:shd w:val="clear" w:color="auto" w:fill="FFFFFF"/>
              </w:rPr>
              <w:t>Specific</w:t>
            </w:r>
          </w:p>
        </w:tc>
        <w:tc>
          <w:tcPr>
            <w:tcW w:w="1842" w:type="dxa"/>
          </w:tcPr>
          <w:p w:rsidR="005C3F63" w:rsidRDefault="006536E7">
            <w:pPr>
              <w:widowControl w:val="0"/>
              <w:tabs>
                <w:tab w:val="left" w:pos="0"/>
              </w:tabs>
              <w:rPr>
                <w:rFonts w:ascii="Verdana" w:eastAsiaTheme="minorHAnsi" w:hAnsi="Verdana" w:cs="Courier New"/>
                <w:sz w:val="18"/>
                <w:szCs w:val="18"/>
              </w:rPr>
            </w:pPr>
            <w:r>
              <w:rPr>
                <w:rFonts w:ascii="Verdana" w:hAnsi="Verdana" w:cs="Courier New"/>
                <w:sz w:val="18"/>
                <w:szCs w:val="18"/>
              </w:rPr>
              <w:t>- accommodation in wine hotels, guest villas and wineries, houses of rural green tourism;</w:t>
            </w:r>
          </w:p>
          <w:p w:rsidR="005C3F63" w:rsidRDefault="006536E7">
            <w:pPr>
              <w:widowControl w:val="0"/>
              <w:tabs>
                <w:tab w:val="left" w:pos="0"/>
              </w:tabs>
              <w:rPr>
                <w:rFonts w:ascii="Verdana" w:hAnsi="Verdana" w:cs="Courier New"/>
                <w:sz w:val="18"/>
                <w:szCs w:val="18"/>
              </w:rPr>
            </w:pPr>
            <w:r>
              <w:rPr>
                <w:rFonts w:ascii="Verdana" w:hAnsi="Verdana" w:cs="Courier New"/>
                <w:sz w:val="18"/>
                <w:szCs w:val="18"/>
              </w:rPr>
              <w:t>- food in specialized wine restaurants;</w:t>
            </w:r>
          </w:p>
          <w:p w:rsidR="005C3F63" w:rsidRDefault="006536E7">
            <w:pPr>
              <w:widowControl w:val="0"/>
              <w:tabs>
                <w:tab w:val="left" w:pos="0"/>
              </w:tabs>
              <w:rPr>
                <w:rFonts w:ascii="Verdana" w:eastAsia="Calibri" w:hAnsi="Verdana" w:cs="Courier New"/>
                <w:sz w:val="18"/>
                <w:szCs w:val="18"/>
                <w:shd w:val="clear" w:color="auto" w:fill="FFFFFF"/>
              </w:rPr>
            </w:pPr>
            <w:r>
              <w:rPr>
                <w:rFonts w:ascii="Verdana" w:hAnsi="Verdana" w:cs="Courier New"/>
                <w:sz w:val="18"/>
                <w:szCs w:val="18"/>
              </w:rPr>
              <w:t>- organization of enogastronomic banquets</w:t>
            </w:r>
          </w:p>
        </w:tc>
        <w:tc>
          <w:tcPr>
            <w:tcW w:w="4395" w:type="dxa"/>
          </w:tcPr>
          <w:p w:rsidR="005C3F63" w:rsidRDefault="006536E7">
            <w:pPr>
              <w:widowControl w:val="0"/>
              <w:tabs>
                <w:tab w:val="left" w:pos="176"/>
              </w:tabs>
              <w:rPr>
                <w:rFonts w:ascii="Verdana" w:eastAsiaTheme="minorHAnsi" w:hAnsi="Verdana" w:cstheme="minorBidi"/>
                <w:sz w:val="18"/>
                <w:szCs w:val="18"/>
              </w:rPr>
            </w:pPr>
            <w:r>
              <w:rPr>
                <w:rFonts w:ascii="Verdana" w:hAnsi="Verdana"/>
                <w:sz w:val="18"/>
                <w:szCs w:val="18"/>
              </w:rPr>
              <w:t>- visiting vineyard plantations, tasting local grape varieties;</w:t>
            </w:r>
          </w:p>
          <w:p w:rsidR="005C3F63" w:rsidRDefault="006536E7">
            <w:pPr>
              <w:widowControl w:val="0"/>
              <w:tabs>
                <w:tab w:val="left" w:pos="176"/>
              </w:tabs>
              <w:rPr>
                <w:rFonts w:ascii="Verdana" w:hAnsi="Verdana"/>
                <w:sz w:val="18"/>
                <w:szCs w:val="18"/>
              </w:rPr>
            </w:pPr>
            <w:r>
              <w:rPr>
                <w:rFonts w:ascii="Verdana" w:hAnsi="Verdana"/>
                <w:sz w:val="18"/>
                <w:szCs w:val="18"/>
              </w:rPr>
              <w:t>- acquaintance with the technology of making different types of alcoholic beverages directly in production;</w:t>
            </w:r>
          </w:p>
          <w:p w:rsidR="005C3F63" w:rsidRDefault="006536E7">
            <w:pPr>
              <w:widowControl w:val="0"/>
              <w:tabs>
                <w:tab w:val="left" w:pos="176"/>
              </w:tabs>
              <w:rPr>
                <w:rFonts w:ascii="Verdana" w:hAnsi="Verdana"/>
                <w:sz w:val="18"/>
                <w:szCs w:val="18"/>
              </w:rPr>
            </w:pPr>
            <w:r>
              <w:rPr>
                <w:rFonts w:ascii="Verdana" w:hAnsi="Verdana"/>
                <w:sz w:val="18"/>
                <w:szCs w:val="18"/>
              </w:rPr>
              <w:t>- acquaintance with the history of winemaking, visiting specialized museums and wine shops;</w:t>
            </w:r>
          </w:p>
          <w:p w:rsidR="005C3F63" w:rsidRDefault="006536E7">
            <w:pPr>
              <w:widowControl w:val="0"/>
              <w:tabs>
                <w:tab w:val="left" w:pos="176"/>
              </w:tabs>
              <w:rPr>
                <w:rFonts w:ascii="Verdana" w:hAnsi="Verdana"/>
                <w:sz w:val="18"/>
                <w:szCs w:val="18"/>
              </w:rPr>
            </w:pPr>
            <w:r>
              <w:rPr>
                <w:rFonts w:ascii="Verdana" w:hAnsi="Verdana"/>
                <w:sz w:val="18"/>
                <w:szCs w:val="18"/>
              </w:rPr>
              <w:t>- visiting tasting rooms and cellars, tasting wines, cognacs and other alcoholic products;</w:t>
            </w:r>
          </w:p>
          <w:p w:rsidR="005C3F63" w:rsidRDefault="006536E7">
            <w:pPr>
              <w:widowControl w:val="0"/>
              <w:tabs>
                <w:tab w:val="left" w:pos="176"/>
              </w:tabs>
              <w:rPr>
                <w:rFonts w:ascii="Verdana" w:hAnsi="Verdana"/>
                <w:sz w:val="18"/>
                <w:szCs w:val="18"/>
              </w:rPr>
            </w:pPr>
            <w:r>
              <w:rPr>
                <w:rFonts w:ascii="Verdana" w:hAnsi="Verdana"/>
                <w:sz w:val="18"/>
                <w:szCs w:val="18"/>
              </w:rPr>
              <w:t>- visiting restaurants offering wine tasting services;</w:t>
            </w:r>
          </w:p>
          <w:p w:rsidR="005C3F63" w:rsidRDefault="006536E7">
            <w:pPr>
              <w:widowControl w:val="0"/>
              <w:tabs>
                <w:tab w:val="left" w:pos="176"/>
              </w:tabs>
              <w:rPr>
                <w:rFonts w:ascii="Verdana" w:hAnsi="Verdana"/>
                <w:sz w:val="18"/>
                <w:szCs w:val="18"/>
              </w:rPr>
            </w:pPr>
            <w:r>
              <w:rPr>
                <w:rFonts w:ascii="Verdana" w:hAnsi="Verdana"/>
                <w:sz w:val="18"/>
                <w:szCs w:val="18"/>
              </w:rPr>
              <w:t>- participation in wine festivals and thematic holidays;</w:t>
            </w:r>
          </w:p>
          <w:p w:rsidR="005C3F63" w:rsidRDefault="006536E7">
            <w:pPr>
              <w:widowControl w:val="0"/>
              <w:tabs>
                <w:tab w:val="left" w:pos="176"/>
              </w:tabs>
              <w:rPr>
                <w:rFonts w:ascii="Verdana" w:eastAsia="Calibri" w:hAnsi="Verdana" w:cs="Courier New"/>
                <w:sz w:val="18"/>
                <w:szCs w:val="18"/>
                <w:shd w:val="clear" w:color="auto" w:fill="FFFFFF"/>
              </w:rPr>
            </w:pPr>
            <w:r>
              <w:rPr>
                <w:rFonts w:ascii="Verdana" w:hAnsi="Verdana"/>
                <w:sz w:val="18"/>
                <w:szCs w:val="18"/>
              </w:rPr>
              <w:t>- visiting and participating in specialized exhibitions, forums, conferences, competitions, auctions.</w:t>
            </w:r>
          </w:p>
        </w:tc>
        <w:tc>
          <w:tcPr>
            <w:tcW w:w="2229" w:type="dxa"/>
          </w:tcPr>
          <w:p w:rsidR="005C3F63" w:rsidRDefault="006536E7">
            <w:pPr>
              <w:widowControl w:val="0"/>
              <w:rPr>
                <w:rFonts w:ascii="Verdana" w:eastAsiaTheme="minorHAnsi" w:hAnsi="Verdana" w:cstheme="minorBidi"/>
                <w:sz w:val="18"/>
                <w:szCs w:val="18"/>
              </w:rPr>
            </w:pPr>
            <w:r>
              <w:rPr>
                <w:rFonts w:ascii="Verdana" w:hAnsi="Verdana"/>
                <w:sz w:val="18"/>
                <w:szCs w:val="18"/>
              </w:rPr>
              <w:t>- purchase of traditional food;</w:t>
            </w:r>
          </w:p>
          <w:p w:rsidR="005C3F63" w:rsidRDefault="006536E7">
            <w:pPr>
              <w:widowControl w:val="0"/>
              <w:rPr>
                <w:rFonts w:ascii="Verdana" w:hAnsi="Verdana"/>
                <w:sz w:val="18"/>
                <w:szCs w:val="18"/>
              </w:rPr>
            </w:pPr>
            <w:r>
              <w:rPr>
                <w:rFonts w:ascii="Verdana" w:hAnsi="Verdana"/>
                <w:sz w:val="18"/>
                <w:szCs w:val="18"/>
              </w:rPr>
              <w:t>- purchase of equipment and equipment for tasting;</w:t>
            </w:r>
          </w:p>
          <w:p w:rsidR="005C3F63" w:rsidRDefault="006536E7">
            <w:pPr>
              <w:widowControl w:val="0"/>
              <w:rPr>
                <w:rFonts w:ascii="Verdana" w:hAnsi="Verdana"/>
                <w:sz w:val="18"/>
                <w:szCs w:val="18"/>
              </w:rPr>
            </w:pPr>
            <w:r>
              <w:rPr>
                <w:rFonts w:ascii="Verdana" w:hAnsi="Verdana"/>
                <w:sz w:val="18"/>
                <w:szCs w:val="18"/>
              </w:rPr>
              <w:t>- storage, transportation, production of wine and other alcoholic beverages;</w:t>
            </w:r>
          </w:p>
          <w:p w:rsidR="005C3F63" w:rsidRDefault="006536E7">
            <w:pPr>
              <w:widowControl w:val="0"/>
              <w:rPr>
                <w:rFonts w:ascii="Verdana" w:eastAsia="Calibri" w:hAnsi="Verdana" w:cs="Courier New"/>
                <w:sz w:val="18"/>
                <w:szCs w:val="18"/>
                <w:shd w:val="clear" w:color="auto" w:fill="FFFFFF"/>
                <w:lang w:val="uk-UA"/>
              </w:rPr>
            </w:pPr>
            <w:r>
              <w:rPr>
                <w:rFonts w:ascii="Verdana" w:hAnsi="Verdana"/>
                <w:sz w:val="18"/>
                <w:szCs w:val="18"/>
              </w:rPr>
              <w:t>- delivery of alcoholic beverages</w:t>
            </w:r>
          </w:p>
        </w:tc>
      </w:tr>
    </w:tbl>
    <w:p w:rsidR="005C3F63" w:rsidRDefault="005C3F63">
      <w:pPr>
        <w:widowControl w:val="0"/>
        <w:ind w:firstLine="709"/>
        <w:rPr>
          <w:rFonts w:ascii="Verdana" w:eastAsiaTheme="minorHAnsi" w:hAnsi="Verdana" w:cs="Helvetica"/>
          <w:sz w:val="20"/>
          <w:szCs w:val="20"/>
          <w:shd w:val="clear" w:color="auto" w:fill="FFFFFF"/>
          <w:lang w:val="uk-UA"/>
        </w:rPr>
      </w:pPr>
    </w:p>
    <w:p w:rsidR="005C3F63" w:rsidRDefault="005C3F63">
      <w:pPr>
        <w:widowControl w:val="0"/>
        <w:ind w:firstLine="709"/>
        <w:rPr>
          <w:rFonts w:ascii="Verdana" w:hAnsi="Verdana" w:cs="Helvetica"/>
          <w:sz w:val="20"/>
          <w:szCs w:val="20"/>
          <w:shd w:val="clear" w:color="auto" w:fill="FFFFFF"/>
          <w:lang w:val="uk-UA"/>
        </w:rPr>
      </w:pPr>
    </w:p>
    <w:p w:rsidR="005C3F63" w:rsidRDefault="006536E7">
      <w:pPr>
        <w:widowControl w:val="0"/>
        <w:rPr>
          <w:rFonts w:ascii="Verdana" w:eastAsia="Calibri" w:hAnsi="Verdana"/>
          <w:sz w:val="20"/>
          <w:szCs w:val="20"/>
        </w:rPr>
      </w:pPr>
      <w:r>
        <w:rPr>
          <w:rFonts w:ascii="Verdana" w:eastAsia="Calibri" w:hAnsi="Verdana"/>
          <w:sz w:val="20"/>
          <w:szCs w:val="20"/>
        </w:rPr>
        <w:lastRenderedPageBreak/>
        <w:t>Source: formed by the authors</w:t>
      </w:r>
    </w:p>
    <w:p w:rsidR="005C3F63" w:rsidRDefault="005C3F63">
      <w:pPr>
        <w:widowControl w:val="0"/>
        <w:ind w:firstLine="567"/>
        <w:rPr>
          <w:rFonts w:ascii="Verdana" w:eastAsia="Calibri" w:hAnsi="Verdana"/>
          <w:sz w:val="20"/>
          <w:szCs w:val="20"/>
        </w:rPr>
      </w:pPr>
    </w:p>
    <w:p w:rsidR="005C3F63" w:rsidRDefault="006536E7">
      <w:pPr>
        <w:widowControl w:val="0"/>
        <w:rPr>
          <w:rFonts w:ascii="Verdana" w:eastAsiaTheme="minorHAnsi" w:hAnsi="Verdana" w:cstheme="minorBidi"/>
          <w:sz w:val="20"/>
          <w:szCs w:val="20"/>
        </w:rPr>
      </w:pPr>
      <w:r>
        <w:rPr>
          <w:rFonts w:ascii="Verdana" w:hAnsi="Verdana"/>
          <w:sz w:val="20"/>
          <w:szCs w:val="20"/>
        </w:rPr>
        <w:t>As noted by Kondrych V.I. (2015) the organization of tastings, as well as excursions to wineries is becoming an increasingly profitable activity. In itself, the fact of such activity does not affect the technological characteristics and production of winemaking in general, but requires a solution to the openness of technological lines, or their parts and the appropriate spatial organization (availability of observation decks, the formation of demonstration working places, etc.). Thus, there is a problem of distribution of overhead costs (such as heating, lighting of industrial areas). In addition to the products produced, such costs should be included in the cost of services to demonstrate the technology of wine production, which are provided in combination with other tourism products. Practice shows that there is no single approach to solving such a problem.</w:t>
      </w:r>
    </w:p>
    <w:p w:rsidR="005C3F63" w:rsidRDefault="006536E7">
      <w:pPr>
        <w:widowControl w:val="0"/>
        <w:rPr>
          <w:rFonts w:ascii="Verdana" w:hAnsi="Verdana"/>
          <w:sz w:val="20"/>
          <w:szCs w:val="20"/>
        </w:rPr>
      </w:pPr>
      <w:r>
        <w:rPr>
          <w:rFonts w:ascii="Verdana" w:hAnsi="Verdana"/>
          <w:sz w:val="20"/>
          <w:szCs w:val="20"/>
        </w:rPr>
        <w:t>Summarizing the above, it can be argued that along with the main production, winemakers can successfully develop wine tourism by providing traditional and specific types of services.</w:t>
      </w:r>
    </w:p>
    <w:p w:rsidR="005C3F63" w:rsidRDefault="005C3F63">
      <w:pPr>
        <w:widowControl w:val="0"/>
        <w:rPr>
          <w:rFonts w:ascii="Verdana" w:eastAsia="Calibri" w:hAnsi="Verdana"/>
          <w:b/>
          <w:sz w:val="22"/>
          <w:lang w:val="uk-UA"/>
        </w:rPr>
      </w:pPr>
    </w:p>
    <w:p w:rsidR="005C3F63" w:rsidRDefault="006536E7">
      <w:pPr>
        <w:widowControl w:val="0"/>
        <w:rPr>
          <w:rFonts w:ascii="Verdana" w:eastAsia="Calibri" w:hAnsi="Verdana"/>
          <w:b/>
          <w:lang w:val="uk-UA"/>
        </w:rPr>
      </w:pPr>
      <w:r>
        <w:rPr>
          <w:rFonts w:ascii="Verdana" w:eastAsia="Calibri" w:hAnsi="Verdana"/>
          <w:b/>
          <w:lang w:val="uk-UA"/>
        </w:rPr>
        <w:t>4 Conclusions</w:t>
      </w:r>
    </w:p>
    <w:p w:rsidR="005C3F63" w:rsidRDefault="006536E7">
      <w:pPr>
        <w:widowControl w:val="0"/>
        <w:rPr>
          <w:rFonts w:ascii="Verdana" w:eastAsia="Calibri" w:hAnsi="Verdana"/>
          <w:sz w:val="20"/>
          <w:szCs w:val="20"/>
        </w:rPr>
      </w:pPr>
      <w:r>
        <w:rPr>
          <w:rFonts w:ascii="Verdana" w:eastAsia="Calibri" w:hAnsi="Verdana"/>
          <w:sz w:val="20"/>
          <w:szCs w:val="20"/>
        </w:rPr>
        <w:t>High competition in the wine market encourages its producers to seek new sources of income, among which is the development of enotourism. This type of tourism requires a creative approach, sophistication and the search of new activities in the interest of tourists. Activation of this type of activity in Ukraine and directions of its development require marketing costs for new objects and the reliability of their accounting.</w:t>
      </w:r>
    </w:p>
    <w:p w:rsidR="005C3F63" w:rsidRDefault="006536E7">
      <w:pPr>
        <w:widowControl w:val="0"/>
        <w:rPr>
          <w:rFonts w:ascii="Verdana" w:eastAsia="Calibri" w:hAnsi="Verdana"/>
          <w:sz w:val="20"/>
          <w:szCs w:val="20"/>
          <w:shd w:val="clear" w:color="auto" w:fill="FFFFFF"/>
        </w:rPr>
      </w:pPr>
      <w:r>
        <w:rPr>
          <w:rFonts w:ascii="Verdana" w:eastAsia="Calibri" w:hAnsi="Verdana"/>
          <w:sz w:val="20"/>
          <w:szCs w:val="20"/>
        </w:rPr>
        <w:t>We grouped services that can be provided by winemakers in the service of tourist products and identified components of costs that will accompany this type of activity (familiarization with the technology of production of various types of alcoholic beverages directly in production; visits to tasting rooms and cellars; from the sommelier, participation in specialized exhibitions, forums, conferences, competitions, wine auctions, etc.) and must be accurately reflected in the accounting with the effective implementation of its control function.</w:t>
      </w:r>
    </w:p>
    <w:p w:rsidR="005C3F63" w:rsidRDefault="005C3F63">
      <w:pPr>
        <w:widowControl w:val="0"/>
        <w:rPr>
          <w:rFonts w:ascii="Verdana" w:eastAsia="Calibri" w:hAnsi="Verdana"/>
          <w:b/>
          <w:sz w:val="22"/>
        </w:rPr>
      </w:pPr>
    </w:p>
    <w:p w:rsidR="005C3F63" w:rsidRDefault="006536E7">
      <w:pPr>
        <w:widowControl w:val="0"/>
        <w:rPr>
          <w:rFonts w:ascii="Verdana" w:eastAsia="Calibri" w:hAnsi="Verdana"/>
          <w:b/>
          <w:lang w:val="uk-UA"/>
        </w:rPr>
      </w:pPr>
      <w:r>
        <w:rPr>
          <w:rFonts w:ascii="Verdana" w:eastAsia="Calibri" w:hAnsi="Verdana"/>
          <w:b/>
        </w:rPr>
        <w:t xml:space="preserve">5 </w:t>
      </w:r>
      <w:r>
        <w:rPr>
          <w:rFonts w:ascii="Verdana" w:eastAsia="Calibri" w:hAnsi="Verdana"/>
          <w:b/>
          <w:lang w:val="uk-UA"/>
        </w:rPr>
        <w:t>References</w:t>
      </w:r>
    </w:p>
    <w:p w:rsidR="005C3F63" w:rsidRDefault="006536E7">
      <w:pPr>
        <w:widowControl w:val="0"/>
        <w:rPr>
          <w:rFonts w:ascii="Verdana" w:eastAsia="Calibri" w:hAnsi="Verdana" w:cs="Arial"/>
          <w:sz w:val="20"/>
          <w:szCs w:val="20"/>
          <w:shd w:val="clear" w:color="auto" w:fill="FFFFFF"/>
        </w:rPr>
      </w:pPr>
      <w:r>
        <w:rPr>
          <w:rFonts w:ascii="Verdana" w:eastAsia="Calibri" w:hAnsi="Verdana" w:cs="Arial"/>
          <w:sz w:val="20"/>
          <w:szCs w:val="20"/>
          <w:shd w:val="clear" w:color="auto" w:fill="FFFFFF"/>
        </w:rPr>
        <w:t>John</w:t>
      </w:r>
      <w:r>
        <w:rPr>
          <w:rFonts w:ascii="Verdana" w:eastAsia="Calibri" w:hAnsi="Verdana" w:cs="Arial"/>
          <w:sz w:val="20"/>
          <w:szCs w:val="20"/>
          <w:shd w:val="clear" w:color="auto" w:fill="FFFFFF"/>
          <w:lang w:val="uk-UA"/>
        </w:rPr>
        <w:t xml:space="preserve"> </w:t>
      </w:r>
      <w:r>
        <w:rPr>
          <w:rFonts w:ascii="Verdana" w:eastAsia="Calibri" w:hAnsi="Verdana" w:cs="Arial"/>
          <w:sz w:val="20"/>
          <w:szCs w:val="20"/>
          <w:shd w:val="clear" w:color="auto" w:fill="FFFFFF"/>
        </w:rPr>
        <w:t>Blake</w:t>
      </w:r>
      <w:r>
        <w:rPr>
          <w:rFonts w:ascii="Verdana" w:eastAsia="Calibri" w:hAnsi="Verdana" w:cs="Arial"/>
          <w:sz w:val="20"/>
          <w:szCs w:val="20"/>
          <w:shd w:val="clear" w:color="auto" w:fill="FFFFFF"/>
          <w:lang w:val="uk-UA"/>
        </w:rPr>
        <w:t xml:space="preserve">, </w:t>
      </w:r>
      <w:r>
        <w:rPr>
          <w:rFonts w:ascii="Verdana" w:eastAsia="Calibri" w:hAnsi="Verdana" w:cs="Arial"/>
          <w:sz w:val="20"/>
          <w:szCs w:val="20"/>
          <w:shd w:val="clear" w:color="auto" w:fill="FFFFFF"/>
        </w:rPr>
        <w:t>Oriol</w:t>
      </w:r>
      <w:r>
        <w:rPr>
          <w:rFonts w:ascii="Verdana" w:eastAsia="Calibri" w:hAnsi="Verdana" w:cs="Arial"/>
          <w:sz w:val="20"/>
          <w:szCs w:val="20"/>
          <w:shd w:val="clear" w:color="auto" w:fill="FFFFFF"/>
          <w:lang w:val="uk-UA"/>
        </w:rPr>
        <w:t xml:space="preserve"> </w:t>
      </w:r>
      <w:r>
        <w:rPr>
          <w:rFonts w:ascii="Verdana" w:eastAsia="Calibri" w:hAnsi="Verdana" w:cs="Arial"/>
          <w:sz w:val="20"/>
          <w:szCs w:val="20"/>
          <w:shd w:val="clear" w:color="auto" w:fill="FFFFFF"/>
        </w:rPr>
        <w:t>Amat</w:t>
      </w:r>
      <w:r>
        <w:rPr>
          <w:rFonts w:ascii="Verdana" w:eastAsia="Calibri" w:hAnsi="Verdana" w:cs="Arial"/>
          <w:sz w:val="20"/>
          <w:szCs w:val="20"/>
          <w:shd w:val="clear" w:color="auto" w:fill="FFFFFF"/>
          <w:lang w:val="uk-UA"/>
        </w:rPr>
        <w:t xml:space="preserve"> &amp; </w:t>
      </w:r>
      <w:r>
        <w:rPr>
          <w:rFonts w:ascii="Verdana" w:eastAsia="Calibri" w:hAnsi="Verdana" w:cs="Arial"/>
          <w:sz w:val="20"/>
          <w:szCs w:val="20"/>
          <w:shd w:val="clear" w:color="auto" w:fill="FFFFFF"/>
        </w:rPr>
        <w:t>Jack</w:t>
      </w:r>
      <w:r>
        <w:rPr>
          <w:rFonts w:ascii="Verdana" w:eastAsia="Calibri" w:hAnsi="Verdana" w:cs="Arial"/>
          <w:sz w:val="20"/>
          <w:szCs w:val="20"/>
          <w:shd w:val="clear" w:color="auto" w:fill="FFFFFF"/>
          <w:lang w:val="uk-UA"/>
        </w:rPr>
        <w:t xml:space="preserve"> </w:t>
      </w:r>
      <w:r>
        <w:rPr>
          <w:rFonts w:ascii="Verdana" w:eastAsia="Calibri" w:hAnsi="Verdana" w:cs="Arial"/>
          <w:sz w:val="20"/>
          <w:szCs w:val="20"/>
          <w:shd w:val="clear" w:color="auto" w:fill="FFFFFF"/>
        </w:rPr>
        <w:t>Dowds </w:t>
      </w:r>
      <w:r>
        <w:rPr>
          <w:rFonts w:ascii="Verdana" w:eastAsia="Calibri" w:hAnsi="Verdana" w:cs="Arial"/>
          <w:sz w:val="20"/>
          <w:szCs w:val="20"/>
          <w:shd w:val="clear" w:color="auto" w:fill="FFFFFF"/>
          <w:lang w:val="uk-UA"/>
        </w:rPr>
        <w:t>(1998)</w:t>
      </w:r>
      <w:r>
        <w:rPr>
          <w:rFonts w:ascii="Verdana" w:eastAsia="Calibri" w:hAnsi="Verdana" w:cs="Arial"/>
          <w:sz w:val="20"/>
          <w:szCs w:val="20"/>
          <w:shd w:val="clear" w:color="auto" w:fill="FFFFFF"/>
        </w:rPr>
        <w:t> The</w:t>
      </w:r>
      <w:r>
        <w:rPr>
          <w:rFonts w:ascii="Verdana" w:eastAsia="Calibri" w:hAnsi="Verdana" w:cs="Arial"/>
          <w:sz w:val="20"/>
          <w:szCs w:val="20"/>
          <w:shd w:val="clear" w:color="auto" w:fill="FFFFFF"/>
          <w:lang w:val="uk-UA"/>
        </w:rPr>
        <w:t xml:space="preserve"> </w:t>
      </w:r>
      <w:r>
        <w:rPr>
          <w:rFonts w:ascii="Verdana" w:eastAsia="Calibri" w:hAnsi="Verdana" w:cs="Arial"/>
          <w:sz w:val="20"/>
          <w:szCs w:val="20"/>
          <w:shd w:val="clear" w:color="auto" w:fill="FFFFFF"/>
        </w:rPr>
        <w:t>drive</w:t>
      </w:r>
      <w:r>
        <w:rPr>
          <w:rFonts w:ascii="Verdana" w:eastAsia="Calibri" w:hAnsi="Verdana" w:cs="Arial"/>
          <w:sz w:val="20"/>
          <w:szCs w:val="20"/>
          <w:shd w:val="clear" w:color="auto" w:fill="FFFFFF"/>
          <w:lang w:val="uk-UA"/>
        </w:rPr>
        <w:t xml:space="preserve"> </w:t>
      </w:r>
      <w:r>
        <w:rPr>
          <w:rFonts w:ascii="Verdana" w:eastAsia="Calibri" w:hAnsi="Verdana" w:cs="Arial"/>
          <w:sz w:val="20"/>
          <w:szCs w:val="20"/>
          <w:shd w:val="clear" w:color="auto" w:fill="FFFFFF"/>
        </w:rPr>
        <w:t>for</w:t>
      </w:r>
      <w:r>
        <w:rPr>
          <w:rFonts w:ascii="Verdana" w:eastAsia="Calibri" w:hAnsi="Verdana" w:cs="Arial"/>
          <w:sz w:val="20"/>
          <w:szCs w:val="20"/>
          <w:shd w:val="clear" w:color="auto" w:fill="FFFFFF"/>
          <w:lang w:val="uk-UA"/>
        </w:rPr>
        <w:t xml:space="preserve"> </w:t>
      </w:r>
      <w:r>
        <w:rPr>
          <w:rFonts w:ascii="Verdana" w:eastAsia="Calibri" w:hAnsi="Verdana" w:cs="Arial"/>
          <w:sz w:val="20"/>
          <w:szCs w:val="20"/>
          <w:shd w:val="clear" w:color="auto" w:fill="FFFFFF"/>
        </w:rPr>
        <w:t>quality</w:t>
      </w:r>
      <w:r>
        <w:rPr>
          <w:rFonts w:ascii="Verdana" w:eastAsia="Calibri" w:hAnsi="Verdana" w:cs="Arial"/>
          <w:sz w:val="20"/>
          <w:szCs w:val="20"/>
          <w:shd w:val="clear" w:color="auto" w:fill="FFFFFF"/>
          <w:lang w:val="uk-UA"/>
        </w:rPr>
        <w:t xml:space="preserve">: </w:t>
      </w:r>
      <w:r>
        <w:rPr>
          <w:rFonts w:ascii="Verdana" w:eastAsia="Calibri" w:hAnsi="Verdana" w:cs="Arial"/>
          <w:sz w:val="20"/>
          <w:szCs w:val="20"/>
          <w:shd w:val="clear" w:color="auto" w:fill="FFFFFF"/>
        </w:rPr>
        <w:t>the</w:t>
      </w:r>
      <w:r>
        <w:rPr>
          <w:rFonts w:ascii="Verdana" w:eastAsia="Calibri" w:hAnsi="Verdana" w:cs="Arial"/>
          <w:sz w:val="20"/>
          <w:szCs w:val="20"/>
          <w:shd w:val="clear" w:color="auto" w:fill="FFFFFF"/>
          <w:lang w:val="uk-UA"/>
        </w:rPr>
        <w:t xml:space="preserve"> </w:t>
      </w:r>
      <w:r>
        <w:rPr>
          <w:rFonts w:ascii="Verdana" w:eastAsia="Calibri" w:hAnsi="Verdana" w:cs="Arial"/>
          <w:sz w:val="20"/>
          <w:szCs w:val="20"/>
          <w:shd w:val="clear" w:color="auto" w:fill="FFFFFF"/>
        </w:rPr>
        <w:t>impact</w:t>
      </w:r>
      <w:r>
        <w:rPr>
          <w:rFonts w:ascii="Verdana" w:eastAsia="Calibri" w:hAnsi="Verdana" w:cs="Arial"/>
          <w:sz w:val="20"/>
          <w:szCs w:val="20"/>
          <w:shd w:val="clear" w:color="auto" w:fill="FFFFFF"/>
          <w:lang w:val="uk-UA"/>
        </w:rPr>
        <w:t xml:space="preserve"> </w:t>
      </w:r>
      <w:r>
        <w:rPr>
          <w:rFonts w:ascii="Verdana" w:eastAsia="Calibri" w:hAnsi="Verdana" w:cs="Arial"/>
          <w:sz w:val="20"/>
          <w:szCs w:val="20"/>
          <w:shd w:val="clear" w:color="auto" w:fill="FFFFFF"/>
        </w:rPr>
        <w:t>on</w:t>
      </w:r>
      <w:r>
        <w:rPr>
          <w:rFonts w:ascii="Verdana" w:eastAsia="Calibri" w:hAnsi="Verdana" w:cs="Arial"/>
          <w:sz w:val="20"/>
          <w:szCs w:val="20"/>
          <w:shd w:val="clear" w:color="auto" w:fill="FFFFFF"/>
          <w:lang w:val="uk-UA"/>
        </w:rPr>
        <w:t xml:space="preserve"> </w:t>
      </w:r>
      <w:r>
        <w:rPr>
          <w:rFonts w:ascii="Verdana" w:eastAsia="Calibri" w:hAnsi="Verdana" w:cs="Arial"/>
          <w:sz w:val="20"/>
          <w:szCs w:val="20"/>
          <w:shd w:val="clear" w:color="auto" w:fill="FFFFFF"/>
        </w:rPr>
        <w:t>accounting in the wine industry, </w:t>
      </w:r>
      <w:r>
        <w:rPr>
          <w:rFonts w:ascii="Verdana" w:eastAsia="Calibri" w:hAnsi="Verdana" w:cs="Arial"/>
          <w:i/>
          <w:sz w:val="20"/>
          <w:szCs w:val="20"/>
          <w:shd w:val="clear" w:color="auto" w:fill="FFFFFF"/>
        </w:rPr>
        <w:t>Journal of Wine</w:t>
      </w:r>
      <w:r>
        <w:rPr>
          <w:rFonts w:ascii="Verdana" w:eastAsia="Calibri" w:hAnsi="Verdana" w:cs="Arial"/>
          <w:sz w:val="20"/>
          <w:szCs w:val="20"/>
          <w:shd w:val="clear" w:color="auto" w:fill="FFFFFF"/>
        </w:rPr>
        <w:t xml:space="preserve"> </w:t>
      </w:r>
      <w:r>
        <w:rPr>
          <w:rFonts w:ascii="Verdana" w:eastAsia="Calibri" w:hAnsi="Verdana" w:cs="Arial"/>
          <w:i/>
          <w:sz w:val="20"/>
          <w:szCs w:val="20"/>
          <w:shd w:val="clear" w:color="auto" w:fill="FFFFFF"/>
        </w:rPr>
        <w:t>Research</w:t>
      </w:r>
      <w:r>
        <w:rPr>
          <w:rFonts w:ascii="Verdana" w:eastAsia="Calibri" w:hAnsi="Verdana" w:cs="Arial"/>
          <w:sz w:val="20"/>
          <w:szCs w:val="20"/>
          <w:shd w:val="clear" w:color="auto" w:fill="FFFFFF"/>
        </w:rPr>
        <w:t>, 9:2, 75-85, DOI: </w:t>
      </w:r>
      <w:hyperlink r:id="rId56" w:history="1">
        <w:r>
          <w:rPr>
            <w:rStyle w:val="af9"/>
            <w:rFonts w:ascii="Verdana" w:eastAsia="Calibri" w:hAnsi="Verdana" w:cs="Arial"/>
            <w:sz w:val="20"/>
            <w:szCs w:val="20"/>
          </w:rPr>
          <w:t>10.1080/09571269808718138</w:t>
        </w:r>
      </w:hyperlink>
    </w:p>
    <w:p w:rsidR="005C3F63" w:rsidRDefault="006536E7">
      <w:pPr>
        <w:widowControl w:val="0"/>
        <w:rPr>
          <w:rFonts w:ascii="Verdana" w:eastAsia="Calibri" w:hAnsi="Verdana" w:cs="Helvetica"/>
          <w:sz w:val="20"/>
          <w:szCs w:val="20"/>
          <w:shd w:val="clear" w:color="auto" w:fill="CAE7FF"/>
        </w:rPr>
      </w:pPr>
      <w:r>
        <w:rPr>
          <w:rFonts w:ascii="Verdana" w:eastAsia="Calibri" w:hAnsi="Verdana" w:cs="Helvetica"/>
          <w:sz w:val="20"/>
          <w:szCs w:val="20"/>
          <w:lang w:val="de-DE"/>
        </w:rPr>
        <w:t>Delmas</w:t>
      </w:r>
      <w:r>
        <w:rPr>
          <w:rFonts w:ascii="Verdana" w:eastAsia="Calibri" w:hAnsi="Verdana" w:cs="Helvetica"/>
          <w:sz w:val="20"/>
          <w:szCs w:val="20"/>
          <w:lang w:val="uk-UA"/>
        </w:rPr>
        <w:t xml:space="preserve">, </w:t>
      </w:r>
      <w:r>
        <w:rPr>
          <w:rFonts w:ascii="Verdana" w:eastAsia="Calibri" w:hAnsi="Verdana" w:cs="Helvetica"/>
          <w:sz w:val="20"/>
          <w:szCs w:val="20"/>
          <w:lang w:val="de-DE"/>
        </w:rPr>
        <w:t>M</w:t>
      </w:r>
      <w:r>
        <w:rPr>
          <w:rFonts w:ascii="Verdana" w:eastAsia="Calibri" w:hAnsi="Verdana" w:cs="Helvetica"/>
          <w:sz w:val="20"/>
          <w:szCs w:val="20"/>
          <w:lang w:val="uk-UA"/>
        </w:rPr>
        <w:t xml:space="preserve">., </w:t>
      </w:r>
      <w:r>
        <w:rPr>
          <w:rFonts w:ascii="Verdana" w:eastAsia="Calibri" w:hAnsi="Verdana" w:cs="Helvetica"/>
          <w:sz w:val="20"/>
          <w:szCs w:val="20"/>
          <w:lang w:val="de-DE"/>
        </w:rPr>
        <w:t>Gergaud</w:t>
      </w:r>
      <w:r>
        <w:rPr>
          <w:rFonts w:ascii="Verdana" w:eastAsia="Calibri" w:hAnsi="Verdana" w:cs="Helvetica"/>
          <w:sz w:val="20"/>
          <w:szCs w:val="20"/>
          <w:lang w:val="uk-UA"/>
        </w:rPr>
        <w:t xml:space="preserve">, </w:t>
      </w:r>
      <w:r>
        <w:rPr>
          <w:rFonts w:ascii="Verdana" w:eastAsia="Calibri" w:hAnsi="Verdana" w:cs="Helvetica"/>
          <w:sz w:val="20"/>
          <w:szCs w:val="20"/>
          <w:lang w:val="de-DE"/>
        </w:rPr>
        <w:t>O</w:t>
      </w:r>
      <w:r>
        <w:rPr>
          <w:rFonts w:ascii="Verdana" w:eastAsia="Calibri" w:hAnsi="Verdana" w:cs="Helvetica"/>
          <w:sz w:val="20"/>
          <w:szCs w:val="20"/>
          <w:lang w:val="uk-UA"/>
        </w:rPr>
        <w:t xml:space="preserve">., &amp; </w:t>
      </w:r>
      <w:r>
        <w:rPr>
          <w:rFonts w:ascii="Verdana" w:eastAsia="Calibri" w:hAnsi="Verdana" w:cs="Helvetica"/>
          <w:sz w:val="20"/>
          <w:szCs w:val="20"/>
          <w:lang w:val="de-DE"/>
        </w:rPr>
        <w:t>Lim</w:t>
      </w:r>
      <w:r>
        <w:rPr>
          <w:rFonts w:ascii="Verdana" w:eastAsia="Calibri" w:hAnsi="Verdana" w:cs="Helvetica"/>
          <w:sz w:val="20"/>
          <w:szCs w:val="20"/>
          <w:lang w:val="uk-UA"/>
        </w:rPr>
        <w:t xml:space="preserve">, </w:t>
      </w:r>
      <w:r>
        <w:rPr>
          <w:rFonts w:ascii="Verdana" w:eastAsia="Calibri" w:hAnsi="Verdana" w:cs="Helvetica"/>
          <w:sz w:val="20"/>
          <w:szCs w:val="20"/>
          <w:lang w:val="de-DE"/>
        </w:rPr>
        <w:t>J</w:t>
      </w:r>
      <w:r>
        <w:rPr>
          <w:rFonts w:ascii="Verdana" w:eastAsia="Calibri" w:hAnsi="Verdana" w:cs="Helvetica"/>
          <w:sz w:val="20"/>
          <w:szCs w:val="20"/>
          <w:lang w:val="uk-UA"/>
        </w:rPr>
        <w:t xml:space="preserve">. (2016). </w:t>
      </w:r>
      <w:r>
        <w:rPr>
          <w:rFonts w:ascii="Verdana" w:eastAsia="Calibri" w:hAnsi="Verdana" w:cs="Helvetica"/>
          <w:sz w:val="20"/>
          <w:szCs w:val="20"/>
        </w:rPr>
        <w:t>Does Organic Wine Taste Better? An Analysis of Experts' Ratings. </w:t>
      </w:r>
      <w:r>
        <w:rPr>
          <w:rFonts w:ascii="Verdana" w:eastAsia="Calibri" w:hAnsi="Verdana" w:cs="Helvetica"/>
          <w:i/>
          <w:iCs/>
          <w:sz w:val="20"/>
          <w:szCs w:val="20"/>
        </w:rPr>
        <w:t>Journal of Wine Economics,</w:t>
      </w:r>
      <w:r>
        <w:rPr>
          <w:rFonts w:ascii="Verdana" w:eastAsia="Calibri" w:hAnsi="Verdana" w:cs="Helvetica"/>
          <w:sz w:val="20"/>
          <w:szCs w:val="20"/>
        </w:rPr>
        <w:t> </w:t>
      </w:r>
      <w:r>
        <w:rPr>
          <w:rFonts w:ascii="Verdana" w:eastAsia="Calibri" w:hAnsi="Verdana" w:cs="Helvetica"/>
          <w:i/>
          <w:iCs/>
          <w:sz w:val="20"/>
          <w:szCs w:val="20"/>
        </w:rPr>
        <w:t>11</w:t>
      </w:r>
      <w:r>
        <w:rPr>
          <w:rFonts w:ascii="Verdana" w:eastAsia="Calibri" w:hAnsi="Verdana" w:cs="Helvetica"/>
          <w:sz w:val="20"/>
          <w:szCs w:val="20"/>
        </w:rPr>
        <w:t>(3), 329-354. doi:10.1017/jwe.2016.14</w:t>
      </w:r>
    </w:p>
    <w:p w:rsidR="005C3F63" w:rsidRDefault="00085067">
      <w:pPr>
        <w:widowControl w:val="0"/>
        <w:textAlignment w:val="baseline"/>
        <w:rPr>
          <w:rFonts w:ascii="Verdana" w:eastAsia="Calibri" w:hAnsi="Verdana" w:cs="Arial"/>
          <w:b/>
          <w:bCs/>
          <w:sz w:val="20"/>
          <w:szCs w:val="20"/>
        </w:rPr>
      </w:pPr>
      <w:hyperlink r:id="rId57" w:history="1">
        <w:r w:rsidR="006536E7">
          <w:rPr>
            <w:rStyle w:val="af9"/>
            <w:rFonts w:ascii="Verdana" w:eastAsia="Calibri" w:hAnsi="Verdana" w:cs="Arial"/>
            <w:sz w:val="20"/>
            <w:szCs w:val="20"/>
          </w:rPr>
          <w:t>M. Oliveira</w:t>
        </w:r>
      </w:hyperlink>
      <w:r w:rsidR="006536E7">
        <w:rPr>
          <w:rFonts w:ascii="Verdana" w:eastAsia="Calibri" w:hAnsi="Verdana" w:cs="Arial"/>
          <w:sz w:val="20"/>
          <w:szCs w:val="20"/>
        </w:rPr>
        <w:t>; </w:t>
      </w:r>
      <w:hyperlink r:id="rId58" w:history="1">
        <w:r w:rsidR="006536E7">
          <w:rPr>
            <w:rStyle w:val="af9"/>
            <w:rFonts w:ascii="Verdana" w:eastAsia="Calibri" w:hAnsi="Verdana" w:cs="Arial"/>
            <w:sz w:val="20"/>
            <w:szCs w:val="20"/>
          </w:rPr>
          <w:t>J. M. Costa</w:t>
        </w:r>
      </w:hyperlink>
      <w:r w:rsidR="006536E7">
        <w:rPr>
          <w:rFonts w:ascii="Verdana" w:eastAsia="Calibri" w:hAnsi="Verdana" w:cs="Arial"/>
          <w:sz w:val="20"/>
          <w:szCs w:val="20"/>
        </w:rPr>
        <w:t>; </w:t>
      </w:r>
      <w:hyperlink r:id="rId59" w:history="1">
        <w:r w:rsidR="006536E7">
          <w:rPr>
            <w:rStyle w:val="af9"/>
            <w:rFonts w:ascii="Verdana" w:eastAsia="Calibri" w:hAnsi="Verdana" w:cs="Arial"/>
            <w:sz w:val="20"/>
            <w:szCs w:val="20"/>
          </w:rPr>
          <w:t>R. Fragoso</w:t>
        </w:r>
      </w:hyperlink>
      <w:r w:rsidR="006536E7">
        <w:rPr>
          <w:rFonts w:ascii="Verdana" w:eastAsia="Calibri" w:hAnsi="Verdana" w:cs="Arial"/>
          <w:sz w:val="20"/>
          <w:szCs w:val="20"/>
        </w:rPr>
        <w:t>; </w:t>
      </w:r>
      <w:hyperlink r:id="rId60" w:history="1">
        <w:r w:rsidR="006536E7">
          <w:rPr>
            <w:rStyle w:val="af9"/>
            <w:rFonts w:ascii="Verdana" w:eastAsia="Calibri" w:hAnsi="Verdana" w:cs="Arial"/>
            <w:sz w:val="20"/>
            <w:szCs w:val="20"/>
          </w:rPr>
          <w:t>E. Duarte</w:t>
        </w:r>
      </w:hyperlink>
      <w:r w:rsidR="006536E7">
        <w:rPr>
          <w:rFonts w:ascii="Verdana" w:eastAsia="Calibri" w:hAnsi="Verdana" w:cs="Arial"/>
          <w:sz w:val="20"/>
          <w:szCs w:val="20"/>
        </w:rPr>
        <w:t xml:space="preserve">. (2019) </w:t>
      </w:r>
      <w:r w:rsidR="006536E7">
        <w:rPr>
          <w:rFonts w:ascii="Verdana" w:eastAsia="Calibri" w:hAnsi="Verdana" w:cs="Arial"/>
          <w:bCs/>
          <w:sz w:val="20"/>
          <w:szCs w:val="20"/>
        </w:rPr>
        <w:t>Challenges for modern wine production in dry areas: dedicated indicators to preview wastewater flows.</w:t>
      </w:r>
      <w:r w:rsidR="006536E7">
        <w:rPr>
          <w:rFonts w:ascii="Verdana" w:eastAsia="Calibri" w:hAnsi="Verdana" w:cs="Arial"/>
          <w:b/>
          <w:bCs/>
          <w:sz w:val="20"/>
          <w:szCs w:val="20"/>
        </w:rPr>
        <w:t xml:space="preserve"> </w:t>
      </w:r>
      <w:r w:rsidR="006536E7">
        <w:rPr>
          <w:rFonts w:ascii="Verdana" w:eastAsia="Calibri" w:hAnsi="Verdana" w:cs="Arial"/>
          <w:sz w:val="20"/>
          <w:szCs w:val="20"/>
        </w:rPr>
        <w:t xml:space="preserve">Water Supply 19 (2): 653-661. </w:t>
      </w:r>
      <w:hyperlink r:id="rId61" w:tgtFrame="_blank" w:history="1">
        <w:r w:rsidR="006536E7">
          <w:rPr>
            <w:rStyle w:val="af9"/>
            <w:rFonts w:ascii="Verdana" w:eastAsia="Calibri" w:hAnsi="Verdana" w:cs="Arial"/>
            <w:sz w:val="20"/>
            <w:szCs w:val="20"/>
          </w:rPr>
          <w:t>https://doi.org/10.2166/ws.2018.171</w:t>
        </w:r>
      </w:hyperlink>
    </w:p>
    <w:p w:rsidR="005C3F63" w:rsidRDefault="006536E7">
      <w:pPr>
        <w:widowControl w:val="0"/>
        <w:rPr>
          <w:rFonts w:ascii="Verdana" w:eastAsia="Calibri" w:hAnsi="Verdana"/>
          <w:sz w:val="20"/>
          <w:szCs w:val="20"/>
        </w:rPr>
      </w:pPr>
      <w:r>
        <w:rPr>
          <w:rFonts w:ascii="Verdana" w:eastAsia="Calibri" w:hAnsi="Verdana"/>
          <w:bCs/>
          <w:sz w:val="20"/>
          <w:szCs w:val="20"/>
          <w:shd w:val="clear" w:color="auto" w:fill="FFFFFF"/>
        </w:rPr>
        <w:t>D. Santillán, V. Sotés, A. Iglesias and L. Garrote</w:t>
      </w:r>
      <w:r>
        <w:rPr>
          <w:rFonts w:ascii="Verdana" w:eastAsia="Calibri" w:hAnsi="Verdana"/>
          <w:bCs/>
          <w:sz w:val="20"/>
          <w:szCs w:val="20"/>
          <w:shd w:val="clear" w:color="auto" w:fill="FFFFFF"/>
          <w:lang w:val="uk-UA"/>
        </w:rPr>
        <w:t xml:space="preserve"> (2019)</w:t>
      </w:r>
      <w:r>
        <w:rPr>
          <w:rFonts w:ascii="Verdana" w:eastAsia="Calibri" w:hAnsi="Verdana"/>
          <w:bCs/>
          <w:sz w:val="20"/>
          <w:szCs w:val="20"/>
          <w:shd w:val="clear" w:color="auto" w:fill="FFFFFF"/>
        </w:rPr>
        <w:t xml:space="preserve">. </w:t>
      </w:r>
      <w:r>
        <w:rPr>
          <w:rFonts w:ascii="Verdana" w:eastAsia="Calibri" w:hAnsi="Verdana"/>
          <w:sz w:val="20"/>
          <w:szCs w:val="20"/>
        </w:rPr>
        <w:t xml:space="preserve">Adapting viticulture to climate change in the Mediterranean region: Evaluations accounting for spatial differences in the producers-climate interactions. </w:t>
      </w:r>
      <w:r>
        <w:rPr>
          <w:rFonts w:ascii="Verdana" w:eastAsia="Calibri" w:hAnsi="Verdana"/>
          <w:i/>
          <w:sz w:val="20"/>
          <w:szCs w:val="20"/>
        </w:rPr>
        <w:t>BIO Web Conf.</w:t>
      </w:r>
      <w:r>
        <w:rPr>
          <w:rFonts w:ascii="Verdana" w:eastAsia="Calibri" w:hAnsi="Verdana"/>
          <w:sz w:val="20"/>
          <w:szCs w:val="20"/>
        </w:rPr>
        <w:t xml:space="preserve"> </w:t>
      </w:r>
      <w:r>
        <w:rPr>
          <w:rFonts w:ascii="Verdana" w:eastAsia="Calibri" w:hAnsi="Verdana"/>
          <w:bCs/>
          <w:sz w:val="20"/>
          <w:szCs w:val="20"/>
        </w:rPr>
        <w:t>Volume</w:t>
      </w:r>
      <w:r>
        <w:rPr>
          <w:rFonts w:ascii="Verdana" w:eastAsia="Calibri" w:hAnsi="Verdana"/>
          <w:b/>
          <w:bCs/>
          <w:sz w:val="20"/>
          <w:szCs w:val="20"/>
        </w:rPr>
        <w:t> </w:t>
      </w:r>
      <w:r>
        <w:rPr>
          <w:rFonts w:ascii="Verdana" w:eastAsia="Calibri" w:hAnsi="Verdana"/>
          <w:sz w:val="20"/>
          <w:szCs w:val="20"/>
        </w:rPr>
        <w:t xml:space="preserve">12. </w:t>
      </w:r>
      <w:hyperlink r:id="rId62" w:history="1">
        <w:r>
          <w:rPr>
            <w:rStyle w:val="af9"/>
            <w:rFonts w:ascii="Verdana" w:eastAsia="Calibri" w:hAnsi="Verdana"/>
            <w:sz w:val="20"/>
            <w:szCs w:val="20"/>
          </w:rPr>
          <w:t>https://doi.org/10.1051/bioconf/20191201001</w:t>
        </w:r>
      </w:hyperlink>
    </w:p>
    <w:p w:rsidR="005C3F63" w:rsidRDefault="00085067">
      <w:pPr>
        <w:widowControl w:val="0"/>
        <w:outlineLvl w:val="0"/>
        <w:rPr>
          <w:rFonts w:ascii="Verdana" w:eastAsia="Calibri" w:hAnsi="Verdana"/>
          <w:sz w:val="20"/>
          <w:szCs w:val="20"/>
        </w:rPr>
      </w:pPr>
      <w:hyperlink r:id="rId63" w:anchor="!" w:history="1">
        <w:r w:rsidR="006536E7">
          <w:rPr>
            <w:rStyle w:val="af9"/>
            <w:rFonts w:ascii="Verdana" w:hAnsi="Verdana" w:cs="Arial"/>
            <w:sz w:val="20"/>
            <w:szCs w:val="20"/>
            <w:lang w:eastAsia="ru-RU"/>
          </w:rPr>
          <w:t>Katherine L.Christ</w:t>
        </w:r>
      </w:hyperlink>
      <w:r w:rsidR="006536E7">
        <w:rPr>
          <w:rFonts w:ascii="Verdana" w:hAnsi="Verdana" w:cs="Arial"/>
          <w:sz w:val="20"/>
          <w:szCs w:val="20"/>
          <w:lang w:eastAsia="ru-RU"/>
        </w:rPr>
        <w:t xml:space="preserve"> (</w:t>
      </w:r>
      <w:r w:rsidR="006536E7">
        <w:rPr>
          <w:rFonts w:ascii="Verdana" w:hAnsi="Verdana" w:cs="Arial"/>
          <w:sz w:val="20"/>
          <w:szCs w:val="20"/>
          <w:lang w:val="uk-UA" w:eastAsia="ru-RU"/>
        </w:rPr>
        <w:t>2014</w:t>
      </w:r>
      <w:r w:rsidR="006536E7">
        <w:rPr>
          <w:rFonts w:ascii="Verdana" w:hAnsi="Verdana" w:cs="Arial"/>
          <w:sz w:val="20"/>
          <w:szCs w:val="20"/>
          <w:lang w:eastAsia="ru-RU"/>
        </w:rPr>
        <w:t>)</w:t>
      </w:r>
      <w:r w:rsidR="006536E7">
        <w:rPr>
          <w:rFonts w:ascii="Verdana" w:hAnsi="Verdana" w:cs="Arial"/>
          <w:sz w:val="20"/>
          <w:szCs w:val="20"/>
          <w:lang w:val="uk-UA" w:eastAsia="ru-RU"/>
        </w:rPr>
        <w:t>.</w:t>
      </w:r>
      <w:r w:rsidR="006536E7">
        <w:rPr>
          <w:rFonts w:ascii="Verdana" w:hAnsi="Verdana" w:cs="Arial"/>
          <w:sz w:val="20"/>
          <w:szCs w:val="20"/>
          <w:lang w:eastAsia="ru-RU"/>
        </w:rPr>
        <w:t xml:space="preserve"> </w:t>
      </w:r>
      <w:r w:rsidR="006536E7">
        <w:rPr>
          <w:rFonts w:ascii="Verdana" w:hAnsi="Verdana"/>
          <w:bCs/>
          <w:kern w:val="36"/>
          <w:sz w:val="20"/>
          <w:szCs w:val="20"/>
          <w:lang w:eastAsia="ru-RU"/>
        </w:rPr>
        <w:t>Water management accounting and the wine supply chain: Empirical evidence from Australia</w:t>
      </w:r>
      <w:bookmarkStart w:id="209" w:name="bau1"/>
      <w:r w:rsidR="006536E7">
        <w:rPr>
          <w:rFonts w:ascii="Verdana" w:hAnsi="Verdana"/>
          <w:bCs/>
          <w:kern w:val="36"/>
          <w:sz w:val="20"/>
          <w:szCs w:val="20"/>
          <w:lang w:eastAsia="ru-RU"/>
        </w:rPr>
        <w:t>.</w:t>
      </w:r>
      <w:r w:rsidR="006536E7">
        <w:rPr>
          <w:rFonts w:ascii="Verdana" w:hAnsi="Verdana"/>
          <w:b/>
          <w:bCs/>
          <w:kern w:val="36"/>
          <w:sz w:val="20"/>
          <w:szCs w:val="20"/>
          <w:lang w:eastAsia="ru-RU"/>
        </w:rPr>
        <w:t xml:space="preserve"> </w:t>
      </w:r>
      <w:bookmarkEnd w:id="209"/>
      <w:r w:rsidR="006536E7">
        <w:rPr>
          <w:rFonts w:ascii="Verdana" w:eastAsia="Calibri" w:hAnsi="Verdana" w:cs="Arial"/>
          <w:i/>
          <w:sz w:val="20"/>
          <w:szCs w:val="20"/>
        </w:rPr>
        <w:fldChar w:fldCharType="begin"/>
      </w:r>
      <w:r w:rsidR="006536E7">
        <w:rPr>
          <w:rFonts w:ascii="Verdana" w:eastAsia="Calibri" w:hAnsi="Verdana" w:cs="Arial"/>
          <w:i/>
          <w:sz w:val="20"/>
          <w:szCs w:val="20"/>
        </w:rPr>
        <w:instrText xml:space="preserve"> HYPERLINK "https://www.sciencedirect.com/science/journal/08908389" \o "Go to The British Accounting Review on ScienceDirect" </w:instrText>
      </w:r>
      <w:r w:rsidR="006536E7">
        <w:rPr>
          <w:rFonts w:ascii="Verdana" w:eastAsia="Calibri" w:hAnsi="Verdana" w:cs="Arial"/>
          <w:i/>
          <w:sz w:val="20"/>
          <w:szCs w:val="20"/>
        </w:rPr>
        <w:fldChar w:fldCharType="separate"/>
      </w:r>
      <w:r w:rsidR="006536E7">
        <w:rPr>
          <w:rStyle w:val="af9"/>
          <w:rFonts w:ascii="Verdana" w:eastAsia="Calibri" w:hAnsi="Verdana" w:cs="Arial"/>
          <w:i/>
          <w:sz w:val="20"/>
          <w:szCs w:val="20"/>
        </w:rPr>
        <w:t>The British Accounting Review</w:t>
      </w:r>
      <w:r w:rsidR="006536E7">
        <w:rPr>
          <w:rFonts w:ascii="Verdana" w:eastAsia="Calibri" w:hAnsi="Verdana" w:cs="Arial"/>
          <w:i/>
          <w:sz w:val="20"/>
          <w:szCs w:val="20"/>
        </w:rPr>
        <w:fldChar w:fldCharType="end"/>
      </w:r>
      <w:r w:rsidR="006536E7">
        <w:rPr>
          <w:rFonts w:ascii="Verdana" w:eastAsia="Calibri" w:hAnsi="Verdana" w:cs="Arial"/>
          <w:sz w:val="20"/>
          <w:szCs w:val="20"/>
        </w:rPr>
        <w:t xml:space="preserve"> </w:t>
      </w:r>
      <w:hyperlink r:id="rId64" w:tooltip="Go to table of contents for this volume/issue" w:history="1">
        <w:r w:rsidR="006536E7">
          <w:rPr>
            <w:rStyle w:val="af9"/>
            <w:rFonts w:ascii="Verdana" w:eastAsia="Calibri" w:hAnsi="Verdana" w:cs="Arial"/>
            <w:sz w:val="20"/>
            <w:szCs w:val="20"/>
          </w:rPr>
          <w:t>Volume 46, Issue 4</w:t>
        </w:r>
      </w:hyperlink>
      <w:r w:rsidR="006536E7">
        <w:rPr>
          <w:rFonts w:ascii="Verdana" w:eastAsia="Calibri" w:hAnsi="Verdana" w:cs="Arial"/>
          <w:sz w:val="20"/>
          <w:szCs w:val="20"/>
        </w:rPr>
        <w:t xml:space="preserve">, 379-396. </w:t>
      </w:r>
      <w:hyperlink r:id="rId65" w:tgtFrame="_blank" w:tooltip="Persistent link using digital object identifier" w:history="1">
        <w:r w:rsidR="006536E7">
          <w:rPr>
            <w:rStyle w:val="af9"/>
            <w:rFonts w:ascii="Verdana" w:eastAsia="Calibri" w:hAnsi="Verdana" w:cs="Arial"/>
            <w:sz w:val="20"/>
            <w:szCs w:val="20"/>
          </w:rPr>
          <w:t>https://doi.org/10.1016/j.bar.2014.10.003</w:t>
        </w:r>
      </w:hyperlink>
    </w:p>
    <w:p w:rsidR="005C3F63" w:rsidRDefault="006536E7">
      <w:pPr>
        <w:widowControl w:val="0"/>
        <w:shd w:val="clear" w:color="auto" w:fill="FFFFFF"/>
        <w:rPr>
          <w:rFonts w:ascii="Verdana" w:eastAsiaTheme="minorHAnsi" w:hAnsi="Verdana" w:cstheme="minorBidi"/>
          <w:sz w:val="20"/>
          <w:szCs w:val="20"/>
        </w:rPr>
      </w:pPr>
      <w:r>
        <w:rPr>
          <w:rFonts w:ascii="Verdana" w:hAnsi="Verdana"/>
          <w:sz w:val="20"/>
          <w:szCs w:val="20"/>
        </w:rPr>
        <w:t xml:space="preserve">Avidzba A. M. (2000). Agroecological resources as a basis of strategy of revival of viticulture of Crimea: author's ref. dis. … Dr. s.-g. Science: 06.01.08. UAAS, </w:t>
      </w:r>
      <w:r>
        <w:rPr>
          <w:rFonts w:ascii="Verdana" w:hAnsi="Verdana"/>
          <w:i/>
          <w:sz w:val="20"/>
          <w:szCs w:val="20"/>
        </w:rPr>
        <w:t>Institute of Grapes and Wine "Magarach".</w:t>
      </w:r>
      <w:r>
        <w:rPr>
          <w:rFonts w:ascii="Verdana" w:hAnsi="Verdana"/>
          <w:sz w:val="20"/>
          <w:szCs w:val="20"/>
        </w:rPr>
        <w:t xml:space="preserve"> Yalta, 30p.</w:t>
      </w:r>
    </w:p>
    <w:p w:rsidR="005C3F63" w:rsidRDefault="006536E7">
      <w:pPr>
        <w:widowControl w:val="0"/>
        <w:rPr>
          <w:rFonts w:ascii="Verdana" w:hAnsi="Verdana"/>
          <w:spacing w:val="-2"/>
          <w:sz w:val="20"/>
          <w:szCs w:val="20"/>
        </w:rPr>
      </w:pPr>
      <w:r>
        <w:rPr>
          <w:rFonts w:ascii="Verdana" w:hAnsi="Verdana"/>
          <w:spacing w:val="-2"/>
          <w:sz w:val="20"/>
          <w:szCs w:val="20"/>
        </w:rPr>
        <w:t xml:space="preserve">Garkusha O.M. (2002). Strategy of restoration and highly effective functioning of the viticultural and winemaking subcomplex of the agro-industrial complex of Ukraine in the conditions of market economy: dis. … Dr. Econ. Science: 08.07.02. </w:t>
      </w:r>
      <w:r>
        <w:rPr>
          <w:rFonts w:ascii="Verdana" w:hAnsi="Verdana"/>
          <w:i/>
          <w:spacing w:val="-2"/>
          <w:sz w:val="20"/>
          <w:szCs w:val="20"/>
        </w:rPr>
        <w:t>Mykolayiv state agrarian academy</w:t>
      </w:r>
      <w:r>
        <w:rPr>
          <w:rFonts w:ascii="Verdana" w:hAnsi="Verdana"/>
          <w:spacing w:val="-2"/>
          <w:sz w:val="20"/>
          <w:szCs w:val="20"/>
        </w:rPr>
        <w:t>. Mykolaiv, 370p.</w:t>
      </w:r>
    </w:p>
    <w:p w:rsidR="005C3F63" w:rsidRDefault="006536E7">
      <w:pPr>
        <w:widowControl w:val="0"/>
        <w:rPr>
          <w:rFonts w:ascii="Verdana" w:hAnsi="Verdana"/>
          <w:sz w:val="20"/>
          <w:szCs w:val="20"/>
        </w:rPr>
      </w:pPr>
      <w:r>
        <w:rPr>
          <w:rFonts w:ascii="Verdana" w:hAnsi="Verdana"/>
          <w:sz w:val="20"/>
          <w:szCs w:val="20"/>
        </w:rPr>
        <w:t xml:space="preserve">June I.I. (2008). Development and increase of efficiency of infrastructure of the regional market of agricultural products. </w:t>
      </w:r>
      <w:r>
        <w:rPr>
          <w:rFonts w:ascii="Verdana" w:hAnsi="Verdana"/>
          <w:i/>
          <w:sz w:val="20"/>
          <w:szCs w:val="20"/>
        </w:rPr>
        <w:t>Mykolayiv.</w:t>
      </w:r>
      <w:r>
        <w:rPr>
          <w:rFonts w:ascii="Verdana" w:hAnsi="Verdana"/>
          <w:sz w:val="20"/>
          <w:szCs w:val="20"/>
        </w:rPr>
        <w:t xml:space="preserve"> 231 p.</w:t>
      </w:r>
    </w:p>
    <w:p w:rsidR="005C3F63" w:rsidRDefault="006536E7">
      <w:pPr>
        <w:widowControl w:val="0"/>
        <w:rPr>
          <w:rFonts w:ascii="Verdana" w:eastAsia="Calibri" w:hAnsi="Verdana" w:cs="Helvetica"/>
          <w:sz w:val="20"/>
          <w:szCs w:val="20"/>
          <w:shd w:val="clear" w:color="auto" w:fill="CAE7FF"/>
        </w:rPr>
      </w:pPr>
      <w:r>
        <w:rPr>
          <w:rFonts w:ascii="Verdana" w:hAnsi="Verdana"/>
          <w:sz w:val="20"/>
          <w:szCs w:val="20"/>
        </w:rPr>
        <w:t xml:space="preserve">Mossakovsky V.B. (2008). Cost accounting and costing of wine products. </w:t>
      </w:r>
      <w:r>
        <w:rPr>
          <w:rFonts w:ascii="Verdana" w:hAnsi="Verdana"/>
          <w:i/>
          <w:sz w:val="20"/>
          <w:szCs w:val="20"/>
        </w:rPr>
        <w:t xml:space="preserve">Accounting and </w:t>
      </w:r>
      <w:r>
        <w:rPr>
          <w:rFonts w:ascii="Verdana" w:hAnsi="Verdana"/>
          <w:i/>
          <w:sz w:val="20"/>
          <w:szCs w:val="20"/>
        </w:rPr>
        <w:lastRenderedPageBreak/>
        <w:t>finance of agro-industrial complex</w:t>
      </w:r>
      <w:r>
        <w:rPr>
          <w:rFonts w:ascii="Verdana" w:hAnsi="Verdana"/>
          <w:sz w:val="20"/>
          <w:szCs w:val="20"/>
        </w:rPr>
        <w:t>. URL:http://magazine.faaf.org.ua/content/view/802/35/</w:t>
      </w:r>
    </w:p>
    <w:p w:rsidR="005C3F63" w:rsidRDefault="006536E7">
      <w:pPr>
        <w:widowControl w:val="0"/>
        <w:rPr>
          <w:rFonts w:ascii="Verdana" w:eastAsiaTheme="minorHAnsi" w:hAnsi="Verdana" w:cstheme="minorBidi"/>
          <w:spacing w:val="-2"/>
          <w:sz w:val="20"/>
          <w:szCs w:val="20"/>
        </w:rPr>
      </w:pPr>
      <w:r>
        <w:rPr>
          <w:rFonts w:ascii="Verdana" w:hAnsi="Verdana"/>
          <w:spacing w:val="-2"/>
          <w:sz w:val="20"/>
          <w:szCs w:val="20"/>
        </w:rPr>
        <w:t xml:space="preserve">Dunaeva M.V. (2011). Features of cost accounting and costing in the wine industry. </w:t>
      </w:r>
      <w:r>
        <w:rPr>
          <w:rFonts w:ascii="Verdana" w:hAnsi="Verdana"/>
          <w:i/>
          <w:spacing w:val="-2"/>
          <w:sz w:val="20"/>
          <w:szCs w:val="20"/>
        </w:rPr>
        <w:t>The formation of a market economy: Coll. Science. wash. Special. issue</w:t>
      </w:r>
      <w:r>
        <w:rPr>
          <w:rFonts w:ascii="Verdana" w:hAnsi="Verdana"/>
          <w:spacing w:val="-2"/>
          <w:sz w:val="20"/>
          <w:szCs w:val="20"/>
        </w:rPr>
        <w:t>: at 2 p.m. Organizational and legal forms of agro-industrial formations: state, prospects and impact on the development of rural areas. Кyiv. KNEU. Part 2. 374-379.</w:t>
      </w:r>
    </w:p>
    <w:p w:rsidR="005C3F63" w:rsidRDefault="006536E7">
      <w:pPr>
        <w:widowControl w:val="0"/>
        <w:rPr>
          <w:rFonts w:ascii="Verdana" w:eastAsia="Calibri" w:hAnsi="Verdana"/>
          <w:sz w:val="20"/>
          <w:szCs w:val="20"/>
        </w:rPr>
      </w:pPr>
      <w:r>
        <w:rPr>
          <w:rFonts w:ascii="Verdana" w:eastAsia="Calibri" w:hAnsi="Verdana"/>
          <w:sz w:val="20"/>
          <w:szCs w:val="20"/>
        </w:rPr>
        <w:t xml:space="preserve">Official website statistics: </w:t>
      </w:r>
      <w:hyperlink r:id="rId66" w:history="1">
        <w:r>
          <w:rPr>
            <w:rStyle w:val="af9"/>
            <w:rFonts w:ascii="Verdana" w:hAnsi="Verdana"/>
            <w:sz w:val="20"/>
            <w:szCs w:val="20"/>
          </w:rPr>
          <w:t>http://www.ukrstat.gov.ua/</w:t>
        </w:r>
      </w:hyperlink>
    </w:p>
    <w:p w:rsidR="005C3F63" w:rsidRDefault="006536E7">
      <w:pPr>
        <w:widowControl w:val="0"/>
        <w:rPr>
          <w:rFonts w:ascii="Verdana" w:eastAsiaTheme="minorHAnsi" w:hAnsi="Verdana" w:cstheme="minorBidi"/>
          <w:sz w:val="20"/>
          <w:szCs w:val="20"/>
        </w:rPr>
      </w:pPr>
      <w:r>
        <w:rPr>
          <w:rFonts w:ascii="Verdana" w:eastAsia="Calibri" w:hAnsi="Verdana"/>
          <w:sz w:val="20"/>
          <w:szCs w:val="20"/>
        </w:rPr>
        <w:t xml:space="preserve">Basyuk D.I. (2014). Socio-economic conditions for the development of wine tourism in Ukraine. </w:t>
      </w:r>
      <w:r>
        <w:rPr>
          <w:rFonts w:ascii="Verdana" w:eastAsia="Calibri" w:hAnsi="Verdana"/>
          <w:i/>
          <w:sz w:val="20"/>
          <w:szCs w:val="20"/>
        </w:rPr>
        <w:t>Drinks. Technology and innovation</w:t>
      </w:r>
      <w:r>
        <w:rPr>
          <w:rFonts w:ascii="Verdana" w:eastAsia="Calibri" w:hAnsi="Verdana"/>
          <w:sz w:val="20"/>
          <w:szCs w:val="20"/>
        </w:rPr>
        <w:t>. №10.26-30.</w:t>
      </w:r>
    </w:p>
    <w:p w:rsidR="005C3F63" w:rsidRDefault="006536E7">
      <w:pPr>
        <w:widowControl w:val="0"/>
        <w:rPr>
          <w:rFonts w:ascii="Verdana" w:hAnsi="Verdana"/>
          <w:sz w:val="20"/>
          <w:szCs w:val="20"/>
        </w:rPr>
      </w:pPr>
      <w:r>
        <w:rPr>
          <w:rStyle w:val="af7"/>
          <w:rFonts w:ascii="Verdana" w:hAnsi="Verdana" w:cs="Arial"/>
          <w:b w:val="0"/>
          <w:bCs w:val="0"/>
          <w:sz w:val="20"/>
          <w:szCs w:val="20"/>
        </w:rPr>
        <w:t>The best Ukrainian wines: those who choose sommelier. (2020). Economic truth. URL</w:t>
      </w:r>
      <w:r>
        <w:rPr>
          <w:rStyle w:val="af7"/>
          <w:rFonts w:ascii="Verdana" w:hAnsi="Verdana" w:cs="Arial"/>
          <w:sz w:val="20"/>
          <w:szCs w:val="20"/>
        </w:rPr>
        <w:t>:</w:t>
      </w:r>
      <w:hyperlink r:id="rId67" w:history="1">
        <w:r>
          <w:rPr>
            <w:rStyle w:val="af9"/>
            <w:rFonts w:ascii="Verdana" w:hAnsi="Verdana"/>
            <w:sz w:val="20"/>
            <w:szCs w:val="20"/>
          </w:rPr>
          <w:t>https://www.epravda.com.ua/publications/2020/01/6/655513/</w:t>
        </w:r>
      </w:hyperlink>
    </w:p>
    <w:p w:rsidR="005C3F63" w:rsidRDefault="006536E7">
      <w:pPr>
        <w:widowControl w:val="0"/>
        <w:rPr>
          <w:rFonts w:ascii="Verdana" w:hAnsi="Verdana"/>
          <w:iCs/>
          <w:spacing w:val="-2"/>
          <w:sz w:val="20"/>
          <w:szCs w:val="20"/>
        </w:rPr>
      </w:pPr>
      <w:r>
        <w:rPr>
          <w:rFonts w:ascii="Verdana" w:hAnsi="Verdana"/>
          <w:bCs/>
          <w:spacing w:val="-2"/>
          <w:sz w:val="20"/>
          <w:szCs w:val="20"/>
        </w:rPr>
        <w:t xml:space="preserve">Kondrich V.I. (2015). Features of the wine industry and their impact on the accounting system. </w:t>
      </w:r>
      <w:r>
        <w:rPr>
          <w:rFonts w:ascii="Verdana" w:hAnsi="Verdana"/>
          <w:bCs/>
          <w:i/>
          <w:spacing w:val="-2"/>
          <w:sz w:val="20"/>
          <w:szCs w:val="20"/>
        </w:rPr>
        <w:t>Scientific Bulletin of Kherson State University</w:t>
      </w:r>
      <w:r>
        <w:rPr>
          <w:rFonts w:ascii="Verdana" w:hAnsi="Verdana"/>
          <w:bCs/>
          <w:spacing w:val="-2"/>
          <w:sz w:val="20"/>
          <w:szCs w:val="20"/>
        </w:rPr>
        <w:t xml:space="preserve">. Issue 12. Part 2. </w:t>
      </w:r>
      <w:r>
        <w:rPr>
          <w:rFonts w:ascii="Verdana" w:hAnsi="Verdana"/>
          <w:iCs/>
          <w:spacing w:val="-2"/>
          <w:sz w:val="20"/>
          <w:szCs w:val="20"/>
        </w:rPr>
        <w:t>189- 192</w:t>
      </w:r>
    </w:p>
    <w:p w:rsidR="005C3F63" w:rsidRDefault="006536E7">
      <w:pPr>
        <w:jc w:val="left"/>
        <w:rPr>
          <w:rFonts w:ascii="Verdana" w:hAnsi="Verdana"/>
          <w:iCs/>
          <w:spacing w:val="-2"/>
          <w:sz w:val="20"/>
          <w:szCs w:val="20"/>
        </w:rPr>
      </w:pPr>
      <w:r>
        <w:rPr>
          <w:rFonts w:ascii="Verdana" w:hAnsi="Verdana"/>
          <w:iCs/>
          <w:spacing w:val="-2"/>
          <w:sz w:val="20"/>
          <w:szCs w:val="20"/>
        </w:rPr>
        <w:br w:type="page"/>
      </w:r>
    </w:p>
    <w:p w:rsidR="005C3F63" w:rsidRDefault="006536E7">
      <w:pPr>
        <w:pStyle w:val="1"/>
        <w:spacing w:before="0" w:after="240"/>
        <w:rPr>
          <w:rFonts w:cs="Times New Roman"/>
          <w:b w:val="0"/>
          <w:bCs w:val="0"/>
          <w:szCs w:val="24"/>
        </w:rPr>
      </w:pPr>
      <w:bookmarkStart w:id="210" w:name="_Toc47951508"/>
      <w:r>
        <w:rPr>
          <w:rFonts w:cs="Times New Roman"/>
          <w:szCs w:val="24"/>
        </w:rPr>
        <w:lastRenderedPageBreak/>
        <w:t>Accounting and analytical provision of corporations risk management: social responsibility issues</w:t>
      </w:r>
      <w:bookmarkEnd w:id="210"/>
    </w:p>
    <w:p w:rsidR="005C3F63" w:rsidRDefault="006536E7">
      <w:pPr>
        <w:pStyle w:val="Autor"/>
      </w:pPr>
      <w:bookmarkStart w:id="211" w:name="_Toc47948974"/>
      <w:bookmarkStart w:id="212" w:name="_Toc47949288"/>
      <w:bookmarkStart w:id="213" w:name="_Toc47951509"/>
      <w:bookmarkStart w:id="214" w:name="_Toc47951443"/>
      <w:bookmarkStart w:id="215" w:name="_Toc47951351"/>
      <w:r>
        <w:t>Lyudmyla Chyzhevska</w:t>
      </w:r>
      <w:r>
        <w:rPr>
          <w:vertAlign w:val="superscript"/>
        </w:rPr>
        <w:t>1</w:t>
      </w:r>
      <w:r>
        <w:t>, Serhii Lehenchuk</w:t>
      </w:r>
      <w:r>
        <w:rPr>
          <w:vertAlign w:val="superscript"/>
        </w:rPr>
        <w:t>2</w:t>
      </w:r>
      <w:bookmarkEnd w:id="211"/>
      <w:r>
        <w:t>, Iryna Vyhivska</w:t>
      </w:r>
      <w:r>
        <w:rPr>
          <w:vertAlign w:val="superscript"/>
        </w:rPr>
        <w:t>3</w:t>
      </w:r>
      <w:bookmarkEnd w:id="212"/>
      <w:bookmarkEnd w:id="213"/>
      <w:bookmarkEnd w:id="214"/>
      <w:bookmarkEnd w:id="215"/>
    </w:p>
    <w:p w:rsidR="005C3F63" w:rsidRDefault="006536E7">
      <w:pPr>
        <w:jc w:val="center"/>
        <w:rPr>
          <w:rFonts w:ascii="Verdana" w:hAnsi="Verdana"/>
          <w:sz w:val="18"/>
          <w:szCs w:val="18"/>
        </w:rPr>
      </w:pPr>
      <w:r>
        <w:rPr>
          <w:rFonts w:ascii="Verdana" w:hAnsi="Verdana"/>
          <w:sz w:val="18"/>
          <w:szCs w:val="18"/>
          <w:vertAlign w:val="superscript"/>
        </w:rPr>
        <w:t xml:space="preserve">1 </w:t>
      </w:r>
      <w:r>
        <w:rPr>
          <w:rFonts w:ascii="Verdana" w:hAnsi="Verdana"/>
          <w:sz w:val="18"/>
          <w:szCs w:val="18"/>
        </w:rPr>
        <w:t>Zhytomyr Polytechnic State University</w:t>
      </w:r>
    </w:p>
    <w:p w:rsidR="005C3F63" w:rsidRDefault="006536E7">
      <w:pPr>
        <w:jc w:val="center"/>
        <w:rPr>
          <w:rFonts w:ascii="Verdana" w:hAnsi="Verdana"/>
          <w:sz w:val="18"/>
          <w:szCs w:val="18"/>
        </w:rPr>
      </w:pPr>
      <w:r>
        <w:rPr>
          <w:rFonts w:ascii="Verdana" w:hAnsi="Verdana"/>
          <w:sz w:val="18"/>
          <w:szCs w:val="18"/>
        </w:rPr>
        <w:t>Faculty of Business and Service sector, Department of Accounting and Auditing</w:t>
      </w:r>
    </w:p>
    <w:p w:rsidR="005C3F63" w:rsidRDefault="006536E7">
      <w:pPr>
        <w:jc w:val="center"/>
        <w:rPr>
          <w:rFonts w:ascii="Verdana" w:hAnsi="Verdana"/>
          <w:sz w:val="18"/>
          <w:szCs w:val="18"/>
        </w:rPr>
      </w:pPr>
      <w:r>
        <w:rPr>
          <w:rFonts w:ascii="Verdana" w:hAnsi="Verdana"/>
          <w:sz w:val="18"/>
          <w:szCs w:val="18"/>
        </w:rPr>
        <w:t>Chudnivska Street b. 103, 10005 Zhytomyr, Ukraine</w:t>
      </w:r>
    </w:p>
    <w:p w:rsidR="005C3F63" w:rsidRDefault="006536E7">
      <w:pPr>
        <w:jc w:val="center"/>
        <w:rPr>
          <w:rFonts w:ascii="Verdana" w:hAnsi="Verdana"/>
          <w:sz w:val="18"/>
          <w:szCs w:val="18"/>
          <w:lang w:val="de-DE"/>
        </w:rPr>
      </w:pPr>
      <w:r>
        <w:rPr>
          <w:rFonts w:ascii="Verdana" w:hAnsi="Verdana"/>
          <w:sz w:val="18"/>
          <w:szCs w:val="18"/>
          <w:lang w:val="de-DE"/>
        </w:rPr>
        <w:t xml:space="preserve">E-mail: </w:t>
      </w:r>
      <w:hyperlink r:id="rId68" w:history="1">
        <w:r>
          <w:rPr>
            <w:rStyle w:val="af9"/>
            <w:rFonts w:ascii="Verdana" w:hAnsi="Verdana"/>
            <w:sz w:val="18"/>
            <w:szCs w:val="18"/>
            <w:lang w:val="de-DE"/>
          </w:rPr>
          <w:t>chizhev</w:t>
        </w:r>
      </w:hyperlink>
      <w:r>
        <w:rPr>
          <w:rStyle w:val="af9"/>
          <w:rFonts w:ascii="Verdana" w:hAnsi="Verdana"/>
          <w:sz w:val="18"/>
          <w:szCs w:val="18"/>
          <w:lang w:val="de-DE"/>
        </w:rPr>
        <w:t>@ztu.edu.ua</w:t>
      </w:r>
    </w:p>
    <w:p w:rsidR="005C3F63" w:rsidRDefault="005C3F63">
      <w:pPr>
        <w:jc w:val="center"/>
        <w:rPr>
          <w:rFonts w:ascii="Verdana" w:hAnsi="Verdana"/>
          <w:sz w:val="18"/>
          <w:szCs w:val="18"/>
          <w:lang w:val="de-DE"/>
        </w:rPr>
      </w:pPr>
    </w:p>
    <w:p w:rsidR="005C3F63" w:rsidRDefault="006536E7">
      <w:pPr>
        <w:jc w:val="center"/>
        <w:rPr>
          <w:rFonts w:ascii="Verdana" w:hAnsi="Verdana"/>
          <w:sz w:val="18"/>
          <w:szCs w:val="18"/>
        </w:rPr>
      </w:pPr>
      <w:r>
        <w:rPr>
          <w:rFonts w:ascii="Verdana" w:hAnsi="Verdana"/>
          <w:sz w:val="18"/>
          <w:szCs w:val="18"/>
          <w:vertAlign w:val="superscript"/>
        </w:rPr>
        <w:t xml:space="preserve">2 </w:t>
      </w:r>
      <w:r>
        <w:rPr>
          <w:rFonts w:ascii="Verdana" w:hAnsi="Verdana"/>
          <w:sz w:val="18"/>
          <w:szCs w:val="18"/>
        </w:rPr>
        <w:t>Zhytomyr Polytechnic State University</w:t>
      </w:r>
    </w:p>
    <w:p w:rsidR="005C3F63" w:rsidRDefault="006536E7">
      <w:pPr>
        <w:jc w:val="center"/>
        <w:rPr>
          <w:rFonts w:ascii="Verdana" w:hAnsi="Verdana"/>
          <w:sz w:val="18"/>
          <w:szCs w:val="18"/>
        </w:rPr>
      </w:pPr>
      <w:r>
        <w:rPr>
          <w:rFonts w:ascii="Verdana" w:hAnsi="Verdana"/>
          <w:sz w:val="18"/>
          <w:szCs w:val="18"/>
        </w:rPr>
        <w:t>Faculty of Business and Service sector, Department of Accounting and Auditing</w:t>
      </w:r>
    </w:p>
    <w:p w:rsidR="005C3F63" w:rsidRDefault="006536E7">
      <w:pPr>
        <w:jc w:val="center"/>
        <w:rPr>
          <w:rFonts w:ascii="Verdana" w:hAnsi="Verdana"/>
          <w:sz w:val="18"/>
          <w:szCs w:val="18"/>
        </w:rPr>
      </w:pPr>
      <w:r>
        <w:rPr>
          <w:rFonts w:ascii="Verdana" w:hAnsi="Verdana"/>
          <w:sz w:val="18"/>
          <w:szCs w:val="18"/>
        </w:rPr>
        <w:t>Chudnivska Street b. 103, 10005 Zhytomyr, Ukraine</w:t>
      </w:r>
    </w:p>
    <w:p w:rsidR="005C3F63" w:rsidRDefault="006536E7">
      <w:pPr>
        <w:jc w:val="center"/>
        <w:rPr>
          <w:rFonts w:ascii="Verdana" w:hAnsi="Verdana"/>
          <w:sz w:val="18"/>
          <w:szCs w:val="18"/>
          <w:lang w:val="de-DE"/>
        </w:rPr>
      </w:pPr>
      <w:r>
        <w:rPr>
          <w:rFonts w:ascii="Verdana" w:hAnsi="Verdana"/>
          <w:sz w:val="18"/>
          <w:szCs w:val="18"/>
          <w:lang w:val="de-DE"/>
        </w:rPr>
        <w:t xml:space="preserve">E-mail: </w:t>
      </w:r>
      <w:hyperlink r:id="rId69" w:history="1">
        <w:r>
          <w:rPr>
            <w:rStyle w:val="af9"/>
            <w:rFonts w:ascii="Verdana" w:hAnsi="Verdana"/>
            <w:sz w:val="18"/>
            <w:szCs w:val="18"/>
            <w:lang w:val="de-DE"/>
          </w:rPr>
          <w:t>lsf@ztu.edu.ua</w:t>
        </w:r>
      </w:hyperlink>
    </w:p>
    <w:p w:rsidR="005C3F63" w:rsidRDefault="005C3F63">
      <w:pPr>
        <w:jc w:val="center"/>
        <w:rPr>
          <w:rFonts w:ascii="Verdana" w:hAnsi="Verdana"/>
          <w:sz w:val="18"/>
          <w:szCs w:val="18"/>
          <w:lang w:val="de-DE"/>
        </w:rPr>
      </w:pPr>
    </w:p>
    <w:p w:rsidR="005C3F63" w:rsidRDefault="006536E7">
      <w:pPr>
        <w:jc w:val="center"/>
        <w:rPr>
          <w:rFonts w:ascii="Verdana" w:hAnsi="Verdana"/>
          <w:sz w:val="18"/>
          <w:szCs w:val="18"/>
        </w:rPr>
      </w:pPr>
      <w:r>
        <w:rPr>
          <w:rFonts w:ascii="Verdana" w:hAnsi="Verdana"/>
          <w:sz w:val="18"/>
          <w:szCs w:val="18"/>
          <w:vertAlign w:val="superscript"/>
        </w:rPr>
        <w:t xml:space="preserve">3 </w:t>
      </w:r>
      <w:r>
        <w:rPr>
          <w:rFonts w:ascii="Verdana" w:hAnsi="Verdana"/>
          <w:sz w:val="18"/>
          <w:szCs w:val="18"/>
        </w:rPr>
        <w:t>Zhytomyr Polytechnic State University</w:t>
      </w:r>
    </w:p>
    <w:p w:rsidR="005C3F63" w:rsidRDefault="006536E7">
      <w:pPr>
        <w:jc w:val="center"/>
        <w:rPr>
          <w:rFonts w:ascii="Verdana" w:hAnsi="Verdana"/>
          <w:sz w:val="18"/>
          <w:szCs w:val="18"/>
        </w:rPr>
      </w:pPr>
      <w:r>
        <w:rPr>
          <w:rFonts w:ascii="Verdana" w:hAnsi="Verdana"/>
          <w:sz w:val="18"/>
          <w:szCs w:val="18"/>
        </w:rPr>
        <w:t>Faculty of Business and Service sector, Department of Accounting and Auditing</w:t>
      </w:r>
    </w:p>
    <w:p w:rsidR="005C3F63" w:rsidRDefault="006536E7">
      <w:pPr>
        <w:jc w:val="center"/>
        <w:rPr>
          <w:rFonts w:ascii="Verdana" w:hAnsi="Verdana"/>
          <w:sz w:val="18"/>
          <w:szCs w:val="18"/>
        </w:rPr>
      </w:pPr>
      <w:r>
        <w:rPr>
          <w:rFonts w:ascii="Verdana" w:hAnsi="Verdana"/>
          <w:sz w:val="18"/>
          <w:szCs w:val="18"/>
        </w:rPr>
        <w:t>Chudnivska Street b. 103, 10005 Zhytomyr, Ukraine</w:t>
      </w:r>
    </w:p>
    <w:p w:rsidR="005C3F63" w:rsidRDefault="006536E7">
      <w:pPr>
        <w:jc w:val="center"/>
        <w:rPr>
          <w:rFonts w:ascii="Verdana" w:hAnsi="Verdana"/>
          <w:sz w:val="18"/>
          <w:szCs w:val="18"/>
          <w:lang w:val="de-DE"/>
        </w:rPr>
      </w:pPr>
      <w:r>
        <w:rPr>
          <w:rFonts w:ascii="Verdana" w:hAnsi="Verdana"/>
          <w:sz w:val="18"/>
          <w:szCs w:val="18"/>
          <w:lang w:val="de-DE"/>
        </w:rPr>
        <w:t xml:space="preserve">E-mail: </w:t>
      </w:r>
      <w:hyperlink r:id="rId70" w:history="1">
        <w:r>
          <w:rPr>
            <w:rStyle w:val="af9"/>
            <w:rFonts w:ascii="Verdana" w:hAnsi="Verdana"/>
            <w:sz w:val="18"/>
            <w:szCs w:val="18"/>
            <w:lang w:val="de-DE"/>
          </w:rPr>
          <w:t>ssec_irina@ztu.edu.ua</w:t>
        </w:r>
      </w:hyperlink>
    </w:p>
    <w:p w:rsidR="005C3F63" w:rsidRDefault="005C3F63">
      <w:pPr>
        <w:jc w:val="center"/>
        <w:rPr>
          <w:rFonts w:ascii="Verdana" w:hAnsi="Verdana"/>
          <w:sz w:val="18"/>
          <w:szCs w:val="18"/>
        </w:rPr>
      </w:pPr>
    </w:p>
    <w:p w:rsidR="005C3F63" w:rsidRDefault="006536E7">
      <w:pPr>
        <w:rPr>
          <w:rFonts w:ascii="Verdana" w:hAnsi="Verdana"/>
          <w:i/>
          <w:spacing w:val="-4"/>
          <w:sz w:val="20"/>
          <w:szCs w:val="20"/>
        </w:rPr>
      </w:pPr>
      <w:r>
        <w:rPr>
          <w:rFonts w:ascii="Verdana" w:hAnsi="Verdana"/>
          <w:b/>
          <w:i/>
          <w:spacing w:val="-4"/>
          <w:sz w:val="20"/>
          <w:szCs w:val="20"/>
          <w:lang w:val="sk-SK"/>
        </w:rPr>
        <w:t xml:space="preserve">Abstract: </w:t>
      </w:r>
      <w:r>
        <w:rPr>
          <w:rFonts w:ascii="Verdana" w:hAnsi="Verdana"/>
          <w:i/>
          <w:spacing w:val="-4"/>
          <w:sz w:val="20"/>
          <w:szCs w:val="20"/>
        </w:rPr>
        <w:t>In today's economic environment uncertainty and risk overwhelm any business. A large number of risks are inherent in socially responsible business, which necessitates the need for enhanced monitoring and management, the effectiveness of the risk management system and requires finding new directions for its development. Analysis of the annual reports of socially responsible companies (on the example of enterprises of agro-industrial complex) will enable to identify the risks inherent in their activities, methods of managing them as well as to establish the extent to which the issue of quantifying the negative effects of risks and opportunities can be identified. Suggestions are made to increase the effectiveness of the risk management system of socially responsible companies through international risk management certification. The directions of development of the risk management system in terms of quantitative measurement of the consequences of risks and opportunities with the purpose of meeting the information needs of stakeholders have been identified</w:t>
      </w:r>
    </w:p>
    <w:p w:rsidR="005C3F63" w:rsidRDefault="005C3F63">
      <w:pPr>
        <w:rPr>
          <w:rFonts w:ascii="Verdana" w:hAnsi="Verdana"/>
          <w:i/>
          <w:sz w:val="12"/>
          <w:szCs w:val="12"/>
          <w:lang w:val="sk-SK"/>
        </w:rPr>
      </w:pPr>
    </w:p>
    <w:p w:rsidR="005C3F63" w:rsidRDefault="006536E7">
      <w:pPr>
        <w:rPr>
          <w:rFonts w:ascii="Verdana" w:hAnsi="Verdana"/>
          <w:i/>
          <w:sz w:val="20"/>
          <w:szCs w:val="20"/>
          <w:lang w:val="sk-SK"/>
        </w:rPr>
      </w:pPr>
      <w:r>
        <w:rPr>
          <w:rFonts w:ascii="Verdana" w:hAnsi="Verdana"/>
          <w:b/>
          <w:i/>
          <w:sz w:val="20"/>
          <w:szCs w:val="20"/>
          <w:lang w:val="sk-SK"/>
        </w:rPr>
        <w:t>Keywords:</w:t>
      </w:r>
      <w:r>
        <w:rPr>
          <w:rFonts w:ascii="Verdana" w:hAnsi="Verdana"/>
          <w:i/>
          <w:sz w:val="20"/>
          <w:szCs w:val="20"/>
          <w:lang w:val="sk-SK"/>
        </w:rPr>
        <w:t xml:space="preserve"> </w:t>
      </w:r>
      <w:r>
        <w:rPr>
          <w:rFonts w:ascii="Verdana" w:hAnsi="Verdana"/>
          <w:i/>
          <w:sz w:val="20"/>
          <w:szCs w:val="20"/>
          <w:lang w:eastAsia="uk-UA"/>
        </w:rPr>
        <w:t>management, risk, social responsibility, corporations, management report</w:t>
      </w:r>
      <w:r>
        <w:rPr>
          <w:rFonts w:ascii="Verdana" w:hAnsi="Verdana"/>
          <w:i/>
          <w:sz w:val="20"/>
          <w:szCs w:val="20"/>
          <w:lang w:val="sk-SK"/>
        </w:rPr>
        <w:t xml:space="preserve"> </w:t>
      </w:r>
    </w:p>
    <w:p w:rsidR="005C3F63" w:rsidRDefault="005C3F63">
      <w:pPr>
        <w:pStyle w:val="04-Anotacijostekstas"/>
        <w:spacing w:before="0"/>
        <w:ind w:left="0" w:right="0"/>
        <w:jc w:val="left"/>
        <w:rPr>
          <w:rFonts w:ascii="Verdana" w:hAnsi="Verdana"/>
          <w:i/>
          <w:lang w:val="sk-SK"/>
        </w:rPr>
      </w:pPr>
    </w:p>
    <w:p w:rsidR="005C3F63" w:rsidRDefault="006536E7">
      <w:pPr>
        <w:pStyle w:val="04-Anotacijostekstas"/>
        <w:spacing w:before="0"/>
        <w:ind w:left="0" w:right="0"/>
        <w:jc w:val="left"/>
        <w:rPr>
          <w:rFonts w:ascii="Verdana" w:hAnsi="Verdana"/>
          <w:i/>
          <w:lang w:val="sk-SK"/>
        </w:rPr>
      </w:pPr>
      <w:r>
        <w:rPr>
          <w:rFonts w:ascii="Verdana" w:hAnsi="Verdana"/>
          <w:i/>
          <w:lang w:val="sk-SK"/>
        </w:rPr>
        <w:t>JEL codes: M41, D81, G32</w:t>
      </w:r>
    </w:p>
    <w:p w:rsidR="005C3F63" w:rsidRDefault="005C3F63">
      <w:pPr>
        <w:shd w:val="clear" w:color="auto" w:fill="FFFFFF"/>
        <w:ind w:firstLine="709"/>
        <w:jc w:val="center"/>
        <w:rPr>
          <w:rFonts w:ascii="Verdana" w:hAnsi="Verdana" w:cs="Arial"/>
          <w:b/>
          <w:color w:val="222222"/>
          <w:sz w:val="12"/>
          <w:szCs w:val="12"/>
          <w:shd w:val="clear" w:color="auto" w:fill="FFFFFF"/>
          <w:lang w:val="sk-SK"/>
        </w:rPr>
      </w:pPr>
    </w:p>
    <w:p w:rsidR="005C3F63" w:rsidRDefault="006536E7">
      <w:pPr>
        <w:rPr>
          <w:rFonts w:ascii="Verdana" w:hAnsi="Verdana"/>
          <w:b/>
          <w:sz w:val="20"/>
          <w:szCs w:val="20"/>
          <w:lang w:eastAsia="ru-RU"/>
        </w:rPr>
      </w:pPr>
      <w:r>
        <w:rPr>
          <w:rStyle w:val="KapitolaChar"/>
          <w:rFonts w:eastAsiaTheme="minorHAnsi"/>
          <w:lang w:val="cs-CZ"/>
        </w:rPr>
        <w:t>Introduction</w:t>
      </w:r>
    </w:p>
    <w:p w:rsidR="005C3F63" w:rsidRDefault="005C3F63">
      <w:pPr>
        <w:rPr>
          <w:rFonts w:ascii="Verdana" w:hAnsi="Verdana"/>
          <w:b/>
          <w:sz w:val="12"/>
          <w:szCs w:val="12"/>
          <w:lang w:eastAsia="ru-RU"/>
        </w:rPr>
      </w:pPr>
    </w:p>
    <w:p w:rsidR="005C3F63" w:rsidRDefault="006536E7">
      <w:pPr>
        <w:rPr>
          <w:rFonts w:ascii="Verdana" w:hAnsi="Verdana"/>
          <w:spacing w:val="-4"/>
          <w:sz w:val="20"/>
          <w:szCs w:val="20"/>
        </w:rPr>
      </w:pPr>
      <w:r>
        <w:rPr>
          <w:rFonts w:ascii="Verdana" w:hAnsi="Verdana"/>
          <w:spacing w:val="-4"/>
          <w:sz w:val="20"/>
          <w:szCs w:val="20"/>
        </w:rPr>
        <w:t>Any business activity is aimed at making a profit, but making a profit is not the ultimate goal of a socially responsible business. Businesses are aware of the importance of having a positive impact on their country, region and city, as well as creating favorable conditions for improving the well-being of society, ending negative demographic processes and environmental disasters. Considering that a significant amount of risks are inherent in a socially responsible business, there is a need for enhanced monitoring and risk management of the company's activities and finding directions for development and improving the efficiency of the risk management system. Imperfection and inconsistency of risk management of companies, as well as the contradiction of the risk management system with the modern needs of stakeholders lead to the problem of completeness and significance of disclosure of aspects of socially responsible business in conditions of risk and uncertainty, on the decision of which our research is directed. The problem of the effectiveness of the risk management system and the results of its operation in providing stakeholders with information about risks, their consequences and management actions remains urgently insufficiently studied.</w:t>
      </w:r>
    </w:p>
    <w:p w:rsidR="005C3F63" w:rsidRDefault="005C3F63">
      <w:pPr>
        <w:rPr>
          <w:rFonts w:ascii="Verdana" w:hAnsi="Verdana"/>
          <w:spacing w:val="-4"/>
          <w:sz w:val="20"/>
          <w:szCs w:val="20"/>
        </w:rPr>
      </w:pPr>
    </w:p>
    <w:p w:rsidR="005C3F63" w:rsidRDefault="006536E7">
      <w:pPr>
        <w:rPr>
          <w:rStyle w:val="KapitolaChar"/>
          <w:rFonts w:eastAsiaTheme="minorHAnsi"/>
          <w:lang w:val="cs-CZ"/>
        </w:rPr>
      </w:pPr>
      <w:r>
        <w:rPr>
          <w:rStyle w:val="KapitolaChar"/>
          <w:rFonts w:eastAsiaTheme="minorHAnsi"/>
          <w:lang w:val="cs-CZ"/>
        </w:rPr>
        <w:t>Methodology and Data</w:t>
      </w:r>
    </w:p>
    <w:p w:rsidR="005C3F63" w:rsidRDefault="005C3F63">
      <w:pPr>
        <w:rPr>
          <w:rFonts w:ascii="Verdana" w:hAnsi="Verdana"/>
          <w:b/>
          <w:sz w:val="12"/>
          <w:szCs w:val="12"/>
        </w:rPr>
      </w:pPr>
    </w:p>
    <w:p w:rsidR="005C3F63" w:rsidRDefault="006536E7">
      <w:pPr>
        <w:rPr>
          <w:rFonts w:ascii="Verdana" w:hAnsi="Verdana"/>
          <w:sz w:val="20"/>
          <w:szCs w:val="20"/>
        </w:rPr>
      </w:pPr>
      <w:r>
        <w:rPr>
          <w:rFonts w:ascii="Verdana" w:hAnsi="Verdana"/>
          <w:sz w:val="20"/>
          <w:szCs w:val="20"/>
        </w:rPr>
        <w:t xml:space="preserve">To reduce or avoid the negative impact of risks and related other phenomena and processes, it is necessary to implement measures and procedures of the risk </w:t>
      </w:r>
      <w:r>
        <w:rPr>
          <w:rFonts w:ascii="Verdana" w:hAnsi="Verdana"/>
          <w:sz w:val="20"/>
          <w:szCs w:val="20"/>
        </w:rPr>
        <w:lastRenderedPageBreak/>
        <w:t>management system that allow to effectively manage the risks of companies and minimize threats to the entity. Given the uncertainty of the economic conditions of large companies (corporations), they are characterized by high risk in all areas and aspects of activity. At the same time, in the successful case, they are guaranteed great benefits, including huge profits. Taking into account the fact that large companies in accordance with their structure and purpose are specific entities, this raises the mandatory question of implementing and regulating the risk management system, considering the peculiarities of the operation of such companies in the market. Therefore, let’s consider in more detail the essence and importance of implementing a risk management system in the management of companies.</w:t>
      </w:r>
    </w:p>
    <w:p w:rsidR="005C3F63" w:rsidRDefault="006536E7">
      <w:pPr>
        <w:rPr>
          <w:rFonts w:ascii="Verdana" w:hAnsi="Verdana"/>
          <w:spacing w:val="-3"/>
          <w:sz w:val="20"/>
          <w:szCs w:val="20"/>
        </w:rPr>
      </w:pPr>
      <w:r>
        <w:rPr>
          <w:rFonts w:ascii="Verdana" w:hAnsi="Verdana"/>
          <w:spacing w:val="-3"/>
          <w:sz w:val="20"/>
          <w:szCs w:val="20"/>
        </w:rPr>
        <w:t>The main purpose of risk management is to reduce or eliminate possible losses from risk, so the definition of principles and functions of risk management are essential for the application of risk management in the enterprise (</w:t>
      </w:r>
      <w:r>
        <w:rPr>
          <w:rFonts w:ascii="Verdana" w:hAnsi="Verdana"/>
          <w:iCs/>
          <w:sz w:val="20"/>
          <w:szCs w:val="20"/>
        </w:rPr>
        <w:t xml:space="preserve">Vyhivska </w:t>
      </w:r>
      <w:r>
        <w:rPr>
          <w:rFonts w:ascii="Verdana" w:hAnsi="Verdana"/>
          <w:sz w:val="20"/>
          <w:szCs w:val="20"/>
          <w:lang w:val="cs-CZ"/>
        </w:rPr>
        <w:t xml:space="preserve">et al., 2019; </w:t>
      </w:r>
      <w:r>
        <w:rPr>
          <w:rFonts w:ascii="Verdana" w:hAnsi="Verdana"/>
          <w:sz w:val="20"/>
          <w:szCs w:val="20"/>
        </w:rPr>
        <w:t xml:space="preserve">Lehenchuk </w:t>
      </w:r>
      <w:r>
        <w:rPr>
          <w:rFonts w:ascii="Verdana" w:hAnsi="Verdana"/>
          <w:sz w:val="20"/>
          <w:szCs w:val="20"/>
          <w:lang w:val="cs-CZ"/>
        </w:rPr>
        <w:t>et al., 2020).</w:t>
      </w:r>
    </w:p>
    <w:p w:rsidR="005C3F63" w:rsidRDefault="006536E7">
      <w:pPr>
        <w:rPr>
          <w:rFonts w:ascii="Verdana" w:hAnsi="Verdana"/>
          <w:spacing w:val="-3"/>
          <w:sz w:val="20"/>
          <w:szCs w:val="20"/>
        </w:rPr>
      </w:pPr>
      <w:r>
        <w:rPr>
          <w:rFonts w:ascii="Verdana" w:hAnsi="Verdana"/>
          <w:spacing w:val="-3"/>
          <w:sz w:val="20"/>
          <w:szCs w:val="20"/>
        </w:rPr>
        <w:t xml:space="preserve">Risk management is a mandatory element of the social and economic component of the company’s product, which allows to generate its social capital through highly effective socio-economic interaction (Ievdokymov </w:t>
      </w:r>
      <w:r>
        <w:rPr>
          <w:rFonts w:ascii="Verdana" w:hAnsi="Verdana"/>
          <w:sz w:val="20"/>
          <w:szCs w:val="20"/>
          <w:lang w:val="cs-CZ"/>
        </w:rPr>
        <w:t>et al., 2020</w:t>
      </w:r>
      <w:r>
        <w:rPr>
          <w:rFonts w:ascii="Verdana" w:hAnsi="Verdana"/>
          <w:spacing w:val="-3"/>
          <w:sz w:val="20"/>
          <w:szCs w:val="20"/>
        </w:rPr>
        <w:t xml:space="preserve">). </w:t>
      </w:r>
    </w:p>
    <w:p w:rsidR="005C3F63" w:rsidRDefault="006536E7">
      <w:pPr>
        <w:rPr>
          <w:rFonts w:ascii="Verdana" w:hAnsi="Verdana"/>
          <w:spacing w:val="-4"/>
          <w:sz w:val="20"/>
          <w:szCs w:val="20"/>
        </w:rPr>
      </w:pPr>
      <w:r>
        <w:rPr>
          <w:rFonts w:ascii="Verdana" w:hAnsi="Verdana"/>
          <w:spacing w:val="-4"/>
          <w:sz w:val="20"/>
          <w:szCs w:val="20"/>
        </w:rPr>
        <w:t xml:space="preserve">Risk management is not an end in itself, but is auxiliary in relation to the main activities of the organization. Risk management aims to reduce the impact of consequences, not necessarily the consequences themselves. (Ievdokymov </w:t>
      </w:r>
      <w:r>
        <w:rPr>
          <w:rFonts w:ascii="Verdana" w:hAnsi="Verdana"/>
          <w:spacing w:val="-4"/>
          <w:sz w:val="20"/>
          <w:szCs w:val="20"/>
          <w:lang w:val="cs-CZ"/>
        </w:rPr>
        <w:t>et al., 2020</w:t>
      </w:r>
      <w:r>
        <w:rPr>
          <w:rFonts w:ascii="Verdana" w:hAnsi="Verdana"/>
          <w:spacing w:val="-4"/>
          <w:sz w:val="20"/>
          <w:szCs w:val="20"/>
        </w:rPr>
        <w:t xml:space="preserve">). Thus, risk management is an auxiliary set of principles, methods, procedures that eliminate risks or reduce their negative impact on all business processes (purchase, production, sales) and systems (accounting, internal control and audit, planning, investing and financing, management in general). </w:t>
      </w:r>
    </w:p>
    <w:p w:rsidR="005C3F63" w:rsidRDefault="006536E7">
      <w:pPr>
        <w:rPr>
          <w:rFonts w:ascii="Verdana" w:hAnsi="Verdana"/>
          <w:spacing w:val="-4"/>
          <w:sz w:val="20"/>
          <w:szCs w:val="20"/>
        </w:rPr>
      </w:pPr>
      <w:r>
        <w:rPr>
          <w:rFonts w:ascii="Verdana" w:hAnsi="Verdana"/>
          <w:spacing w:val="-4"/>
          <w:sz w:val="20"/>
          <w:szCs w:val="20"/>
        </w:rPr>
        <w:t xml:space="preserve">In order to establish the process of risk management and its minimization in corporations, we consider it is necessary to implement a centralized risk management system. Creating a risk management service is to ensure effective risk management and control to achieve current and strategic goals of the company. </w:t>
      </w:r>
    </w:p>
    <w:p w:rsidR="005C3F63" w:rsidRDefault="006536E7">
      <w:pPr>
        <w:rPr>
          <w:rFonts w:ascii="Verdana" w:hAnsi="Verdana"/>
          <w:spacing w:val="-4"/>
          <w:sz w:val="20"/>
          <w:szCs w:val="20"/>
        </w:rPr>
      </w:pPr>
      <w:r>
        <w:rPr>
          <w:rFonts w:ascii="Verdana" w:hAnsi="Verdana"/>
          <w:spacing w:val="-4"/>
          <w:sz w:val="20"/>
          <w:szCs w:val="20"/>
        </w:rPr>
        <w:t xml:space="preserve">The regulatory framework and documentary support for risk management should be developed, based on the provisions of international standards ISO/IEC and best practices in the field of risk management, with the involvement of international consultants and experts. </w:t>
      </w:r>
    </w:p>
    <w:p w:rsidR="005C3F63" w:rsidRDefault="006536E7">
      <w:pPr>
        <w:rPr>
          <w:rStyle w:val="afa"/>
          <w:rFonts w:ascii="Verdana" w:eastAsiaTheme="majorEastAsia" w:hAnsi="Verdana"/>
          <w:b w:val="0"/>
          <w:spacing w:val="-4"/>
          <w:sz w:val="20"/>
          <w:szCs w:val="20"/>
          <w:shd w:val="clear" w:color="auto" w:fill="FFFFFF"/>
        </w:rPr>
      </w:pPr>
      <w:r>
        <w:rPr>
          <w:rFonts w:ascii="Verdana" w:hAnsi="Verdana"/>
          <w:spacing w:val="-4"/>
          <w:sz w:val="20"/>
          <w:szCs w:val="20"/>
        </w:rPr>
        <w:t>For companies that plan to develop, enter international markets or those that already operate in them, it is important to comply with international standards ISO (International Organization for Standardization). ISO international standards are designed to help enterprises, organizations (regardless of type and form of ownership) for implementation and operation of effective risk management systems. The main standard that regulates issues related to risk management is ISO 31000:2018 “Risk management – Guidelines” , as well as supporting standards ISO/TR 31004:2013 “Risk management – Guidance for the implementation of ISO 31000” and IEC/ISO 31010:2009 “Risk management – Risk assessment techniques”. The last two standards contribute to the effective implementation of ISO 31000 and complement the provisions of the basic standard.</w:t>
      </w:r>
    </w:p>
    <w:p w:rsidR="005C3F63" w:rsidRDefault="006536E7">
      <w:pPr>
        <w:pStyle w:val="af3"/>
        <w:spacing w:before="0" w:beforeAutospacing="0" w:after="0" w:afterAutospacing="0"/>
        <w:jc w:val="both"/>
        <w:rPr>
          <w:rFonts w:ascii="Verdana" w:hAnsi="Verdana"/>
          <w:sz w:val="20"/>
          <w:szCs w:val="20"/>
          <w:shd w:val="clear" w:color="auto" w:fill="FFFFFF"/>
          <w:lang w:val="en-US"/>
        </w:rPr>
      </w:pPr>
      <w:r>
        <w:rPr>
          <w:rFonts w:ascii="Verdana" w:hAnsi="Verdana"/>
          <w:sz w:val="20"/>
          <w:szCs w:val="20"/>
          <w:shd w:val="clear" w:color="auto" w:fill="FFFFFF"/>
          <w:lang w:val="en-US"/>
        </w:rPr>
        <w:t xml:space="preserve">As risks arise in different areas of business management, standards have now been developed to address such issues in different fields. Thus, </w:t>
      </w:r>
      <w:r>
        <w:rPr>
          <w:rStyle w:val="afa"/>
          <w:rFonts w:ascii="Verdana" w:eastAsiaTheme="majorEastAsia" w:hAnsi="Verdana"/>
          <w:sz w:val="20"/>
          <w:szCs w:val="20"/>
          <w:shd w:val="clear" w:color="auto" w:fill="FFFFFF"/>
        </w:rPr>
        <w:t>ISO 45001:2018 “Occupational health and safety management systems – Requirements with guidance for use”</w:t>
      </w:r>
      <w:r>
        <w:rPr>
          <w:rFonts w:ascii="Verdana" w:hAnsi="Verdana"/>
          <w:sz w:val="20"/>
          <w:szCs w:val="20"/>
          <w:shd w:val="clear" w:color="auto" w:fill="FFFFFF"/>
          <w:lang w:val="en-US"/>
        </w:rPr>
        <w:t xml:space="preserve"> and </w:t>
      </w:r>
      <w:r>
        <w:rPr>
          <w:rStyle w:val="afa"/>
          <w:rFonts w:ascii="Verdana" w:eastAsiaTheme="majorEastAsia" w:hAnsi="Verdana"/>
          <w:sz w:val="20"/>
          <w:szCs w:val="20"/>
          <w:shd w:val="clear" w:color="auto" w:fill="FFFFFF"/>
        </w:rPr>
        <w:t>DSTU OHSAS 18001:2010 “Hygiene and labor protection management systems”</w:t>
      </w:r>
      <w:r>
        <w:rPr>
          <w:rFonts w:ascii="Verdana" w:hAnsi="Verdana"/>
          <w:sz w:val="20"/>
          <w:szCs w:val="20"/>
          <w:shd w:val="clear" w:color="auto" w:fill="FFFFFF"/>
          <w:lang w:val="en-US"/>
        </w:rPr>
        <w:t xml:space="preserve"> provide for the implementation of risk-oriented measures for hazard identification, risk assessment and identification of management and control tools.</w:t>
      </w:r>
    </w:p>
    <w:p w:rsidR="005C3F63" w:rsidRDefault="006536E7">
      <w:pPr>
        <w:pStyle w:val="af3"/>
        <w:spacing w:before="0" w:beforeAutospacing="0" w:after="0" w:afterAutospacing="0"/>
        <w:jc w:val="both"/>
        <w:rPr>
          <w:rStyle w:val="afa"/>
          <w:rFonts w:ascii="Verdana" w:eastAsiaTheme="majorEastAsia" w:hAnsi="Verdana"/>
          <w:b w:val="0"/>
          <w:sz w:val="20"/>
          <w:szCs w:val="20"/>
          <w:shd w:val="clear" w:color="auto" w:fill="FFFFFF"/>
        </w:rPr>
      </w:pPr>
      <w:r>
        <w:rPr>
          <w:rStyle w:val="afa"/>
          <w:rFonts w:ascii="Verdana" w:eastAsiaTheme="majorEastAsia" w:hAnsi="Verdana"/>
          <w:sz w:val="20"/>
          <w:szCs w:val="20"/>
          <w:shd w:val="clear" w:color="auto" w:fill="FFFFFF"/>
        </w:rPr>
        <w:t>Equally important in risk management is their identification and information support, which is an important aspect for the company's stakeholders. Currently, the most optimal information resource for stakeholder purposes is the management report and integrated reporting, the concept of which provides for the mandatory disclosure of risks of the entity.</w:t>
      </w:r>
    </w:p>
    <w:p w:rsidR="005C3F63" w:rsidRDefault="006536E7">
      <w:pPr>
        <w:pStyle w:val="af3"/>
        <w:spacing w:before="0" w:beforeAutospacing="0" w:after="0" w:afterAutospacing="0"/>
        <w:jc w:val="both"/>
        <w:rPr>
          <w:rStyle w:val="afa"/>
          <w:rFonts w:ascii="Verdana" w:eastAsiaTheme="majorEastAsia" w:hAnsi="Verdana"/>
          <w:b w:val="0"/>
          <w:sz w:val="20"/>
          <w:szCs w:val="20"/>
          <w:shd w:val="clear" w:color="auto" w:fill="FFFFFF"/>
        </w:rPr>
      </w:pPr>
      <w:r>
        <w:rPr>
          <w:rStyle w:val="afa"/>
          <w:rFonts w:ascii="Verdana" w:eastAsiaTheme="majorEastAsia" w:hAnsi="Verdana"/>
          <w:sz w:val="20"/>
          <w:szCs w:val="20"/>
          <w:shd w:val="clear" w:color="auto" w:fill="FFFFFF"/>
        </w:rPr>
        <w:t xml:space="preserve">Therefore, according to the International Standard “Integrated Reporting” (hereinafter – the concept of IR) accounting system and risk management system through reporting should answer the question: “what specific opportunities and risks affect the company's ability to create value in the short, </w:t>
      </w:r>
      <w:r>
        <w:rPr>
          <w:rStyle w:val="afa"/>
          <w:rFonts w:ascii="Verdana" w:eastAsiaTheme="majorEastAsia" w:hAnsi="Verdana"/>
          <w:sz w:val="20"/>
          <w:szCs w:val="20"/>
          <w:shd w:val="clear" w:color="auto" w:fill="FFFFFF"/>
        </w:rPr>
        <w:lastRenderedPageBreak/>
        <w:t>medium and long term, and how an enterprise uses such opportunities and manages such risks?” (</w:t>
      </w:r>
      <w:r>
        <w:rPr>
          <w:rFonts w:ascii="Verdana" w:hAnsi="Verdana"/>
          <w:spacing w:val="-4"/>
          <w:sz w:val="20"/>
          <w:szCs w:val="20"/>
          <w:lang w:val="en-US"/>
        </w:rPr>
        <w:t>ISO 31000</w:t>
      </w:r>
      <w:r>
        <w:rPr>
          <w:rStyle w:val="afa"/>
          <w:rFonts w:ascii="Verdana" w:eastAsiaTheme="majorEastAsia" w:hAnsi="Verdana"/>
          <w:sz w:val="20"/>
          <w:szCs w:val="20"/>
          <w:shd w:val="clear" w:color="auto" w:fill="FFFFFF"/>
        </w:rPr>
        <w:t>).</w:t>
      </w:r>
    </w:p>
    <w:p w:rsidR="005C3F63" w:rsidRDefault="006536E7">
      <w:pPr>
        <w:pStyle w:val="af3"/>
        <w:spacing w:before="0" w:beforeAutospacing="0" w:after="0" w:afterAutospacing="0"/>
        <w:jc w:val="both"/>
        <w:rPr>
          <w:rStyle w:val="afa"/>
          <w:rFonts w:ascii="Verdana" w:eastAsiaTheme="majorEastAsia" w:hAnsi="Verdana"/>
          <w:b w:val="0"/>
          <w:sz w:val="20"/>
          <w:szCs w:val="20"/>
          <w:shd w:val="clear" w:color="auto" w:fill="FFFFFF"/>
        </w:rPr>
      </w:pPr>
      <w:r>
        <w:rPr>
          <w:rStyle w:val="afa"/>
          <w:rFonts w:ascii="Verdana" w:eastAsiaTheme="majorEastAsia" w:hAnsi="Verdana"/>
          <w:sz w:val="20"/>
          <w:szCs w:val="20"/>
          <w:shd w:val="clear" w:color="auto" w:fill="FFFFFF"/>
        </w:rPr>
        <w:t>Thus, according to the concept of IR, the main criteria for presenting information about the risks of companies in integrated reporting should include the source of risks and opportunities, risk assessment (probability of occurrence) and its consequences, risk management, i.e. measures, actions (Table 1).</w:t>
      </w:r>
    </w:p>
    <w:p w:rsidR="005C3F63" w:rsidRDefault="006536E7">
      <w:pPr>
        <w:jc w:val="center"/>
        <w:rPr>
          <w:rFonts w:ascii="Verdana" w:hAnsi="Verdana"/>
          <w:sz w:val="20"/>
          <w:szCs w:val="20"/>
        </w:rPr>
      </w:pPr>
      <w:r>
        <w:rPr>
          <w:rFonts w:ascii="Verdana" w:hAnsi="Verdana"/>
          <w:b/>
          <w:sz w:val="20"/>
          <w:szCs w:val="20"/>
        </w:rPr>
        <w:t>Table 1</w:t>
      </w:r>
      <w:r>
        <w:rPr>
          <w:rFonts w:ascii="Verdana" w:hAnsi="Verdana"/>
          <w:i/>
          <w:sz w:val="20"/>
          <w:szCs w:val="20"/>
        </w:rPr>
        <w:t xml:space="preserve"> </w:t>
      </w:r>
      <w:r>
        <w:rPr>
          <w:rFonts w:ascii="Verdana" w:hAnsi="Verdana"/>
          <w:sz w:val="20"/>
          <w:szCs w:val="20"/>
        </w:rPr>
        <w:t>Criteria for presenting information about the company's risks in integrated reporting according to the IR concept</w:t>
      </w:r>
    </w:p>
    <w:tbl>
      <w:tblPr>
        <w:tblStyle w:val="afb"/>
        <w:tblW w:w="9493" w:type="dxa"/>
        <w:jc w:val="center"/>
        <w:tblLook w:val="04A0" w:firstRow="1" w:lastRow="0" w:firstColumn="1" w:lastColumn="0" w:noHBand="0" w:noVBand="1"/>
      </w:tblPr>
      <w:tblGrid>
        <w:gridCol w:w="1651"/>
        <w:gridCol w:w="4298"/>
        <w:gridCol w:w="3544"/>
      </w:tblGrid>
      <w:tr w:rsidR="005C3F63">
        <w:trPr>
          <w:jc w:val="center"/>
        </w:trPr>
        <w:tc>
          <w:tcPr>
            <w:tcW w:w="1651" w:type="dxa"/>
            <w:vAlign w:val="center"/>
          </w:tcPr>
          <w:p w:rsidR="005C3F63" w:rsidRDefault="006536E7">
            <w:pPr>
              <w:jc w:val="center"/>
              <w:rPr>
                <w:rFonts w:ascii="Verdana" w:hAnsi="Verdana" w:cs="Arial"/>
                <w:sz w:val="20"/>
                <w:szCs w:val="20"/>
              </w:rPr>
            </w:pPr>
            <w:r>
              <w:rPr>
                <w:rFonts w:ascii="Verdana" w:hAnsi="Verdana" w:cs="Arial"/>
                <w:sz w:val="20"/>
                <w:szCs w:val="20"/>
              </w:rPr>
              <w:t>Determination criterion</w:t>
            </w:r>
          </w:p>
        </w:tc>
        <w:tc>
          <w:tcPr>
            <w:tcW w:w="4298" w:type="dxa"/>
            <w:vAlign w:val="center"/>
          </w:tcPr>
          <w:p w:rsidR="005C3F63" w:rsidRDefault="006536E7">
            <w:pPr>
              <w:jc w:val="center"/>
              <w:rPr>
                <w:rFonts w:ascii="Verdana" w:hAnsi="Verdana" w:cs="Arial"/>
                <w:sz w:val="20"/>
                <w:szCs w:val="20"/>
              </w:rPr>
            </w:pPr>
            <w:r>
              <w:rPr>
                <w:rFonts w:ascii="Verdana" w:hAnsi="Verdana" w:cs="Arial"/>
                <w:sz w:val="20"/>
                <w:szCs w:val="20"/>
              </w:rPr>
              <w:t>Characteristics of the risk criterion and its significance for the stakeholder</w:t>
            </w:r>
          </w:p>
        </w:tc>
        <w:tc>
          <w:tcPr>
            <w:tcW w:w="3544" w:type="dxa"/>
          </w:tcPr>
          <w:p w:rsidR="005C3F63" w:rsidRDefault="006536E7">
            <w:pPr>
              <w:jc w:val="center"/>
              <w:rPr>
                <w:rFonts w:ascii="Verdana" w:hAnsi="Verdana" w:cs="Arial"/>
                <w:sz w:val="20"/>
                <w:szCs w:val="20"/>
              </w:rPr>
            </w:pPr>
            <w:r>
              <w:rPr>
                <w:rFonts w:ascii="Verdana" w:hAnsi="Verdana" w:cs="Arial"/>
                <w:sz w:val="20"/>
                <w:szCs w:val="20"/>
              </w:rPr>
              <w:t>Significance criteria for reporting information about risks*</w:t>
            </w:r>
          </w:p>
        </w:tc>
      </w:tr>
      <w:tr w:rsidR="005C3F63">
        <w:trPr>
          <w:jc w:val="center"/>
        </w:trPr>
        <w:tc>
          <w:tcPr>
            <w:tcW w:w="1651" w:type="dxa"/>
            <w:vAlign w:val="center"/>
          </w:tcPr>
          <w:p w:rsidR="005C3F63" w:rsidRDefault="006536E7">
            <w:pPr>
              <w:jc w:val="center"/>
              <w:rPr>
                <w:rFonts w:ascii="Verdana" w:hAnsi="Verdana" w:cs="Arial"/>
                <w:sz w:val="20"/>
                <w:szCs w:val="20"/>
              </w:rPr>
            </w:pPr>
            <w:r>
              <w:rPr>
                <w:rFonts w:ascii="Verdana" w:hAnsi="Verdana" w:cs="Arial"/>
                <w:sz w:val="20"/>
                <w:szCs w:val="20"/>
              </w:rPr>
              <w:t>Source of risks and opportunities</w:t>
            </w:r>
          </w:p>
        </w:tc>
        <w:tc>
          <w:tcPr>
            <w:tcW w:w="4298" w:type="dxa"/>
          </w:tcPr>
          <w:p w:rsidR="005C3F63" w:rsidRDefault="006536E7">
            <w:pPr>
              <w:rPr>
                <w:rFonts w:ascii="Verdana" w:hAnsi="Verdana" w:cs="Arial"/>
                <w:spacing w:val="-4"/>
                <w:sz w:val="20"/>
                <w:szCs w:val="20"/>
                <w:highlight w:val="yellow"/>
              </w:rPr>
            </w:pPr>
            <w:r>
              <w:rPr>
                <w:rFonts w:ascii="Verdana" w:hAnsi="Verdana" w:cs="Arial"/>
                <w:spacing w:val="-4"/>
                <w:sz w:val="20"/>
                <w:szCs w:val="20"/>
              </w:rPr>
              <w:t>Indicate the specific source of risks and opportunities, which may be internal, external or have a mixed nature. Coverage of risks of activity in reporting indicates the openness of the company and its focus on meeting the needs of stakeholders, as well as its social responsibility to society</w:t>
            </w:r>
          </w:p>
        </w:tc>
        <w:tc>
          <w:tcPr>
            <w:tcW w:w="3544" w:type="dxa"/>
            <w:vMerge w:val="restart"/>
          </w:tcPr>
          <w:p w:rsidR="005C3F63" w:rsidRDefault="006536E7">
            <w:pPr>
              <w:rPr>
                <w:rFonts w:ascii="Verdana" w:hAnsi="Verdana" w:cs="Arial"/>
                <w:spacing w:val="-6"/>
                <w:sz w:val="20"/>
                <w:szCs w:val="20"/>
              </w:rPr>
            </w:pPr>
            <w:r>
              <w:rPr>
                <w:rFonts w:ascii="Verdana" w:hAnsi="Verdana" w:cs="Arial"/>
                <w:spacing w:val="-6"/>
                <w:sz w:val="20"/>
                <w:szCs w:val="20"/>
              </w:rPr>
              <w:t xml:space="preserve">1) explanation of the factor and its impact on the strategy of the organization, its business model or capital; 2) significant interaction and interdependence, which allows to understand the causes and consequences; 3) the company's position to this factor; 4) management actions on this factor and their effectiveness (including the actions of the risk management system); 5) the degree of control of the company over this factor; 6) disclosure of quantitative and qualitative information, comparative data for previous periods, targets for future periods. </w:t>
            </w:r>
          </w:p>
          <w:p w:rsidR="005C3F63" w:rsidRDefault="006536E7">
            <w:pPr>
              <w:rPr>
                <w:rFonts w:ascii="Verdana" w:hAnsi="Verdana" w:cs="Arial"/>
                <w:spacing w:val="-7"/>
                <w:sz w:val="20"/>
                <w:szCs w:val="20"/>
                <w:highlight w:val="yellow"/>
              </w:rPr>
            </w:pPr>
            <w:r>
              <w:rPr>
                <w:rFonts w:ascii="Verdana" w:hAnsi="Verdana" w:cs="Arial"/>
                <w:spacing w:val="-7"/>
                <w:sz w:val="20"/>
                <w:szCs w:val="20"/>
              </w:rPr>
              <w:t>If there is uncertainty about any factor, the information about the following uncertainty shall be disclosed: explanation of uncertainty; the range of possible outcomes and related assumptions and possible changes in information if the assumptions described do not occur;  variability, confidence or level of trust associated with the information provided</w:t>
            </w:r>
          </w:p>
        </w:tc>
      </w:tr>
      <w:tr w:rsidR="005C3F63">
        <w:trPr>
          <w:jc w:val="center"/>
        </w:trPr>
        <w:tc>
          <w:tcPr>
            <w:tcW w:w="1651" w:type="dxa"/>
            <w:vAlign w:val="center"/>
          </w:tcPr>
          <w:p w:rsidR="005C3F63" w:rsidRDefault="006536E7">
            <w:pPr>
              <w:jc w:val="center"/>
              <w:rPr>
                <w:rFonts w:ascii="Verdana" w:hAnsi="Verdana" w:cs="Arial"/>
                <w:sz w:val="20"/>
                <w:szCs w:val="20"/>
              </w:rPr>
            </w:pPr>
            <w:r>
              <w:rPr>
                <w:rFonts w:ascii="Verdana" w:hAnsi="Verdana" w:cs="Arial"/>
                <w:sz w:val="20"/>
                <w:szCs w:val="20"/>
              </w:rPr>
              <w:t>Assessment of risk (probability of its occurrence) and its consequences</w:t>
            </w:r>
          </w:p>
        </w:tc>
        <w:tc>
          <w:tcPr>
            <w:tcW w:w="4298" w:type="dxa"/>
          </w:tcPr>
          <w:p w:rsidR="005C3F63" w:rsidRDefault="006536E7">
            <w:pPr>
              <w:rPr>
                <w:rFonts w:ascii="Verdana" w:hAnsi="Verdana" w:cs="Arial"/>
                <w:spacing w:val="-2"/>
                <w:sz w:val="20"/>
                <w:szCs w:val="20"/>
                <w:highlight w:val="yellow"/>
              </w:rPr>
            </w:pPr>
            <w:r>
              <w:rPr>
                <w:rFonts w:ascii="Verdana" w:hAnsi="Verdana" w:cs="Arial"/>
                <w:spacing w:val="-2"/>
                <w:sz w:val="20"/>
                <w:szCs w:val="20"/>
              </w:rPr>
              <w:t>An assessment of the probability of the risk or the possibility and extent of the impact of its consequences in the event of an occurrence is declared. Specific circumstances that may lead to risks or opportunities are indicated. Assessing the probability of risk allows stakeholders to correctly place emphasis on the feasibility of investing and cooperation with the company, the disposal of their capital</w:t>
            </w:r>
          </w:p>
        </w:tc>
        <w:tc>
          <w:tcPr>
            <w:tcW w:w="3544" w:type="dxa"/>
            <w:vMerge/>
          </w:tcPr>
          <w:p w:rsidR="005C3F63" w:rsidRDefault="005C3F63">
            <w:pPr>
              <w:rPr>
                <w:rFonts w:ascii="Verdana" w:hAnsi="Verdana" w:cs="Arial"/>
                <w:sz w:val="20"/>
                <w:szCs w:val="20"/>
                <w:highlight w:val="yellow"/>
              </w:rPr>
            </w:pPr>
          </w:p>
        </w:tc>
      </w:tr>
      <w:tr w:rsidR="005C3F63">
        <w:trPr>
          <w:jc w:val="center"/>
        </w:trPr>
        <w:tc>
          <w:tcPr>
            <w:tcW w:w="1651" w:type="dxa"/>
            <w:vAlign w:val="center"/>
          </w:tcPr>
          <w:p w:rsidR="005C3F63" w:rsidRDefault="006536E7">
            <w:pPr>
              <w:jc w:val="center"/>
              <w:rPr>
                <w:rFonts w:ascii="Verdana" w:hAnsi="Verdana" w:cs="Arial"/>
                <w:sz w:val="20"/>
                <w:szCs w:val="20"/>
              </w:rPr>
            </w:pPr>
            <w:r>
              <w:rPr>
                <w:rFonts w:ascii="Verdana" w:hAnsi="Verdana" w:cs="Arial"/>
                <w:sz w:val="20"/>
                <w:szCs w:val="20"/>
              </w:rPr>
              <w:t>Risk management</w:t>
            </w:r>
          </w:p>
          <w:p w:rsidR="005C3F63" w:rsidRDefault="006536E7">
            <w:pPr>
              <w:jc w:val="center"/>
              <w:rPr>
                <w:rFonts w:ascii="Verdana" w:hAnsi="Verdana" w:cs="Arial"/>
                <w:sz w:val="20"/>
                <w:szCs w:val="20"/>
              </w:rPr>
            </w:pPr>
            <w:r>
              <w:rPr>
                <w:rFonts w:ascii="Verdana" w:hAnsi="Verdana" w:cs="Arial"/>
                <w:sz w:val="20"/>
                <w:szCs w:val="20"/>
              </w:rPr>
              <w:t>(measures, actions)</w:t>
            </w:r>
          </w:p>
        </w:tc>
        <w:tc>
          <w:tcPr>
            <w:tcW w:w="4298" w:type="dxa"/>
          </w:tcPr>
          <w:p w:rsidR="005C3F63" w:rsidRDefault="006536E7">
            <w:pPr>
              <w:rPr>
                <w:rFonts w:ascii="Verdana" w:hAnsi="Verdana" w:cs="Arial"/>
                <w:spacing w:val="-4"/>
                <w:sz w:val="20"/>
                <w:szCs w:val="20"/>
              </w:rPr>
            </w:pPr>
            <w:r>
              <w:rPr>
                <w:rFonts w:ascii="Verdana" w:hAnsi="Verdana" w:cs="Arial"/>
                <w:spacing w:val="-4"/>
                <w:sz w:val="20"/>
                <w:szCs w:val="20"/>
              </w:rPr>
              <w:t>Specific actions are given to reduce and manage key risks, as well as actions to create value through the use of key opportunities, including the definition of relevant strategic goals, strategies, policies, targets and key performance indicators. This allows stakeholders to assess the effectiveness of the company's management system, the scope and scale of actions and measures, their economic feasibility</w:t>
            </w:r>
          </w:p>
        </w:tc>
        <w:tc>
          <w:tcPr>
            <w:tcW w:w="3544" w:type="dxa"/>
            <w:vMerge/>
          </w:tcPr>
          <w:p w:rsidR="005C3F63" w:rsidRDefault="005C3F63">
            <w:pPr>
              <w:rPr>
                <w:rFonts w:ascii="Verdana" w:hAnsi="Verdana" w:cs="Arial"/>
                <w:sz w:val="20"/>
                <w:szCs w:val="20"/>
                <w:highlight w:val="yellow"/>
              </w:rPr>
            </w:pPr>
          </w:p>
        </w:tc>
      </w:tr>
    </w:tbl>
    <w:p w:rsidR="005C3F63" w:rsidRDefault="006536E7">
      <w:pPr>
        <w:pStyle w:val="afd"/>
        <w:ind w:left="0"/>
        <w:rPr>
          <w:rFonts w:ascii="Verdana" w:hAnsi="Verdana" w:cs="Arial"/>
          <w:i/>
          <w:spacing w:val="-4"/>
          <w:sz w:val="18"/>
          <w:szCs w:val="18"/>
        </w:rPr>
      </w:pPr>
      <w:r>
        <w:rPr>
          <w:rFonts w:ascii="Verdana" w:hAnsi="Verdana" w:cs="Arial"/>
          <w:i/>
          <w:spacing w:val="-4"/>
          <w:sz w:val="18"/>
          <w:szCs w:val="18"/>
          <w:lang w:val="uk-UA"/>
        </w:rPr>
        <w:t>*</w:t>
      </w:r>
      <w:r>
        <w:rPr>
          <w:rFonts w:ascii="Verdana" w:hAnsi="Verdana" w:cs="Arial"/>
          <w:i/>
          <w:spacing w:val="-4"/>
          <w:sz w:val="18"/>
          <w:szCs w:val="18"/>
        </w:rPr>
        <w:t>If it is impossible to determine the most important information about the factor, it is necessary to indicate this and name the reason.</w:t>
      </w:r>
    </w:p>
    <w:p w:rsidR="005C3F63" w:rsidRDefault="006536E7">
      <w:pPr>
        <w:pStyle w:val="afd"/>
        <w:ind w:left="0"/>
        <w:jc w:val="center"/>
        <w:rPr>
          <w:rFonts w:ascii="Verdana" w:hAnsi="Verdana"/>
          <w:sz w:val="18"/>
          <w:szCs w:val="18"/>
        </w:rPr>
      </w:pPr>
      <w:r>
        <w:rPr>
          <w:rFonts w:ascii="Verdana" w:hAnsi="Verdana"/>
          <w:sz w:val="18"/>
          <w:szCs w:val="18"/>
        </w:rPr>
        <w:t>Source: systematized on the basis of par. 4.25, par. 4.50 IR-2015, supplemented by the authors</w:t>
      </w:r>
    </w:p>
    <w:p w:rsidR="005C3F63" w:rsidRDefault="005C3F63">
      <w:pPr>
        <w:ind w:firstLine="567"/>
        <w:rPr>
          <w:rFonts w:ascii="Verdana" w:hAnsi="Verdana"/>
          <w:sz w:val="12"/>
          <w:szCs w:val="12"/>
        </w:rPr>
      </w:pPr>
    </w:p>
    <w:p w:rsidR="005C3F63" w:rsidRDefault="006536E7">
      <w:pPr>
        <w:pStyle w:val="af3"/>
        <w:spacing w:before="0" w:beforeAutospacing="0" w:after="0" w:afterAutospacing="0"/>
        <w:jc w:val="both"/>
        <w:rPr>
          <w:rFonts w:ascii="Verdana" w:hAnsi="Verdana"/>
          <w:sz w:val="20"/>
          <w:szCs w:val="20"/>
          <w:lang w:val="en-US"/>
        </w:rPr>
      </w:pPr>
      <w:r>
        <w:rPr>
          <w:rFonts w:ascii="Verdana" w:hAnsi="Verdana"/>
          <w:sz w:val="20"/>
          <w:szCs w:val="20"/>
          <w:lang w:val="en-US"/>
        </w:rPr>
        <w:t>It should also be noted that a significant number of corporations in Ukraine compile final annual reports taking into account the Global Reporting Initiative (GRI standarts), which also defines a number of requirements for companies to disclose information about the risks of activities. According to GRI standards, reporting information is presented in the form of a sustainable development report, which is important for building a reputation as an open and trustworthy company.</w:t>
      </w:r>
    </w:p>
    <w:p w:rsidR="005C3F63" w:rsidRDefault="005C3F63">
      <w:pPr>
        <w:pStyle w:val="af3"/>
        <w:spacing w:before="0" w:beforeAutospacing="0" w:after="0" w:afterAutospacing="0"/>
        <w:jc w:val="both"/>
        <w:rPr>
          <w:rFonts w:ascii="Verdana" w:hAnsi="Verdana"/>
          <w:sz w:val="20"/>
          <w:szCs w:val="20"/>
          <w:lang w:val="en-US"/>
        </w:rPr>
      </w:pPr>
    </w:p>
    <w:p w:rsidR="005C3F63" w:rsidRDefault="006536E7">
      <w:pPr>
        <w:rPr>
          <w:rFonts w:ascii="Verdana" w:hAnsi="Verdana"/>
          <w:b/>
          <w:lang w:val="cs-CZ"/>
        </w:rPr>
      </w:pPr>
      <w:r>
        <w:rPr>
          <w:rFonts w:ascii="Verdana" w:hAnsi="Verdana"/>
          <w:b/>
          <w:lang w:val="cs-CZ"/>
        </w:rPr>
        <w:t>Results and Discussion</w:t>
      </w:r>
    </w:p>
    <w:p w:rsidR="005C3F63" w:rsidRDefault="005C3F63">
      <w:pPr>
        <w:rPr>
          <w:rFonts w:ascii="Verdana" w:hAnsi="Verdana"/>
          <w:b/>
          <w:sz w:val="12"/>
          <w:szCs w:val="12"/>
        </w:rPr>
      </w:pPr>
    </w:p>
    <w:p w:rsidR="005C3F63" w:rsidRDefault="006536E7">
      <w:pPr>
        <w:rPr>
          <w:rFonts w:ascii="Verdana" w:hAnsi="Verdana"/>
          <w:sz w:val="20"/>
          <w:szCs w:val="20"/>
        </w:rPr>
      </w:pPr>
      <w:r>
        <w:rPr>
          <w:rFonts w:ascii="Verdana" w:hAnsi="Verdana"/>
          <w:sz w:val="20"/>
          <w:szCs w:val="20"/>
        </w:rPr>
        <w:t xml:space="preserve">Therefore, let’s compare the degree of disclosure of information about the risks of activity (for example, agricultural companies), the assessment of their degree and the risk management measures provided in their annual reports for 2018 (Table 2). </w:t>
      </w:r>
    </w:p>
    <w:p w:rsidR="005C3F63" w:rsidRDefault="006536E7">
      <w:pPr>
        <w:rPr>
          <w:rFonts w:ascii="Verdana" w:hAnsi="Verdana"/>
          <w:spacing w:val="-4"/>
          <w:sz w:val="20"/>
          <w:szCs w:val="20"/>
        </w:rPr>
      </w:pPr>
      <w:r>
        <w:rPr>
          <w:rFonts w:ascii="Verdana" w:hAnsi="Verdana"/>
          <w:spacing w:val="-4"/>
          <w:sz w:val="20"/>
          <w:szCs w:val="20"/>
        </w:rPr>
        <w:lastRenderedPageBreak/>
        <w:t xml:space="preserve">It should be noted that for the analysis has been used the reports of companies prepared according to both IR and GRI standards, as well as management reports (according to the Law of Ukraine “On Accounting and Financial Reporting in Ukraine”) and annual reports of issuers of securities (according to the Provision of NSSMC on disclosure of information by issuers of securities). This is due to the fact that information on risks is partly of a financial nature and is disclosed in non-financial statements of enterprises (Kubaščíková </w:t>
      </w:r>
      <w:r>
        <w:rPr>
          <w:rFonts w:ascii="Verdana" w:hAnsi="Verdana"/>
          <w:spacing w:val="-4"/>
          <w:sz w:val="20"/>
          <w:szCs w:val="20"/>
          <w:lang w:val="cs-CZ"/>
        </w:rPr>
        <w:t>et al.,</w:t>
      </w:r>
      <w:r>
        <w:rPr>
          <w:rFonts w:ascii="Verdana" w:hAnsi="Verdana"/>
          <w:spacing w:val="-4"/>
          <w:sz w:val="20"/>
          <w:szCs w:val="20"/>
        </w:rPr>
        <w:t xml:space="preserve"> 2019). </w:t>
      </w:r>
    </w:p>
    <w:p w:rsidR="005C3F63" w:rsidRDefault="006536E7">
      <w:pPr>
        <w:rPr>
          <w:rFonts w:ascii="Verdana" w:hAnsi="Verdana"/>
          <w:spacing w:val="-4"/>
          <w:sz w:val="20"/>
          <w:szCs w:val="20"/>
        </w:rPr>
      </w:pPr>
      <w:r>
        <w:rPr>
          <w:rFonts w:ascii="Verdana" w:hAnsi="Verdana"/>
          <w:spacing w:val="-4"/>
          <w:sz w:val="20"/>
          <w:szCs w:val="20"/>
        </w:rPr>
        <w:t>The analysis revealed that the issues of business risks, their consequences, risk management and capabilities of domestic agricultural enterprises are disclosed in the most complete and transparent way in the reports on sustainable development of Agro-Industrial Holding Mironivsky Hliboproduct, Astarta-Kyiv Agro-Industrial Holding, PrJSC Carlsberg Ukraine and in the report on the management of PJSC Obolon (Table 2). The study showed that socially responsible companies in their activities are most affected by: 1) credit risk – 9 companies out of 11 surveyed; 2) liquidity risk – 8; 3) the risk of volatility of world prices, production risk and personnel risk – 7; 4) the risk of changes in interest rates and currency risk – 6; 5) political risk and country risk – 5 companies. Other risks are specific, have a low frequency of information about them in the reports, particular only to individual companies, which may indicate their dependence on the specifics of the business, its geographical location etc.</w:t>
      </w:r>
    </w:p>
    <w:p w:rsidR="005C3F63" w:rsidRDefault="006536E7">
      <w:pPr>
        <w:jc w:val="center"/>
        <w:rPr>
          <w:rFonts w:ascii="Verdana" w:hAnsi="Verdana"/>
          <w:spacing w:val="-2"/>
          <w:sz w:val="20"/>
          <w:szCs w:val="20"/>
        </w:rPr>
      </w:pPr>
      <w:r>
        <w:rPr>
          <w:rFonts w:ascii="Verdana" w:hAnsi="Verdana"/>
          <w:b/>
          <w:sz w:val="20"/>
          <w:szCs w:val="20"/>
        </w:rPr>
        <w:t>Table 2</w:t>
      </w:r>
      <w:r>
        <w:rPr>
          <w:rFonts w:ascii="Verdana" w:hAnsi="Verdana"/>
          <w:i/>
          <w:sz w:val="20"/>
          <w:szCs w:val="20"/>
        </w:rPr>
        <w:t xml:space="preserve"> </w:t>
      </w:r>
      <w:r>
        <w:rPr>
          <w:rFonts w:ascii="Verdana" w:hAnsi="Verdana"/>
          <w:spacing w:val="-2"/>
          <w:sz w:val="20"/>
          <w:szCs w:val="20"/>
        </w:rPr>
        <w:t>Presentation of information on risks, their assessment and risk management in the annual reporting of enterprises of the agro-industrial complex of Ukraine</w:t>
      </w:r>
    </w:p>
    <w:tbl>
      <w:tblPr>
        <w:tblStyle w:val="afb"/>
        <w:tblW w:w="9738" w:type="dxa"/>
        <w:jc w:val="center"/>
        <w:tblLayout w:type="fixed"/>
        <w:tblLook w:val="04A0" w:firstRow="1" w:lastRow="0" w:firstColumn="1" w:lastColumn="0" w:noHBand="0" w:noVBand="1"/>
      </w:tblPr>
      <w:tblGrid>
        <w:gridCol w:w="2263"/>
        <w:gridCol w:w="567"/>
        <w:gridCol w:w="709"/>
        <w:gridCol w:w="850"/>
        <w:gridCol w:w="851"/>
        <w:gridCol w:w="709"/>
        <w:gridCol w:w="851"/>
        <w:gridCol w:w="567"/>
        <w:gridCol w:w="567"/>
        <w:gridCol w:w="567"/>
        <w:gridCol w:w="670"/>
        <w:gridCol w:w="567"/>
      </w:tblGrid>
      <w:tr w:rsidR="005C3F63">
        <w:trPr>
          <w:cantSplit/>
          <w:trHeight w:val="2082"/>
          <w:jc w:val="center"/>
        </w:trPr>
        <w:tc>
          <w:tcPr>
            <w:tcW w:w="2263" w:type="dxa"/>
            <w:vAlign w:val="center"/>
          </w:tcPr>
          <w:p w:rsidR="005C3F63" w:rsidRDefault="006536E7">
            <w:pPr>
              <w:jc w:val="center"/>
              <w:rPr>
                <w:rFonts w:ascii="Verdana" w:hAnsi="Verdana" w:cs="Arial"/>
                <w:sz w:val="20"/>
                <w:szCs w:val="20"/>
              </w:rPr>
            </w:pPr>
            <w:r>
              <w:rPr>
                <w:rFonts w:ascii="Verdana" w:hAnsi="Verdana" w:cs="Arial"/>
                <w:sz w:val="20"/>
                <w:szCs w:val="20"/>
              </w:rPr>
              <w:t>Risk</w:t>
            </w:r>
          </w:p>
        </w:tc>
        <w:tc>
          <w:tcPr>
            <w:tcW w:w="567" w:type="dxa"/>
            <w:textDirection w:val="btLr"/>
            <w:vAlign w:val="center"/>
          </w:tcPr>
          <w:p w:rsidR="005C3F63" w:rsidRDefault="006536E7">
            <w:pPr>
              <w:jc w:val="center"/>
              <w:rPr>
                <w:rFonts w:ascii="Verdana" w:hAnsi="Verdana" w:cs="Arial"/>
                <w:sz w:val="20"/>
                <w:szCs w:val="20"/>
              </w:rPr>
            </w:pPr>
            <w:r>
              <w:rPr>
                <w:rFonts w:ascii="Verdana" w:hAnsi="Verdana" w:cs="Arial"/>
                <w:sz w:val="20"/>
                <w:szCs w:val="20"/>
              </w:rPr>
              <w:t>Astarta-Kyiv Agro-Industrial Holding</w:t>
            </w:r>
          </w:p>
        </w:tc>
        <w:tc>
          <w:tcPr>
            <w:tcW w:w="709" w:type="dxa"/>
            <w:shd w:val="clear" w:color="auto" w:fill="auto"/>
            <w:textDirection w:val="btLr"/>
            <w:vAlign w:val="center"/>
          </w:tcPr>
          <w:p w:rsidR="005C3F63" w:rsidRDefault="006536E7">
            <w:pPr>
              <w:jc w:val="center"/>
              <w:rPr>
                <w:rFonts w:ascii="Verdana" w:hAnsi="Verdana" w:cs="Arial"/>
                <w:sz w:val="20"/>
                <w:szCs w:val="20"/>
              </w:rPr>
            </w:pPr>
            <w:r>
              <w:rPr>
                <w:rFonts w:ascii="Verdana" w:hAnsi="Verdana" w:cs="Arial"/>
                <w:sz w:val="20"/>
                <w:szCs w:val="20"/>
                <w:lang w:eastAsia="ru-RU"/>
              </w:rPr>
              <w:t>PrJSC Carlsberg Ukraine</w:t>
            </w:r>
          </w:p>
        </w:tc>
        <w:tc>
          <w:tcPr>
            <w:tcW w:w="850" w:type="dxa"/>
            <w:shd w:val="clear" w:color="auto" w:fill="auto"/>
            <w:textDirection w:val="btLr"/>
            <w:vAlign w:val="center"/>
          </w:tcPr>
          <w:p w:rsidR="005C3F63" w:rsidRDefault="006536E7">
            <w:pPr>
              <w:jc w:val="center"/>
              <w:rPr>
                <w:rFonts w:ascii="Verdana" w:hAnsi="Verdana" w:cs="Arial"/>
                <w:sz w:val="20"/>
                <w:szCs w:val="20"/>
                <w:lang w:eastAsia="ru-RU"/>
              </w:rPr>
            </w:pPr>
            <w:r>
              <w:rPr>
                <w:rFonts w:ascii="Verdana" w:hAnsi="Verdana" w:cs="Arial"/>
                <w:spacing w:val="-6"/>
                <w:sz w:val="20"/>
                <w:szCs w:val="20"/>
              </w:rPr>
              <w:t>Agro-Industrial Holding Mironivsky Hliboproduct</w:t>
            </w:r>
          </w:p>
        </w:tc>
        <w:tc>
          <w:tcPr>
            <w:tcW w:w="851" w:type="dxa"/>
            <w:shd w:val="clear" w:color="auto" w:fill="auto"/>
            <w:textDirection w:val="btLr"/>
            <w:vAlign w:val="center"/>
          </w:tcPr>
          <w:p w:rsidR="005C3F63" w:rsidRDefault="006536E7">
            <w:pPr>
              <w:jc w:val="center"/>
              <w:rPr>
                <w:rFonts w:ascii="Verdana" w:hAnsi="Verdana" w:cs="Arial"/>
                <w:sz w:val="20"/>
                <w:szCs w:val="20"/>
                <w:lang w:eastAsia="ru-RU"/>
              </w:rPr>
            </w:pPr>
            <w:r>
              <w:rPr>
                <w:rFonts w:ascii="Verdana" w:hAnsi="Verdana" w:cs="Arial"/>
                <w:sz w:val="20"/>
                <w:szCs w:val="20"/>
              </w:rPr>
              <w:t>PrJSC Vetropack Gostomel Glass Factory</w:t>
            </w:r>
          </w:p>
        </w:tc>
        <w:tc>
          <w:tcPr>
            <w:tcW w:w="709" w:type="dxa"/>
            <w:textDirection w:val="btLr"/>
            <w:vAlign w:val="center"/>
          </w:tcPr>
          <w:p w:rsidR="005C3F63" w:rsidRDefault="006536E7">
            <w:pPr>
              <w:jc w:val="center"/>
              <w:rPr>
                <w:rFonts w:ascii="Verdana" w:hAnsi="Verdana" w:cs="Arial"/>
                <w:sz w:val="20"/>
                <w:szCs w:val="20"/>
                <w:lang w:eastAsia="ru-RU"/>
              </w:rPr>
            </w:pPr>
            <w:r>
              <w:rPr>
                <w:rFonts w:ascii="Verdana" w:hAnsi="Verdana" w:cs="Arial"/>
                <w:sz w:val="20"/>
                <w:szCs w:val="20"/>
              </w:rPr>
              <w:t>PJSC Obolon</w:t>
            </w:r>
          </w:p>
        </w:tc>
        <w:tc>
          <w:tcPr>
            <w:tcW w:w="851" w:type="dxa"/>
            <w:textDirection w:val="btLr"/>
            <w:vAlign w:val="center"/>
          </w:tcPr>
          <w:p w:rsidR="005C3F63" w:rsidRDefault="006536E7">
            <w:pPr>
              <w:jc w:val="center"/>
              <w:rPr>
                <w:rFonts w:ascii="Verdana" w:hAnsi="Verdana" w:cs="Arial"/>
                <w:sz w:val="20"/>
                <w:szCs w:val="20"/>
                <w:lang w:eastAsia="ru-RU"/>
              </w:rPr>
            </w:pPr>
            <w:r>
              <w:rPr>
                <w:rFonts w:ascii="Verdana" w:hAnsi="Verdana" w:cs="Arial"/>
                <w:sz w:val="20"/>
                <w:szCs w:val="20"/>
              </w:rPr>
              <w:t>РrJSС Kyiv Confectionery Factory "Roshen"</w:t>
            </w:r>
          </w:p>
        </w:tc>
        <w:tc>
          <w:tcPr>
            <w:tcW w:w="567" w:type="dxa"/>
            <w:textDirection w:val="btLr"/>
            <w:vAlign w:val="center"/>
          </w:tcPr>
          <w:p w:rsidR="005C3F63" w:rsidRDefault="006536E7">
            <w:pPr>
              <w:jc w:val="center"/>
              <w:rPr>
                <w:rFonts w:ascii="Verdana" w:hAnsi="Verdana" w:cs="Arial"/>
                <w:sz w:val="20"/>
                <w:szCs w:val="20"/>
              </w:rPr>
            </w:pPr>
            <w:r>
              <w:rPr>
                <w:rFonts w:ascii="Verdana" w:hAnsi="Verdana" w:cs="Arial"/>
                <w:sz w:val="20"/>
                <w:szCs w:val="20"/>
              </w:rPr>
              <w:t>The Coca-Cola System</w:t>
            </w:r>
          </w:p>
        </w:tc>
        <w:tc>
          <w:tcPr>
            <w:tcW w:w="567" w:type="dxa"/>
            <w:textDirection w:val="btLr"/>
            <w:vAlign w:val="center"/>
          </w:tcPr>
          <w:p w:rsidR="005C3F63" w:rsidRDefault="006536E7">
            <w:pPr>
              <w:jc w:val="center"/>
              <w:rPr>
                <w:rFonts w:ascii="Verdana" w:hAnsi="Verdana" w:cs="Arial"/>
                <w:sz w:val="20"/>
                <w:szCs w:val="20"/>
              </w:rPr>
            </w:pPr>
            <w:r>
              <w:rPr>
                <w:rFonts w:ascii="Verdana" w:hAnsi="Verdana" w:cs="Arial"/>
                <w:sz w:val="20"/>
                <w:szCs w:val="20"/>
              </w:rPr>
              <w:t>PJSC Lebedyn Seed Plant</w:t>
            </w:r>
          </w:p>
        </w:tc>
        <w:tc>
          <w:tcPr>
            <w:tcW w:w="567" w:type="dxa"/>
            <w:textDirection w:val="btLr"/>
            <w:vAlign w:val="center"/>
          </w:tcPr>
          <w:p w:rsidR="005C3F63" w:rsidRDefault="006536E7">
            <w:pPr>
              <w:jc w:val="center"/>
              <w:rPr>
                <w:rFonts w:ascii="Verdana" w:hAnsi="Verdana" w:cs="Arial"/>
                <w:sz w:val="20"/>
                <w:szCs w:val="20"/>
              </w:rPr>
            </w:pPr>
            <w:r>
              <w:rPr>
                <w:rFonts w:ascii="Verdana" w:hAnsi="Verdana" w:cs="Arial"/>
                <w:sz w:val="20"/>
                <w:szCs w:val="20"/>
              </w:rPr>
              <w:t>Goodvalley CSR</w:t>
            </w:r>
          </w:p>
        </w:tc>
        <w:tc>
          <w:tcPr>
            <w:tcW w:w="670" w:type="dxa"/>
            <w:textDirection w:val="btLr"/>
            <w:vAlign w:val="center"/>
          </w:tcPr>
          <w:p w:rsidR="005C3F63" w:rsidRDefault="006536E7">
            <w:pPr>
              <w:jc w:val="center"/>
              <w:rPr>
                <w:rFonts w:ascii="Verdana" w:hAnsi="Verdana" w:cs="Arial"/>
                <w:sz w:val="20"/>
                <w:szCs w:val="20"/>
              </w:rPr>
            </w:pPr>
            <w:r>
              <w:rPr>
                <w:rFonts w:ascii="Verdana" w:hAnsi="Verdana" w:cs="Arial"/>
                <w:sz w:val="20"/>
                <w:szCs w:val="20"/>
              </w:rPr>
              <w:t>PrJSC Lantmannen Axa</w:t>
            </w:r>
          </w:p>
        </w:tc>
        <w:tc>
          <w:tcPr>
            <w:tcW w:w="567" w:type="dxa"/>
            <w:textDirection w:val="btLr"/>
            <w:vAlign w:val="center"/>
          </w:tcPr>
          <w:p w:rsidR="005C3F63" w:rsidRDefault="006536E7">
            <w:pPr>
              <w:jc w:val="center"/>
              <w:rPr>
                <w:rFonts w:ascii="Verdana" w:hAnsi="Verdana" w:cs="Arial"/>
                <w:sz w:val="20"/>
                <w:szCs w:val="20"/>
              </w:rPr>
            </w:pPr>
            <w:r>
              <w:rPr>
                <w:rFonts w:ascii="Verdana" w:hAnsi="Verdana" w:cs="Arial"/>
                <w:sz w:val="20"/>
                <w:szCs w:val="20"/>
              </w:rPr>
              <w:t>The group of companies ATK</w:t>
            </w:r>
          </w:p>
        </w:tc>
      </w:tr>
      <w:tr w:rsidR="005C3F63">
        <w:trPr>
          <w:jc w:val="center"/>
        </w:trPr>
        <w:tc>
          <w:tcPr>
            <w:tcW w:w="2263" w:type="dxa"/>
            <w:vAlign w:val="center"/>
          </w:tcPr>
          <w:p w:rsidR="005C3F63" w:rsidRDefault="006536E7">
            <w:pPr>
              <w:rPr>
                <w:rFonts w:ascii="Verdana" w:hAnsi="Verdana" w:cs="Arial"/>
                <w:sz w:val="20"/>
                <w:szCs w:val="20"/>
              </w:rPr>
            </w:pPr>
            <w:r>
              <w:rPr>
                <w:rFonts w:ascii="Verdana" w:hAnsi="Verdana" w:cs="Arial"/>
                <w:sz w:val="20"/>
                <w:szCs w:val="20"/>
              </w:rPr>
              <w:t>Country risk, %</w:t>
            </w:r>
          </w:p>
        </w:tc>
        <w:tc>
          <w:tcPr>
            <w:tcW w:w="567" w:type="dxa"/>
            <w:vAlign w:val="center"/>
          </w:tcPr>
          <w:p w:rsidR="005C3F63" w:rsidRDefault="006536E7">
            <w:pPr>
              <w:jc w:val="center"/>
              <w:rPr>
                <w:rFonts w:ascii="Verdana" w:hAnsi="Verdana" w:cs="Arial"/>
                <w:spacing w:val="-6"/>
                <w:sz w:val="20"/>
                <w:szCs w:val="20"/>
              </w:rPr>
            </w:pPr>
            <w:r>
              <w:rPr>
                <w:rFonts w:ascii="Verdana" w:hAnsi="Verdana" w:cs="Arial"/>
                <w:spacing w:val="-6"/>
                <w:sz w:val="20"/>
                <w:szCs w:val="20"/>
              </w:rPr>
              <w:t>67</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709" w:type="dxa"/>
            <w:vAlign w:val="center"/>
          </w:tcPr>
          <w:p w:rsidR="005C3F63" w:rsidRDefault="006536E7">
            <w:pPr>
              <w:jc w:val="center"/>
              <w:rPr>
                <w:rFonts w:ascii="Verdana" w:hAnsi="Verdana" w:cs="Arial"/>
                <w:sz w:val="20"/>
                <w:szCs w:val="20"/>
              </w:rPr>
            </w:pPr>
            <w:r>
              <w:rPr>
                <w:rFonts w:ascii="Verdana" w:hAnsi="Verdana" w:cs="Arial"/>
                <w:sz w:val="20"/>
                <w:szCs w:val="20"/>
              </w:rPr>
              <w:t>33</w:t>
            </w:r>
          </w:p>
        </w:tc>
        <w:tc>
          <w:tcPr>
            <w:tcW w:w="851"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r>
      <w:tr w:rsidR="005C3F63">
        <w:trPr>
          <w:jc w:val="center"/>
        </w:trPr>
        <w:tc>
          <w:tcPr>
            <w:tcW w:w="2263" w:type="dxa"/>
            <w:vAlign w:val="center"/>
          </w:tcPr>
          <w:p w:rsidR="005C3F63" w:rsidRDefault="006536E7">
            <w:pPr>
              <w:rPr>
                <w:rFonts w:ascii="Verdana" w:hAnsi="Verdana" w:cs="Arial"/>
                <w:sz w:val="20"/>
                <w:szCs w:val="20"/>
              </w:rPr>
            </w:pPr>
            <w:r>
              <w:rPr>
                <w:rFonts w:ascii="Verdana" w:hAnsi="Verdana" w:cs="Arial"/>
                <w:sz w:val="20"/>
                <w:szCs w:val="20"/>
              </w:rPr>
              <w:t>Legal risk, %</w:t>
            </w:r>
          </w:p>
        </w:tc>
        <w:tc>
          <w:tcPr>
            <w:tcW w:w="567" w:type="dxa"/>
            <w:vAlign w:val="center"/>
          </w:tcPr>
          <w:p w:rsidR="005C3F63" w:rsidRDefault="006536E7">
            <w:pPr>
              <w:jc w:val="center"/>
              <w:rPr>
                <w:rFonts w:ascii="Verdana" w:hAnsi="Verdana" w:cs="Arial"/>
                <w:spacing w:val="-6"/>
                <w:sz w:val="20"/>
                <w:szCs w:val="20"/>
              </w:rPr>
            </w:pPr>
            <w:r>
              <w:rPr>
                <w:rFonts w:ascii="Verdana" w:hAnsi="Verdana" w:cs="Arial"/>
                <w:spacing w:val="-6"/>
                <w:sz w:val="20"/>
                <w:szCs w:val="20"/>
              </w:rPr>
              <w:t>0</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709" w:type="dxa"/>
            <w:vAlign w:val="center"/>
          </w:tcPr>
          <w:p w:rsidR="005C3F63" w:rsidRDefault="006536E7">
            <w:pPr>
              <w:jc w:val="center"/>
              <w:rPr>
                <w:rFonts w:ascii="Verdana" w:hAnsi="Verdana" w:cs="Arial"/>
                <w:sz w:val="20"/>
                <w:szCs w:val="20"/>
              </w:rPr>
            </w:pPr>
            <w:r>
              <w:rPr>
                <w:rFonts w:ascii="Verdana" w:hAnsi="Verdana" w:cs="Arial"/>
                <w:sz w:val="20"/>
                <w:szCs w:val="20"/>
              </w:rPr>
              <w:t>33</w:t>
            </w:r>
          </w:p>
        </w:tc>
        <w:tc>
          <w:tcPr>
            <w:tcW w:w="851"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r>
      <w:tr w:rsidR="005C3F63">
        <w:trPr>
          <w:jc w:val="center"/>
        </w:trPr>
        <w:tc>
          <w:tcPr>
            <w:tcW w:w="2263" w:type="dxa"/>
            <w:vAlign w:val="center"/>
          </w:tcPr>
          <w:p w:rsidR="005C3F63" w:rsidRDefault="006536E7">
            <w:pPr>
              <w:rPr>
                <w:rFonts w:ascii="Verdana" w:hAnsi="Verdana" w:cs="Arial"/>
                <w:sz w:val="20"/>
                <w:szCs w:val="20"/>
              </w:rPr>
            </w:pPr>
            <w:r>
              <w:rPr>
                <w:rFonts w:ascii="Verdana" w:hAnsi="Verdana" w:cs="Arial"/>
                <w:sz w:val="20"/>
                <w:szCs w:val="20"/>
              </w:rPr>
              <w:t>Political risk, %</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33</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709" w:type="dxa"/>
            <w:vAlign w:val="center"/>
          </w:tcPr>
          <w:p w:rsidR="005C3F63" w:rsidRDefault="006536E7">
            <w:pPr>
              <w:jc w:val="center"/>
              <w:rPr>
                <w:rFonts w:ascii="Verdana" w:hAnsi="Verdana" w:cs="Arial"/>
                <w:sz w:val="20"/>
                <w:szCs w:val="20"/>
              </w:rPr>
            </w:pPr>
            <w:r>
              <w:rPr>
                <w:rFonts w:ascii="Verdana" w:hAnsi="Verdana" w:cs="Arial"/>
                <w:sz w:val="20"/>
                <w:szCs w:val="20"/>
              </w:rPr>
              <w:t>33</w:t>
            </w:r>
          </w:p>
        </w:tc>
        <w:tc>
          <w:tcPr>
            <w:tcW w:w="851"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r>
      <w:tr w:rsidR="005C3F63">
        <w:trPr>
          <w:jc w:val="center"/>
        </w:trPr>
        <w:tc>
          <w:tcPr>
            <w:tcW w:w="2263" w:type="dxa"/>
            <w:vAlign w:val="center"/>
          </w:tcPr>
          <w:p w:rsidR="005C3F63" w:rsidRDefault="006536E7">
            <w:pPr>
              <w:rPr>
                <w:rFonts w:ascii="Verdana" w:hAnsi="Verdana" w:cs="Arial"/>
                <w:sz w:val="20"/>
                <w:szCs w:val="20"/>
              </w:rPr>
            </w:pPr>
            <w:r>
              <w:rPr>
                <w:rFonts w:ascii="Verdana" w:hAnsi="Verdana" w:cs="Arial"/>
                <w:sz w:val="20"/>
                <w:szCs w:val="20"/>
              </w:rPr>
              <w:t>Climatic risk, %</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709"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1"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r>
      <w:tr w:rsidR="005C3F63">
        <w:trPr>
          <w:jc w:val="center"/>
        </w:trPr>
        <w:tc>
          <w:tcPr>
            <w:tcW w:w="2263" w:type="dxa"/>
            <w:vAlign w:val="center"/>
          </w:tcPr>
          <w:p w:rsidR="005C3F63" w:rsidRDefault="006536E7">
            <w:pPr>
              <w:rPr>
                <w:rFonts w:ascii="Verdana" w:hAnsi="Verdana" w:cs="Arial"/>
                <w:sz w:val="20"/>
                <w:szCs w:val="20"/>
              </w:rPr>
            </w:pPr>
            <w:r>
              <w:rPr>
                <w:rFonts w:ascii="Verdana" w:hAnsi="Verdana" w:cs="Arial"/>
                <w:sz w:val="20"/>
                <w:szCs w:val="20"/>
              </w:rPr>
              <w:t>Personnel risk, %</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709"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1"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r>
      <w:tr w:rsidR="005C3F63">
        <w:trPr>
          <w:jc w:val="center"/>
        </w:trPr>
        <w:tc>
          <w:tcPr>
            <w:tcW w:w="2263" w:type="dxa"/>
            <w:vAlign w:val="center"/>
          </w:tcPr>
          <w:p w:rsidR="005C3F63" w:rsidRDefault="006536E7">
            <w:pPr>
              <w:rPr>
                <w:rFonts w:ascii="Verdana" w:hAnsi="Verdana" w:cs="Arial"/>
                <w:sz w:val="20"/>
                <w:szCs w:val="20"/>
              </w:rPr>
            </w:pPr>
            <w:r>
              <w:rPr>
                <w:rFonts w:ascii="Verdana" w:hAnsi="Verdana" w:cs="Arial"/>
                <w:sz w:val="20"/>
                <w:szCs w:val="20"/>
              </w:rPr>
              <w:t>Production risk, %</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33</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709" w:type="dxa"/>
            <w:vAlign w:val="center"/>
          </w:tcPr>
          <w:p w:rsidR="005C3F63" w:rsidRDefault="006536E7">
            <w:pPr>
              <w:jc w:val="center"/>
              <w:rPr>
                <w:rFonts w:ascii="Verdana" w:hAnsi="Verdana" w:cs="Arial"/>
                <w:sz w:val="20"/>
                <w:szCs w:val="20"/>
              </w:rPr>
            </w:pPr>
            <w:r>
              <w:rPr>
                <w:rFonts w:ascii="Verdana" w:hAnsi="Verdana" w:cs="Arial"/>
                <w:sz w:val="20"/>
                <w:szCs w:val="20"/>
              </w:rPr>
              <w:t>33</w:t>
            </w:r>
          </w:p>
        </w:tc>
        <w:tc>
          <w:tcPr>
            <w:tcW w:w="851"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r>
      <w:tr w:rsidR="005C3F63">
        <w:trPr>
          <w:jc w:val="center"/>
        </w:trPr>
        <w:tc>
          <w:tcPr>
            <w:tcW w:w="2263" w:type="dxa"/>
            <w:vAlign w:val="center"/>
          </w:tcPr>
          <w:p w:rsidR="005C3F63" w:rsidRDefault="006536E7">
            <w:pPr>
              <w:rPr>
                <w:rFonts w:ascii="Verdana" w:hAnsi="Verdana" w:cs="Arial"/>
                <w:spacing w:val="-6"/>
                <w:sz w:val="20"/>
                <w:szCs w:val="20"/>
              </w:rPr>
            </w:pPr>
            <w:r>
              <w:rPr>
                <w:rFonts w:ascii="Verdana" w:hAnsi="Verdana" w:cs="Arial"/>
                <w:spacing w:val="-6"/>
                <w:sz w:val="20"/>
                <w:szCs w:val="20"/>
              </w:rPr>
              <w:t>Logistics risk (supplies, purchase), %</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709"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1"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r>
      <w:tr w:rsidR="005C3F63">
        <w:trPr>
          <w:jc w:val="center"/>
        </w:trPr>
        <w:tc>
          <w:tcPr>
            <w:tcW w:w="2263" w:type="dxa"/>
            <w:vAlign w:val="center"/>
          </w:tcPr>
          <w:p w:rsidR="005C3F63" w:rsidRDefault="006536E7">
            <w:pPr>
              <w:rPr>
                <w:rFonts w:ascii="Verdana" w:hAnsi="Verdana" w:cs="Arial"/>
                <w:sz w:val="20"/>
                <w:szCs w:val="20"/>
              </w:rPr>
            </w:pPr>
            <w:r>
              <w:rPr>
                <w:rFonts w:ascii="Verdana" w:hAnsi="Verdana" w:cs="Arial"/>
                <w:sz w:val="20"/>
                <w:szCs w:val="20"/>
              </w:rPr>
              <w:t>IT risk, %</w:t>
            </w:r>
          </w:p>
        </w:tc>
        <w:tc>
          <w:tcPr>
            <w:tcW w:w="567" w:type="dxa"/>
            <w:vAlign w:val="center"/>
          </w:tcPr>
          <w:p w:rsidR="005C3F63" w:rsidRDefault="006536E7">
            <w:pPr>
              <w:jc w:val="center"/>
              <w:rPr>
                <w:rFonts w:ascii="Verdana" w:hAnsi="Verdana" w:cs="Arial"/>
                <w:spacing w:val="-4"/>
                <w:sz w:val="20"/>
                <w:szCs w:val="20"/>
              </w:rPr>
            </w:pPr>
            <w:r>
              <w:rPr>
                <w:rFonts w:ascii="Verdana" w:hAnsi="Verdana" w:cs="Arial"/>
                <w:spacing w:val="-4"/>
                <w:sz w:val="20"/>
                <w:szCs w:val="20"/>
              </w:rPr>
              <w:t>67</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709"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1"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r>
      <w:tr w:rsidR="005C3F63">
        <w:trPr>
          <w:jc w:val="center"/>
        </w:trPr>
        <w:tc>
          <w:tcPr>
            <w:tcW w:w="2263" w:type="dxa"/>
            <w:vAlign w:val="center"/>
          </w:tcPr>
          <w:p w:rsidR="005C3F63" w:rsidRDefault="006536E7">
            <w:pPr>
              <w:rPr>
                <w:rFonts w:ascii="Verdana" w:hAnsi="Verdana" w:cs="Arial"/>
                <w:sz w:val="20"/>
                <w:szCs w:val="20"/>
              </w:rPr>
            </w:pPr>
            <w:r>
              <w:rPr>
                <w:rFonts w:ascii="Verdana" w:hAnsi="Verdana" w:cs="Arial"/>
                <w:sz w:val="20"/>
                <w:szCs w:val="20"/>
              </w:rPr>
              <w:t>Technical risk, %</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709"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1"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r>
      <w:tr w:rsidR="005C3F63">
        <w:trPr>
          <w:jc w:val="center"/>
        </w:trPr>
        <w:tc>
          <w:tcPr>
            <w:tcW w:w="2263" w:type="dxa"/>
            <w:vAlign w:val="center"/>
          </w:tcPr>
          <w:p w:rsidR="005C3F63" w:rsidRDefault="006536E7">
            <w:pPr>
              <w:rPr>
                <w:rFonts w:ascii="Verdana" w:hAnsi="Verdana" w:cs="Arial"/>
                <w:sz w:val="20"/>
                <w:szCs w:val="20"/>
              </w:rPr>
            </w:pPr>
            <w:r>
              <w:rPr>
                <w:rFonts w:ascii="Verdana" w:hAnsi="Verdana" w:cs="Arial"/>
                <w:spacing w:val="-4"/>
                <w:sz w:val="20"/>
                <w:szCs w:val="20"/>
              </w:rPr>
              <w:t>Volatility of world prices</w:t>
            </w:r>
            <w:r>
              <w:rPr>
                <w:rFonts w:ascii="Verdana" w:hAnsi="Verdana" w:cs="Arial"/>
                <w:sz w:val="20"/>
                <w:szCs w:val="20"/>
              </w:rPr>
              <w:t>, %</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709" w:type="dxa"/>
            <w:vAlign w:val="center"/>
          </w:tcPr>
          <w:p w:rsidR="005C3F63" w:rsidRDefault="006536E7">
            <w:pPr>
              <w:jc w:val="center"/>
              <w:rPr>
                <w:rFonts w:ascii="Verdana" w:hAnsi="Verdana" w:cs="Arial"/>
                <w:sz w:val="20"/>
                <w:szCs w:val="20"/>
              </w:rPr>
            </w:pPr>
            <w:r>
              <w:rPr>
                <w:rFonts w:ascii="Verdana" w:hAnsi="Verdana" w:cs="Arial"/>
                <w:sz w:val="20"/>
                <w:szCs w:val="20"/>
              </w:rPr>
              <w:t>33</w:t>
            </w:r>
          </w:p>
        </w:tc>
        <w:tc>
          <w:tcPr>
            <w:tcW w:w="851"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33</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r>
      <w:tr w:rsidR="005C3F63">
        <w:trPr>
          <w:jc w:val="center"/>
        </w:trPr>
        <w:tc>
          <w:tcPr>
            <w:tcW w:w="2263" w:type="dxa"/>
            <w:vAlign w:val="center"/>
          </w:tcPr>
          <w:p w:rsidR="005C3F63" w:rsidRDefault="006536E7">
            <w:pPr>
              <w:rPr>
                <w:rFonts w:ascii="Verdana" w:hAnsi="Verdana" w:cs="Arial"/>
                <w:spacing w:val="-4"/>
                <w:sz w:val="20"/>
                <w:szCs w:val="20"/>
              </w:rPr>
            </w:pPr>
            <w:r>
              <w:rPr>
                <w:rFonts w:ascii="Verdana" w:hAnsi="Verdana" w:cs="Arial"/>
                <w:spacing w:val="-4"/>
                <w:sz w:val="20"/>
                <w:szCs w:val="20"/>
              </w:rPr>
              <w:t>Changes in gas and fuel prices</w:t>
            </w:r>
            <w:r>
              <w:rPr>
                <w:rFonts w:ascii="Verdana" w:hAnsi="Verdana" w:cs="Arial"/>
                <w:sz w:val="20"/>
                <w:szCs w:val="20"/>
              </w:rPr>
              <w:t>, %</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33</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33</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r>
      <w:tr w:rsidR="005C3F63">
        <w:trPr>
          <w:jc w:val="center"/>
        </w:trPr>
        <w:tc>
          <w:tcPr>
            <w:tcW w:w="2263" w:type="dxa"/>
            <w:vAlign w:val="center"/>
          </w:tcPr>
          <w:p w:rsidR="005C3F63" w:rsidRDefault="006536E7">
            <w:pPr>
              <w:rPr>
                <w:rFonts w:ascii="Verdana" w:hAnsi="Verdana" w:cs="Arial"/>
                <w:sz w:val="20"/>
                <w:szCs w:val="20"/>
              </w:rPr>
            </w:pPr>
            <w:r>
              <w:rPr>
                <w:rFonts w:ascii="Verdana" w:hAnsi="Verdana" w:cs="Arial"/>
                <w:sz w:val="20"/>
                <w:szCs w:val="20"/>
              </w:rPr>
              <w:t>Credit risk, %</w:t>
            </w:r>
          </w:p>
        </w:tc>
        <w:tc>
          <w:tcPr>
            <w:tcW w:w="567" w:type="dxa"/>
            <w:vAlign w:val="center"/>
          </w:tcPr>
          <w:p w:rsidR="005C3F63" w:rsidRDefault="006536E7">
            <w:pPr>
              <w:jc w:val="center"/>
              <w:rPr>
                <w:rFonts w:ascii="Verdana" w:hAnsi="Verdana" w:cs="Arial"/>
                <w:spacing w:val="-4"/>
                <w:sz w:val="20"/>
                <w:szCs w:val="20"/>
              </w:rPr>
            </w:pPr>
            <w:r>
              <w:rPr>
                <w:rFonts w:ascii="Verdana" w:hAnsi="Verdana" w:cs="Arial"/>
                <w:spacing w:val="-4"/>
                <w:sz w:val="20"/>
                <w:szCs w:val="20"/>
              </w:rPr>
              <w:t>67</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100</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100</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33</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r>
      <w:tr w:rsidR="005C3F63">
        <w:trPr>
          <w:jc w:val="center"/>
        </w:trPr>
        <w:tc>
          <w:tcPr>
            <w:tcW w:w="2263" w:type="dxa"/>
            <w:vAlign w:val="center"/>
          </w:tcPr>
          <w:p w:rsidR="005C3F63" w:rsidRDefault="006536E7">
            <w:pPr>
              <w:rPr>
                <w:rFonts w:ascii="Verdana" w:hAnsi="Verdana" w:cs="Arial"/>
                <w:sz w:val="20"/>
                <w:szCs w:val="20"/>
              </w:rPr>
            </w:pPr>
            <w:r>
              <w:rPr>
                <w:rFonts w:ascii="Verdana" w:hAnsi="Verdana" w:cs="Arial"/>
                <w:sz w:val="20"/>
                <w:szCs w:val="20"/>
              </w:rPr>
              <w:t>Liquidity risk, %</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100</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100</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r>
      <w:tr w:rsidR="005C3F63">
        <w:trPr>
          <w:jc w:val="center"/>
        </w:trPr>
        <w:tc>
          <w:tcPr>
            <w:tcW w:w="2263" w:type="dxa"/>
            <w:vAlign w:val="center"/>
          </w:tcPr>
          <w:p w:rsidR="005C3F63" w:rsidRDefault="006536E7">
            <w:pPr>
              <w:rPr>
                <w:rFonts w:ascii="Verdana" w:hAnsi="Verdana" w:cs="Arial"/>
                <w:sz w:val="20"/>
                <w:szCs w:val="20"/>
              </w:rPr>
            </w:pPr>
            <w:r>
              <w:rPr>
                <w:rFonts w:ascii="Verdana" w:hAnsi="Verdana" w:cs="Arial"/>
                <w:sz w:val="20"/>
                <w:szCs w:val="20"/>
              </w:rPr>
              <w:t>Changes in interest rates, %</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100</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33</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r>
      <w:tr w:rsidR="005C3F63">
        <w:trPr>
          <w:jc w:val="center"/>
        </w:trPr>
        <w:tc>
          <w:tcPr>
            <w:tcW w:w="2263" w:type="dxa"/>
            <w:vAlign w:val="center"/>
          </w:tcPr>
          <w:p w:rsidR="005C3F63" w:rsidRDefault="006536E7">
            <w:pPr>
              <w:rPr>
                <w:rFonts w:ascii="Verdana" w:hAnsi="Verdana" w:cs="Arial"/>
                <w:sz w:val="20"/>
                <w:szCs w:val="20"/>
              </w:rPr>
            </w:pPr>
            <w:r>
              <w:rPr>
                <w:rFonts w:ascii="Verdana" w:hAnsi="Verdana" w:cs="Arial"/>
                <w:sz w:val="20"/>
                <w:szCs w:val="20"/>
              </w:rPr>
              <w:t>Currency risk, %</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100</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100</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33</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r>
      <w:tr w:rsidR="005C3F63">
        <w:trPr>
          <w:jc w:val="center"/>
        </w:trPr>
        <w:tc>
          <w:tcPr>
            <w:tcW w:w="2263" w:type="dxa"/>
            <w:vAlign w:val="center"/>
          </w:tcPr>
          <w:p w:rsidR="005C3F63" w:rsidRDefault="006536E7">
            <w:pPr>
              <w:rPr>
                <w:rFonts w:ascii="Verdana" w:hAnsi="Verdana" w:cs="Arial"/>
                <w:spacing w:val="-6"/>
                <w:sz w:val="20"/>
                <w:szCs w:val="20"/>
              </w:rPr>
            </w:pPr>
            <w:r>
              <w:rPr>
                <w:rFonts w:ascii="Verdana" w:hAnsi="Verdana" w:cs="Arial"/>
                <w:spacing w:val="-6"/>
                <w:sz w:val="20"/>
                <w:szCs w:val="20"/>
              </w:rPr>
              <w:t>Environmental risk, %</w:t>
            </w:r>
          </w:p>
        </w:tc>
        <w:tc>
          <w:tcPr>
            <w:tcW w:w="567" w:type="dxa"/>
            <w:vAlign w:val="center"/>
          </w:tcPr>
          <w:p w:rsidR="005C3F63" w:rsidRDefault="006536E7">
            <w:pPr>
              <w:jc w:val="center"/>
              <w:rPr>
                <w:rFonts w:ascii="Verdana" w:hAnsi="Verdana" w:cs="Arial"/>
                <w:spacing w:val="-4"/>
                <w:sz w:val="20"/>
                <w:szCs w:val="20"/>
              </w:rPr>
            </w:pPr>
            <w:r>
              <w:rPr>
                <w:rFonts w:ascii="Verdana" w:hAnsi="Verdana" w:cs="Arial"/>
                <w:spacing w:val="-4"/>
                <w:sz w:val="20"/>
                <w:szCs w:val="20"/>
              </w:rPr>
              <w:t>0</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r>
      <w:tr w:rsidR="005C3F63">
        <w:trPr>
          <w:jc w:val="center"/>
        </w:trPr>
        <w:tc>
          <w:tcPr>
            <w:tcW w:w="2263" w:type="dxa"/>
            <w:vAlign w:val="center"/>
          </w:tcPr>
          <w:p w:rsidR="005C3F63" w:rsidRDefault="006536E7">
            <w:pPr>
              <w:rPr>
                <w:rFonts w:ascii="Verdana" w:hAnsi="Verdana" w:cs="Arial"/>
                <w:sz w:val="20"/>
                <w:szCs w:val="20"/>
              </w:rPr>
            </w:pPr>
            <w:r>
              <w:rPr>
                <w:rFonts w:ascii="Verdana" w:hAnsi="Verdana" w:cs="Arial"/>
                <w:sz w:val="20"/>
                <w:szCs w:val="20"/>
              </w:rPr>
              <w:t>Social risk, %</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709"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1"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r>
      <w:tr w:rsidR="005C3F63">
        <w:trPr>
          <w:jc w:val="center"/>
        </w:trPr>
        <w:tc>
          <w:tcPr>
            <w:tcW w:w="2263" w:type="dxa"/>
            <w:vAlign w:val="center"/>
          </w:tcPr>
          <w:p w:rsidR="005C3F63" w:rsidRDefault="006536E7">
            <w:pPr>
              <w:rPr>
                <w:rFonts w:ascii="Verdana" w:hAnsi="Verdana" w:cs="Arial"/>
                <w:spacing w:val="-6"/>
                <w:sz w:val="20"/>
                <w:szCs w:val="20"/>
              </w:rPr>
            </w:pPr>
            <w:r>
              <w:rPr>
                <w:rFonts w:ascii="Verdana" w:hAnsi="Verdana" w:cs="Arial"/>
                <w:spacing w:val="-6"/>
                <w:sz w:val="20"/>
                <w:szCs w:val="20"/>
              </w:rPr>
              <w:t>The risk of business expansion failure</w:t>
            </w:r>
            <w:r>
              <w:rPr>
                <w:rFonts w:ascii="Verdana" w:hAnsi="Verdana" w:cs="Arial"/>
                <w:sz w:val="20"/>
                <w:szCs w:val="20"/>
              </w:rPr>
              <w:t>, %</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709"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1"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r>
      <w:tr w:rsidR="005C3F63">
        <w:trPr>
          <w:jc w:val="center"/>
        </w:trPr>
        <w:tc>
          <w:tcPr>
            <w:tcW w:w="2263" w:type="dxa"/>
            <w:vAlign w:val="center"/>
          </w:tcPr>
          <w:p w:rsidR="005C3F63" w:rsidRDefault="006536E7">
            <w:pPr>
              <w:rPr>
                <w:rFonts w:ascii="Verdana" w:hAnsi="Verdana" w:cs="Arial"/>
                <w:spacing w:val="-6"/>
                <w:sz w:val="20"/>
                <w:szCs w:val="20"/>
              </w:rPr>
            </w:pPr>
            <w:r>
              <w:rPr>
                <w:rFonts w:ascii="Verdana" w:hAnsi="Verdana" w:cs="Arial"/>
                <w:spacing w:val="-6"/>
                <w:sz w:val="20"/>
                <w:szCs w:val="20"/>
              </w:rPr>
              <w:t>Investment risk</w:t>
            </w:r>
            <w:r>
              <w:rPr>
                <w:rFonts w:ascii="Verdana" w:hAnsi="Verdana" w:cs="Arial"/>
                <w:sz w:val="20"/>
                <w:szCs w:val="20"/>
              </w:rPr>
              <w:t>, %</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709"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1"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r>
      <w:tr w:rsidR="005C3F63">
        <w:trPr>
          <w:jc w:val="center"/>
        </w:trPr>
        <w:tc>
          <w:tcPr>
            <w:tcW w:w="2263" w:type="dxa"/>
            <w:vAlign w:val="center"/>
          </w:tcPr>
          <w:p w:rsidR="005C3F63" w:rsidRDefault="006536E7">
            <w:pPr>
              <w:rPr>
                <w:rFonts w:ascii="Verdana" w:hAnsi="Verdana" w:cs="Arial"/>
                <w:spacing w:val="-6"/>
                <w:sz w:val="20"/>
                <w:szCs w:val="20"/>
              </w:rPr>
            </w:pPr>
            <w:r>
              <w:rPr>
                <w:rFonts w:ascii="Verdana" w:hAnsi="Verdana" w:cs="Arial"/>
                <w:spacing w:val="-6"/>
                <w:sz w:val="20"/>
                <w:szCs w:val="20"/>
              </w:rPr>
              <w:t>Public risk (municipal)</w:t>
            </w:r>
            <w:r>
              <w:rPr>
                <w:rFonts w:ascii="Verdana" w:hAnsi="Verdana" w:cs="Arial"/>
                <w:sz w:val="20"/>
                <w:szCs w:val="20"/>
              </w:rPr>
              <w:t>, %</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709"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1"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r>
      <w:tr w:rsidR="005C3F63">
        <w:trPr>
          <w:jc w:val="center"/>
        </w:trPr>
        <w:tc>
          <w:tcPr>
            <w:tcW w:w="2263" w:type="dxa"/>
            <w:vAlign w:val="center"/>
          </w:tcPr>
          <w:p w:rsidR="005C3F63" w:rsidRDefault="006536E7">
            <w:pPr>
              <w:rPr>
                <w:rFonts w:ascii="Verdana" w:hAnsi="Verdana" w:cs="Arial"/>
                <w:spacing w:val="-6"/>
                <w:sz w:val="20"/>
                <w:szCs w:val="20"/>
              </w:rPr>
            </w:pPr>
            <w:r>
              <w:rPr>
                <w:rFonts w:ascii="Verdana" w:hAnsi="Verdana" w:cs="Arial"/>
                <w:spacing w:val="-6"/>
                <w:sz w:val="20"/>
                <w:szCs w:val="20"/>
              </w:rPr>
              <w:t>Risk of corruption</w:t>
            </w:r>
            <w:r>
              <w:rPr>
                <w:rFonts w:ascii="Verdana" w:hAnsi="Verdana" w:cs="Arial"/>
                <w:sz w:val="20"/>
                <w:szCs w:val="20"/>
              </w:rPr>
              <w:t>, %</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709"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851"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67</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0</w:t>
            </w:r>
          </w:p>
        </w:tc>
      </w:tr>
      <w:tr w:rsidR="005C3F63">
        <w:trPr>
          <w:jc w:val="center"/>
        </w:trPr>
        <w:tc>
          <w:tcPr>
            <w:tcW w:w="2263" w:type="dxa"/>
            <w:vAlign w:val="center"/>
          </w:tcPr>
          <w:p w:rsidR="005C3F63" w:rsidRDefault="006536E7">
            <w:pPr>
              <w:rPr>
                <w:rFonts w:ascii="Verdana" w:hAnsi="Verdana" w:cs="Arial"/>
                <w:spacing w:val="-6"/>
                <w:sz w:val="16"/>
                <w:szCs w:val="16"/>
                <w:highlight w:val="yellow"/>
              </w:rPr>
            </w:pPr>
            <w:r>
              <w:rPr>
                <w:rFonts w:ascii="Verdana" w:hAnsi="Verdana" w:cs="Arial"/>
                <w:spacing w:val="-6"/>
                <w:sz w:val="20"/>
                <w:szCs w:val="20"/>
              </w:rPr>
              <w:lastRenderedPageBreak/>
              <w:t>The average percentage of completeness of</w:t>
            </w:r>
            <w:r>
              <w:rPr>
                <w:rFonts w:ascii="Verdana" w:hAnsi="Verdana" w:cs="Arial"/>
                <w:color w:val="FF0000"/>
                <w:spacing w:val="-6"/>
                <w:sz w:val="16"/>
                <w:szCs w:val="16"/>
              </w:rPr>
              <w:t xml:space="preserve"> </w:t>
            </w:r>
            <w:r>
              <w:rPr>
                <w:rFonts w:ascii="Verdana" w:hAnsi="Verdana" w:cs="Arial"/>
                <w:spacing w:val="-6"/>
                <w:sz w:val="20"/>
                <w:szCs w:val="20"/>
              </w:rPr>
              <w:t>information disclosure</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45</w:t>
            </w:r>
          </w:p>
        </w:tc>
        <w:tc>
          <w:tcPr>
            <w:tcW w:w="709"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37</w:t>
            </w:r>
          </w:p>
        </w:tc>
        <w:tc>
          <w:tcPr>
            <w:tcW w:w="850"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54</w:t>
            </w:r>
          </w:p>
        </w:tc>
        <w:tc>
          <w:tcPr>
            <w:tcW w:w="851" w:type="dxa"/>
            <w:shd w:val="clear" w:color="auto" w:fill="auto"/>
            <w:vAlign w:val="center"/>
          </w:tcPr>
          <w:p w:rsidR="005C3F63" w:rsidRDefault="006536E7">
            <w:pPr>
              <w:jc w:val="center"/>
              <w:rPr>
                <w:rFonts w:ascii="Verdana" w:hAnsi="Verdana" w:cs="Arial"/>
                <w:sz w:val="20"/>
                <w:szCs w:val="20"/>
              </w:rPr>
            </w:pPr>
            <w:r>
              <w:rPr>
                <w:rFonts w:ascii="Verdana" w:hAnsi="Verdana" w:cs="Arial"/>
                <w:sz w:val="20"/>
                <w:szCs w:val="20"/>
              </w:rPr>
              <w:t>26</w:t>
            </w:r>
          </w:p>
        </w:tc>
        <w:tc>
          <w:tcPr>
            <w:tcW w:w="709" w:type="dxa"/>
            <w:vAlign w:val="center"/>
          </w:tcPr>
          <w:p w:rsidR="005C3F63" w:rsidRDefault="006536E7">
            <w:pPr>
              <w:jc w:val="center"/>
              <w:rPr>
                <w:rFonts w:ascii="Verdana" w:hAnsi="Verdana" w:cs="Arial"/>
                <w:sz w:val="20"/>
                <w:szCs w:val="20"/>
              </w:rPr>
            </w:pPr>
            <w:r>
              <w:rPr>
                <w:rFonts w:ascii="Verdana" w:hAnsi="Verdana" w:cs="Arial"/>
                <w:sz w:val="20"/>
                <w:szCs w:val="20"/>
              </w:rPr>
              <w:t>28</w:t>
            </w:r>
          </w:p>
        </w:tc>
        <w:tc>
          <w:tcPr>
            <w:tcW w:w="851" w:type="dxa"/>
            <w:vAlign w:val="center"/>
          </w:tcPr>
          <w:p w:rsidR="005C3F63" w:rsidRDefault="006536E7">
            <w:pPr>
              <w:jc w:val="center"/>
              <w:rPr>
                <w:rFonts w:ascii="Verdana" w:hAnsi="Verdana" w:cs="Arial"/>
                <w:sz w:val="20"/>
                <w:szCs w:val="20"/>
              </w:rPr>
            </w:pPr>
            <w:r>
              <w:rPr>
                <w:rFonts w:ascii="Verdana" w:hAnsi="Verdana" w:cs="Arial"/>
                <w:sz w:val="20"/>
                <w:szCs w:val="20"/>
              </w:rPr>
              <w:t>10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19</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5</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29</w:t>
            </w:r>
          </w:p>
        </w:tc>
        <w:tc>
          <w:tcPr>
            <w:tcW w:w="670" w:type="dxa"/>
            <w:vAlign w:val="center"/>
          </w:tcPr>
          <w:p w:rsidR="005C3F63" w:rsidRDefault="006536E7">
            <w:pPr>
              <w:jc w:val="center"/>
              <w:rPr>
                <w:rFonts w:ascii="Verdana" w:hAnsi="Verdana" w:cs="Arial"/>
                <w:sz w:val="20"/>
                <w:szCs w:val="20"/>
              </w:rPr>
            </w:pPr>
            <w:r>
              <w:rPr>
                <w:rFonts w:ascii="Verdana" w:hAnsi="Verdana" w:cs="Arial"/>
                <w:sz w:val="20"/>
                <w:szCs w:val="20"/>
              </w:rPr>
              <w:t>10</w:t>
            </w:r>
          </w:p>
        </w:tc>
        <w:tc>
          <w:tcPr>
            <w:tcW w:w="567" w:type="dxa"/>
            <w:vAlign w:val="center"/>
          </w:tcPr>
          <w:p w:rsidR="005C3F63" w:rsidRDefault="006536E7">
            <w:pPr>
              <w:jc w:val="center"/>
              <w:rPr>
                <w:rFonts w:ascii="Verdana" w:hAnsi="Verdana" w:cs="Arial"/>
                <w:sz w:val="20"/>
                <w:szCs w:val="20"/>
              </w:rPr>
            </w:pPr>
            <w:r>
              <w:rPr>
                <w:rFonts w:ascii="Verdana" w:hAnsi="Verdana" w:cs="Arial"/>
                <w:sz w:val="20"/>
                <w:szCs w:val="20"/>
              </w:rPr>
              <w:t>29</w:t>
            </w:r>
          </w:p>
        </w:tc>
      </w:tr>
    </w:tbl>
    <w:p w:rsidR="005C3F63" w:rsidRDefault="006536E7">
      <w:pPr>
        <w:rPr>
          <w:rFonts w:ascii="Verdana" w:hAnsi="Verdana" w:cs="Arial"/>
          <w:sz w:val="18"/>
          <w:szCs w:val="18"/>
        </w:rPr>
      </w:pPr>
      <w:r>
        <w:rPr>
          <w:rFonts w:ascii="Verdana" w:hAnsi="Verdana" w:cs="Arial"/>
          <w:i/>
          <w:sz w:val="18"/>
          <w:szCs w:val="18"/>
        </w:rPr>
        <w:t>Notes: % - percentage of risk information disclosure (R, RM, QE); R – risk; RM – risk management; QE – quantitative expression (measurement, evaluation).</w:t>
      </w:r>
    </w:p>
    <w:p w:rsidR="005C3F63" w:rsidRDefault="006536E7">
      <w:pPr>
        <w:pStyle w:val="afd"/>
        <w:ind w:left="0"/>
        <w:jc w:val="center"/>
        <w:rPr>
          <w:rFonts w:ascii="Verdana" w:hAnsi="Verdana"/>
          <w:spacing w:val="-4"/>
          <w:sz w:val="18"/>
          <w:szCs w:val="18"/>
          <w:lang w:val="uk-UA"/>
        </w:rPr>
      </w:pPr>
      <w:r>
        <w:rPr>
          <w:rFonts w:ascii="Verdana" w:hAnsi="Verdana"/>
          <w:spacing w:val="-4"/>
          <w:sz w:val="18"/>
          <w:szCs w:val="18"/>
        </w:rPr>
        <w:t xml:space="preserve">Source: developed by the authors according to </w:t>
      </w:r>
      <w:r>
        <w:rPr>
          <w:rFonts w:ascii="Verdana" w:hAnsi="Verdana"/>
          <w:spacing w:val="-4"/>
          <w:sz w:val="18"/>
          <w:szCs w:val="18"/>
          <w:lang w:val="uk-UA"/>
        </w:rPr>
        <w:t>public information from the official websites of companies</w:t>
      </w:r>
    </w:p>
    <w:p w:rsidR="005C3F63" w:rsidRDefault="005C3F63">
      <w:pPr>
        <w:ind w:firstLine="567"/>
        <w:rPr>
          <w:rFonts w:ascii="Verdana" w:hAnsi="Verdana"/>
          <w:sz w:val="12"/>
          <w:szCs w:val="12"/>
        </w:rPr>
      </w:pPr>
    </w:p>
    <w:p w:rsidR="005C3F63" w:rsidRDefault="006536E7">
      <w:pPr>
        <w:rPr>
          <w:rFonts w:ascii="Verdana" w:hAnsi="Verdana"/>
          <w:spacing w:val="-4"/>
          <w:sz w:val="20"/>
          <w:szCs w:val="20"/>
        </w:rPr>
      </w:pPr>
      <w:r>
        <w:rPr>
          <w:rFonts w:ascii="Verdana" w:hAnsi="Verdana"/>
          <w:spacing w:val="-4"/>
          <w:sz w:val="20"/>
          <w:szCs w:val="20"/>
        </w:rPr>
        <w:t xml:space="preserve">Nowadays, as always, the issue of quantitative measurement of the degree of risk and value assessment of its consequences and opportunities is critical. The analysis of companies' annual reports has been showed that those responsible for compiling these reports continue to ignore this issue. Only two of the eleven surveyed companies (PrJSC Carlsberg Ukraine and PJSC Obolon) provided quantitative values for several risks of their activities; the validity of the choice of these risks for the quantitative analysis of the enterprise is not given. </w:t>
      </w:r>
    </w:p>
    <w:p w:rsidR="005C3F63" w:rsidRDefault="005C3F63">
      <w:pPr>
        <w:rPr>
          <w:rFonts w:ascii="Verdana" w:hAnsi="Verdana"/>
          <w:b/>
        </w:rPr>
      </w:pPr>
    </w:p>
    <w:p w:rsidR="005C3F63" w:rsidRDefault="006536E7">
      <w:pPr>
        <w:rPr>
          <w:rFonts w:ascii="Verdana" w:hAnsi="Verdana"/>
          <w:b/>
        </w:rPr>
      </w:pPr>
      <w:r>
        <w:rPr>
          <w:rFonts w:ascii="Verdana" w:hAnsi="Verdana"/>
          <w:b/>
        </w:rPr>
        <w:t>Conclusions</w:t>
      </w:r>
    </w:p>
    <w:p w:rsidR="005C3F63" w:rsidRDefault="005C3F63">
      <w:pPr>
        <w:rPr>
          <w:rFonts w:ascii="Verdana" w:hAnsi="Verdana"/>
          <w:b/>
          <w:sz w:val="12"/>
          <w:szCs w:val="12"/>
        </w:rPr>
      </w:pPr>
    </w:p>
    <w:p w:rsidR="005C3F63" w:rsidRDefault="006536E7">
      <w:pPr>
        <w:rPr>
          <w:rFonts w:ascii="Verdana" w:hAnsi="Verdana"/>
          <w:sz w:val="20"/>
          <w:szCs w:val="20"/>
        </w:rPr>
      </w:pPr>
      <w:r>
        <w:rPr>
          <w:rFonts w:ascii="Verdana" w:hAnsi="Verdana"/>
          <w:sz w:val="20"/>
          <w:szCs w:val="20"/>
        </w:rPr>
        <w:t>Thus, the identified problem of disclosing information in the reports of socially responsible companies about significant risks, their consequences and opportunities, their quantitative measurement (assessment) and impact factors is due to the inability of the enterprise information system (including integrated) to provide the necessary information. Also the reason for this is an improper organized management system in general and/or risk management system in particular. Regarding socially-oriented business risks, it has been concluded that only a small number of surveyed companies noted such information in their reports (public, social, personnel, environmental risks, corruption risk, etc.) and this indicates a low/insufficient level of corporate social responsibility of certain enterprises.</w:t>
      </w:r>
    </w:p>
    <w:p w:rsidR="005C3F63" w:rsidRDefault="006536E7">
      <w:pPr>
        <w:rPr>
          <w:rFonts w:ascii="Verdana" w:hAnsi="Verdana"/>
          <w:b/>
        </w:rPr>
      </w:pPr>
      <w:r>
        <w:rPr>
          <w:rFonts w:ascii="Verdana" w:hAnsi="Verdana"/>
          <w:b/>
        </w:rPr>
        <w:t>Acknowledgments</w:t>
      </w:r>
    </w:p>
    <w:p w:rsidR="005C3F63" w:rsidRDefault="005C3F63">
      <w:pPr>
        <w:rPr>
          <w:rFonts w:ascii="Verdana" w:hAnsi="Verdana"/>
          <w:b/>
          <w:sz w:val="12"/>
          <w:szCs w:val="12"/>
        </w:rPr>
      </w:pPr>
    </w:p>
    <w:p w:rsidR="005C3F63" w:rsidRDefault="006536E7">
      <w:pPr>
        <w:rPr>
          <w:rFonts w:ascii="Verdana" w:hAnsi="Verdana"/>
          <w:sz w:val="20"/>
          <w:szCs w:val="20"/>
        </w:rPr>
      </w:pPr>
      <w:r>
        <w:rPr>
          <w:rFonts w:ascii="Verdana" w:hAnsi="Verdana"/>
          <w:sz w:val="20"/>
          <w:szCs w:val="20"/>
        </w:rPr>
        <w:t>Fundamental Scientific Research «Transformation of Corporate Social Responsibility in a Hybrid War» (State Registration Number 0117U006477) 2017-2020.</w:t>
      </w:r>
    </w:p>
    <w:p w:rsidR="005C3F63" w:rsidRDefault="005C3F63">
      <w:pPr>
        <w:rPr>
          <w:rFonts w:ascii="Verdana" w:hAnsi="Verdana"/>
          <w:sz w:val="12"/>
          <w:szCs w:val="12"/>
        </w:rPr>
      </w:pPr>
    </w:p>
    <w:p w:rsidR="005C3F63" w:rsidRDefault="006536E7">
      <w:pPr>
        <w:tabs>
          <w:tab w:val="left" w:pos="1026"/>
        </w:tabs>
        <w:rPr>
          <w:rFonts w:ascii="Verdana" w:hAnsi="Verdana"/>
          <w:b/>
          <w:bCs/>
          <w:color w:val="000000" w:themeColor="text1"/>
        </w:rPr>
      </w:pPr>
      <w:r>
        <w:rPr>
          <w:rFonts w:ascii="Verdana" w:hAnsi="Verdana"/>
          <w:b/>
          <w:bCs/>
          <w:color w:val="000000" w:themeColor="text1"/>
        </w:rPr>
        <w:t>References</w:t>
      </w:r>
    </w:p>
    <w:p w:rsidR="005C3F63" w:rsidRDefault="005C3F63">
      <w:pPr>
        <w:tabs>
          <w:tab w:val="left" w:pos="1026"/>
        </w:tabs>
        <w:rPr>
          <w:rFonts w:ascii="Verdana" w:hAnsi="Verdana"/>
          <w:b/>
          <w:color w:val="000000" w:themeColor="text1"/>
          <w:sz w:val="12"/>
          <w:szCs w:val="12"/>
        </w:rPr>
      </w:pPr>
    </w:p>
    <w:p w:rsidR="005C3F63" w:rsidRDefault="006536E7">
      <w:pPr>
        <w:rPr>
          <w:rFonts w:ascii="Verdana" w:hAnsi="Verdana"/>
          <w:spacing w:val="-6"/>
          <w:sz w:val="20"/>
          <w:szCs w:val="20"/>
        </w:rPr>
      </w:pPr>
      <w:r>
        <w:rPr>
          <w:rFonts w:ascii="Verdana" w:hAnsi="Verdana"/>
          <w:spacing w:val="-6"/>
          <w:sz w:val="20"/>
          <w:szCs w:val="20"/>
        </w:rPr>
        <w:t xml:space="preserve">Environmental Management Systems. Application requirements and guidelines (ISO 14001:2015, IDT). Retrieved from </w:t>
      </w:r>
      <w:hyperlink r:id="rId71" w:history="1">
        <w:r>
          <w:rPr>
            <w:rFonts w:ascii="Verdana" w:hAnsi="Verdana"/>
            <w:spacing w:val="-6"/>
            <w:sz w:val="20"/>
            <w:szCs w:val="20"/>
          </w:rPr>
          <w:t>http://online.budstandart.com/ua/catalog/doc-page?id_doc=64015</w:t>
        </w:r>
      </w:hyperlink>
      <w:r>
        <w:rPr>
          <w:rFonts w:ascii="Verdana" w:hAnsi="Verdana"/>
          <w:spacing w:val="-6"/>
          <w:sz w:val="20"/>
          <w:szCs w:val="20"/>
        </w:rPr>
        <w:t>.</w:t>
      </w:r>
    </w:p>
    <w:p w:rsidR="005C3F63" w:rsidRDefault="006536E7">
      <w:pPr>
        <w:rPr>
          <w:rFonts w:ascii="Verdana" w:hAnsi="Verdana"/>
          <w:spacing w:val="-6"/>
          <w:sz w:val="20"/>
          <w:szCs w:val="20"/>
        </w:rPr>
      </w:pPr>
      <w:r>
        <w:rPr>
          <w:rFonts w:ascii="Verdana" w:hAnsi="Verdana"/>
          <w:spacing w:val="-6"/>
          <w:sz w:val="20"/>
          <w:szCs w:val="20"/>
        </w:rPr>
        <w:t xml:space="preserve">Environmental management systems. Application requirements and guidelines (ISO 14001:2015, IDT). Retrieved from </w:t>
      </w:r>
      <w:hyperlink r:id="rId72" w:history="1">
        <w:r>
          <w:rPr>
            <w:rFonts w:ascii="Verdana" w:hAnsi="Verdana"/>
            <w:spacing w:val="-6"/>
            <w:sz w:val="20"/>
            <w:szCs w:val="20"/>
          </w:rPr>
          <w:t>http://online.budstandart.com/ua/catalog/doc-page?id_doc=64015</w:t>
        </w:r>
      </w:hyperlink>
      <w:r>
        <w:rPr>
          <w:rFonts w:ascii="Verdana" w:hAnsi="Verdana"/>
          <w:spacing w:val="-6"/>
          <w:sz w:val="20"/>
          <w:szCs w:val="20"/>
        </w:rPr>
        <w:t>.</w:t>
      </w:r>
    </w:p>
    <w:p w:rsidR="005C3F63" w:rsidRDefault="006536E7">
      <w:pPr>
        <w:rPr>
          <w:rFonts w:ascii="Verdana" w:hAnsi="Verdana"/>
          <w:sz w:val="20"/>
          <w:szCs w:val="20"/>
        </w:rPr>
      </w:pPr>
      <w:r>
        <w:rPr>
          <w:rFonts w:ascii="Verdana" w:hAnsi="Verdana"/>
          <w:sz w:val="20"/>
          <w:szCs w:val="20"/>
        </w:rPr>
        <w:t xml:space="preserve">GRI Standards: Investor-friendly reporting. Retrieved from </w:t>
      </w:r>
      <w:hyperlink r:id="rId73" w:history="1">
        <w:r>
          <w:rPr>
            <w:rFonts w:ascii="Verdana" w:hAnsi="Verdana"/>
            <w:sz w:val="20"/>
            <w:szCs w:val="20"/>
          </w:rPr>
          <w:t>http://msfz.ligazakon.ua/ua/magazine_article/FZ001041/</w:t>
        </w:r>
      </w:hyperlink>
      <w:r>
        <w:rPr>
          <w:rFonts w:ascii="Verdana" w:hAnsi="Verdana"/>
          <w:sz w:val="20"/>
          <w:szCs w:val="20"/>
        </w:rPr>
        <w:t>.</w:t>
      </w:r>
    </w:p>
    <w:p w:rsidR="005C3F63" w:rsidRDefault="00085067">
      <w:pPr>
        <w:rPr>
          <w:rFonts w:ascii="Verdana" w:hAnsi="Verdana"/>
          <w:sz w:val="20"/>
          <w:szCs w:val="20"/>
        </w:rPr>
      </w:pPr>
      <w:hyperlink r:id="rId74" w:tgtFrame="_blank" w:history="1">
        <w:r w:rsidR="006536E7">
          <w:rPr>
            <w:rFonts w:ascii="Verdana" w:hAnsi="Verdana"/>
            <w:sz w:val="20"/>
            <w:szCs w:val="20"/>
          </w:rPr>
          <w:t xml:space="preserve">Ievdokymov, V., Lehenchuk,  </w:t>
        </w:r>
        <w:r w:rsidR="006536E7" w:rsidRPr="00975BA4">
          <w:rPr>
            <w:rFonts w:ascii="Verdana" w:hAnsi="Verdana"/>
            <w:sz w:val="20"/>
            <w:szCs w:val="20"/>
          </w:rPr>
          <w:t>Zakharov</w:t>
        </w:r>
        <w:r w:rsidR="006536E7">
          <w:rPr>
            <w:rFonts w:ascii="Verdana" w:hAnsi="Verdana"/>
            <w:sz w:val="20"/>
            <w:szCs w:val="20"/>
          </w:rPr>
          <w:t xml:space="preserve">,  </w:t>
        </w:r>
        <w:r w:rsidR="006536E7" w:rsidRPr="00975BA4">
          <w:rPr>
            <w:rFonts w:ascii="Verdana" w:hAnsi="Verdana"/>
            <w:sz w:val="20"/>
            <w:szCs w:val="20"/>
          </w:rPr>
          <w:t>Andrusiv</w:t>
        </w:r>
        <w:r w:rsidR="006536E7">
          <w:rPr>
            <w:rFonts w:ascii="Verdana" w:hAnsi="Verdana"/>
            <w:sz w:val="20"/>
            <w:szCs w:val="20"/>
          </w:rPr>
          <w:t>, , Usatenko, Kovalenko, (2020). Social capital measurement based on “The value explorer” method</w:t>
        </w:r>
      </w:hyperlink>
      <w:r w:rsidR="006536E7">
        <w:rPr>
          <w:rFonts w:ascii="Verdana" w:hAnsi="Verdana"/>
          <w:sz w:val="20"/>
          <w:szCs w:val="20"/>
        </w:rPr>
        <w:t xml:space="preserve">. Registrovaný vo: Scopus. </w:t>
      </w:r>
      <w:hyperlink r:id="rId75" w:tgtFrame="_blank" w:history="1">
        <w:r w:rsidR="006536E7">
          <w:rPr>
            <w:rFonts w:ascii="Verdana" w:hAnsi="Verdana"/>
            <w:i/>
            <w:sz w:val="20"/>
            <w:szCs w:val="20"/>
          </w:rPr>
          <w:t>Management Science Letters</w:t>
        </w:r>
      </w:hyperlink>
      <w:r w:rsidR="006536E7">
        <w:rPr>
          <w:rFonts w:ascii="Verdana" w:hAnsi="Verdana"/>
          <w:sz w:val="20"/>
          <w:szCs w:val="20"/>
        </w:rPr>
        <w:t xml:space="preserve">. Volume 10, Issue 6. P. 1161-1168 Retrieved from </w:t>
      </w:r>
      <w:hyperlink r:id="rId76" w:tgtFrame="_blank" w:history="1">
        <w:r w:rsidR="006536E7">
          <w:rPr>
            <w:rFonts w:ascii="Verdana" w:hAnsi="Verdana"/>
            <w:sz w:val="20"/>
            <w:szCs w:val="20"/>
          </w:rPr>
          <w:t>http://growingscience.com/beta/msl/3580-social-capital-measurement-based-on-the-value-explorer-method.html</w:t>
        </w:r>
      </w:hyperlink>
      <w:r w:rsidR="006536E7">
        <w:rPr>
          <w:rFonts w:ascii="Verdana" w:hAnsi="Verdana"/>
          <w:sz w:val="20"/>
          <w:szCs w:val="20"/>
        </w:rPr>
        <w:t>.</w:t>
      </w:r>
    </w:p>
    <w:p w:rsidR="005C3F63" w:rsidRDefault="006536E7">
      <w:pPr>
        <w:rPr>
          <w:rFonts w:ascii="Verdana" w:hAnsi="Verdana"/>
          <w:sz w:val="20"/>
          <w:szCs w:val="20"/>
        </w:rPr>
      </w:pPr>
      <w:r>
        <w:rPr>
          <w:rFonts w:ascii="Verdana" w:hAnsi="Verdana"/>
          <w:sz w:val="20"/>
          <w:szCs w:val="20"/>
        </w:rPr>
        <w:t xml:space="preserve">International standard "Integrated reporting". IR. Retrieved from </w:t>
      </w:r>
      <w:hyperlink r:id="rId77" w:history="1">
        <w:r>
          <w:rPr>
            <w:rFonts w:ascii="Verdana" w:hAnsi="Verdana"/>
            <w:sz w:val="20"/>
            <w:szCs w:val="20"/>
          </w:rPr>
          <w:t>https://integratedreporting.org/wp-content/uploads/2015/03/13-12-08-THE-INTERNATIONAL-IR-FRAMEWORK.docx_en-US_ru-RU.pdf</w:t>
        </w:r>
      </w:hyperlink>
      <w:r>
        <w:rPr>
          <w:rFonts w:ascii="Verdana" w:hAnsi="Verdana"/>
          <w:sz w:val="20"/>
          <w:szCs w:val="20"/>
        </w:rPr>
        <w:t>.</w:t>
      </w:r>
    </w:p>
    <w:p w:rsidR="005C3F63" w:rsidRDefault="006536E7">
      <w:pPr>
        <w:rPr>
          <w:rFonts w:ascii="Verdana" w:hAnsi="Verdana"/>
          <w:spacing w:val="-6"/>
          <w:sz w:val="20"/>
          <w:szCs w:val="20"/>
        </w:rPr>
      </w:pPr>
      <w:r>
        <w:rPr>
          <w:rFonts w:ascii="Verdana" w:hAnsi="Verdana"/>
          <w:spacing w:val="-6"/>
          <w:sz w:val="20"/>
          <w:szCs w:val="20"/>
        </w:rPr>
        <w:t xml:space="preserve">International Standardization: A new version of ISO 31000 to risk management has been published. Retrieved from </w:t>
      </w:r>
      <w:hyperlink r:id="rId78" w:history="1">
        <w:r>
          <w:rPr>
            <w:rFonts w:ascii="Verdana" w:hAnsi="Verdana"/>
            <w:spacing w:val="-6"/>
            <w:sz w:val="20"/>
            <w:szCs w:val="20"/>
          </w:rPr>
          <w:t>http://csm.kiev.ua/index.php?option=com_content&amp;view=article&amp;id=4112%3A-iso-31000-&amp;catid=122%3A2015-09-15-07-01-23&amp;lang=uk</w:t>
        </w:r>
      </w:hyperlink>
      <w:r>
        <w:rPr>
          <w:rFonts w:ascii="Verdana" w:hAnsi="Verdana"/>
          <w:spacing w:val="-6"/>
          <w:sz w:val="20"/>
          <w:szCs w:val="20"/>
        </w:rPr>
        <w:t>.</w:t>
      </w:r>
    </w:p>
    <w:p w:rsidR="005C3F63" w:rsidRDefault="006536E7">
      <w:pPr>
        <w:rPr>
          <w:rFonts w:ascii="Verdana" w:hAnsi="Verdana"/>
          <w:sz w:val="20"/>
          <w:szCs w:val="20"/>
        </w:rPr>
      </w:pPr>
      <w:r>
        <w:rPr>
          <w:rFonts w:ascii="Verdana" w:hAnsi="Verdana"/>
          <w:sz w:val="20"/>
          <w:szCs w:val="20"/>
        </w:rPr>
        <w:t xml:space="preserve">Kubaščíková, Z., Tumpach, M., Juhászová, Z., Turebekova, B., Saparbayeva, S. (2019) Contextual Non-financial Information Analysis of Annual Reports. Registrovaný vo: Web of Science. </w:t>
      </w:r>
      <w:r>
        <w:rPr>
          <w:rFonts w:ascii="Verdana" w:hAnsi="Verdana"/>
          <w:i/>
          <w:sz w:val="20"/>
          <w:szCs w:val="20"/>
        </w:rPr>
        <w:t>International Scientific Conference. European Financial Systems 2019</w:t>
      </w:r>
      <w:r>
        <w:rPr>
          <w:rFonts w:ascii="Verdana" w:hAnsi="Verdana"/>
          <w:sz w:val="20"/>
          <w:szCs w:val="20"/>
        </w:rPr>
        <w:t xml:space="preserve">: </w:t>
      </w:r>
      <w:r>
        <w:rPr>
          <w:rFonts w:ascii="Verdana" w:hAnsi="Verdana"/>
          <w:sz w:val="20"/>
          <w:szCs w:val="20"/>
        </w:rPr>
        <w:lastRenderedPageBreak/>
        <w:t>Proceedings of the 16th International Conference, June 24-25, 2019, Brno, Czech Republic. Brno : Masaryk University. pp. 334-344 online.</w:t>
      </w:r>
    </w:p>
    <w:p w:rsidR="005C3F63" w:rsidRDefault="006536E7">
      <w:pPr>
        <w:rPr>
          <w:rFonts w:ascii="Verdana" w:hAnsi="Verdana"/>
          <w:sz w:val="20"/>
          <w:szCs w:val="20"/>
        </w:rPr>
      </w:pPr>
      <w:r>
        <w:rPr>
          <w:rFonts w:ascii="Verdana" w:hAnsi="Verdana"/>
          <w:sz w:val="20"/>
          <w:szCs w:val="20"/>
        </w:rPr>
        <w:t xml:space="preserve">Lehenchuk, S.F., Valinkevych, N.V., Vyhivska, I.M., Khomenko, H. Yu. (2020). The Significant Principles Of Development Of Accounting Support For Innovative Enterprise Financing. Registrovaný vo: </w:t>
      </w:r>
      <w:r>
        <w:rPr>
          <w:rFonts w:ascii="Verdana" w:hAnsi="Verdana"/>
          <w:bCs/>
          <w:iCs/>
          <w:sz w:val="20"/>
          <w:szCs w:val="20"/>
        </w:rPr>
        <w:t xml:space="preserve">Scopus. </w:t>
      </w:r>
      <w:r>
        <w:rPr>
          <w:rFonts w:ascii="Verdana" w:hAnsi="Verdana"/>
          <w:bCs/>
          <w:i/>
          <w:iCs/>
          <w:sz w:val="20"/>
          <w:szCs w:val="20"/>
        </w:rPr>
        <w:t>International Journal of Advanced Science and Technology.</w:t>
      </w:r>
      <w:r>
        <w:rPr>
          <w:rFonts w:ascii="Verdana" w:hAnsi="Verdana"/>
          <w:bCs/>
          <w:iCs/>
          <w:sz w:val="20"/>
          <w:szCs w:val="20"/>
        </w:rPr>
        <w:t xml:space="preserve"> 29(8s). P. 2282-2289. </w:t>
      </w:r>
      <w:r>
        <w:rPr>
          <w:rFonts w:ascii="Verdana" w:hAnsi="Verdana"/>
          <w:sz w:val="20"/>
          <w:szCs w:val="20"/>
        </w:rPr>
        <w:t xml:space="preserve">Retrieved from </w:t>
      </w:r>
      <w:hyperlink r:id="rId79" w:history="1">
        <w:r>
          <w:rPr>
            <w:rStyle w:val="af9"/>
            <w:rFonts w:ascii="Verdana" w:hAnsi="Verdana"/>
            <w:sz w:val="20"/>
            <w:szCs w:val="20"/>
          </w:rPr>
          <w:t>http://sersc.org/journals/index.php/IJAST/article/view/14701</w:t>
        </w:r>
      </w:hyperlink>
      <w:r>
        <w:rPr>
          <w:rFonts w:ascii="Verdana" w:hAnsi="Verdana"/>
          <w:sz w:val="20"/>
          <w:szCs w:val="20"/>
        </w:rPr>
        <w:t>.</w:t>
      </w:r>
    </w:p>
    <w:p w:rsidR="005C3F63" w:rsidRDefault="006536E7">
      <w:pPr>
        <w:rPr>
          <w:rFonts w:ascii="Verdana" w:hAnsi="Verdana"/>
          <w:spacing w:val="-4"/>
          <w:sz w:val="20"/>
          <w:szCs w:val="20"/>
        </w:rPr>
      </w:pPr>
      <w:r>
        <w:rPr>
          <w:rFonts w:ascii="Verdana" w:hAnsi="Verdana"/>
          <w:spacing w:val="-4"/>
          <w:sz w:val="20"/>
          <w:szCs w:val="20"/>
        </w:rPr>
        <w:t xml:space="preserve">Series of standards ISO 31000. Risk management. Retrieved from </w:t>
      </w:r>
      <w:hyperlink r:id="rId80" w:history="1">
        <w:r>
          <w:rPr>
            <w:rFonts w:ascii="Verdana" w:hAnsi="Verdana"/>
            <w:spacing w:val="-4"/>
            <w:sz w:val="20"/>
            <w:szCs w:val="20"/>
          </w:rPr>
          <w:t>https://intercert.com.ua/articles/regulatory-documents/311-iso-31000-risk-management</w:t>
        </w:r>
      </w:hyperlink>
      <w:r>
        <w:rPr>
          <w:rFonts w:ascii="Verdana" w:hAnsi="Verdana"/>
          <w:spacing w:val="-4"/>
          <w:sz w:val="20"/>
          <w:szCs w:val="20"/>
        </w:rPr>
        <w:t>.</w:t>
      </w:r>
    </w:p>
    <w:p w:rsidR="005C3F63" w:rsidRDefault="006536E7">
      <w:pPr>
        <w:rPr>
          <w:rFonts w:ascii="Verdana" w:hAnsi="Verdana"/>
          <w:sz w:val="20"/>
          <w:szCs w:val="20"/>
        </w:rPr>
      </w:pPr>
      <w:r>
        <w:rPr>
          <w:rFonts w:ascii="Verdana" w:hAnsi="Verdana"/>
          <w:sz w:val="20"/>
          <w:szCs w:val="20"/>
        </w:rPr>
        <w:t xml:space="preserve">Systemy ekologichnogo upravlinnja. Vymogy ta nastanovy shhodo zastosovuvannja (ISO 14001:2015, IDT). Retrieved from </w:t>
      </w:r>
      <w:hyperlink r:id="rId81" w:history="1">
        <w:r>
          <w:rPr>
            <w:rFonts w:ascii="Verdana" w:hAnsi="Verdana"/>
            <w:sz w:val="20"/>
            <w:szCs w:val="20"/>
          </w:rPr>
          <w:t>http://online.budstandart.com/ua/catalog/doc-page?id_doc=64015</w:t>
        </w:r>
      </w:hyperlink>
      <w:r>
        <w:rPr>
          <w:rFonts w:ascii="Verdana" w:hAnsi="Verdana"/>
          <w:sz w:val="20"/>
          <w:szCs w:val="20"/>
        </w:rPr>
        <w:t>.</w:t>
      </w:r>
    </w:p>
    <w:p w:rsidR="005C3F63" w:rsidRDefault="006536E7">
      <w:pPr>
        <w:rPr>
          <w:rFonts w:ascii="Verdana" w:hAnsi="Verdana"/>
          <w:sz w:val="20"/>
          <w:szCs w:val="20"/>
        </w:rPr>
      </w:pPr>
      <w:r>
        <w:rPr>
          <w:rFonts w:ascii="Verdana" w:hAnsi="Verdana"/>
          <w:iCs/>
          <w:sz w:val="20"/>
          <w:szCs w:val="20"/>
        </w:rPr>
        <w:t xml:space="preserve">Vyhivska, I. M., Hryhorevska, О. О., Lyakhovich, G. I., Khomenko, H. Y. (2019). </w:t>
      </w:r>
      <w:r>
        <w:rPr>
          <w:rFonts w:ascii="Verdana" w:hAnsi="Verdana"/>
          <w:sz w:val="20"/>
          <w:szCs w:val="20"/>
        </w:rPr>
        <w:t xml:space="preserve">Organization of accounting and risk-management of educational activity: development directions in the conditions of implementation of the quality management system. Registrovaný vo: Web of Science. </w:t>
      </w:r>
      <w:r>
        <w:rPr>
          <w:rFonts w:ascii="Verdana" w:hAnsi="Verdana"/>
          <w:i/>
          <w:sz w:val="20"/>
          <w:szCs w:val="20"/>
        </w:rPr>
        <w:t>Financial and credit activities: problems of theory and practice</w:t>
      </w:r>
      <w:r>
        <w:rPr>
          <w:rFonts w:ascii="Verdana" w:hAnsi="Verdana"/>
          <w:sz w:val="20"/>
          <w:szCs w:val="20"/>
        </w:rPr>
        <w:t xml:space="preserve">. № 4 (31). P. 82-93 Retrieved from </w:t>
      </w:r>
      <w:hyperlink r:id="rId82" w:history="1">
        <w:r>
          <w:rPr>
            <w:rFonts w:ascii="Verdana" w:hAnsi="Verdana"/>
            <w:sz w:val="20"/>
            <w:szCs w:val="20"/>
          </w:rPr>
          <w:t>http://fkd.org.ua/article/view/190801</w:t>
        </w:r>
      </w:hyperlink>
      <w:r>
        <w:rPr>
          <w:rFonts w:ascii="Verdana" w:hAnsi="Verdana"/>
          <w:sz w:val="20"/>
          <w:szCs w:val="20"/>
        </w:rPr>
        <w:t>.</w:t>
      </w:r>
    </w:p>
    <w:p w:rsidR="005C3F63" w:rsidRDefault="006536E7">
      <w:pPr>
        <w:jc w:val="left"/>
        <w:rPr>
          <w:rFonts w:ascii="Verdana" w:hAnsi="Verdana"/>
          <w:sz w:val="20"/>
          <w:szCs w:val="20"/>
        </w:rPr>
      </w:pPr>
      <w:r>
        <w:rPr>
          <w:rFonts w:ascii="Verdana" w:hAnsi="Verdana"/>
          <w:sz w:val="20"/>
          <w:szCs w:val="20"/>
        </w:rPr>
        <w:br w:type="page"/>
      </w:r>
    </w:p>
    <w:p w:rsidR="005C3F63" w:rsidRDefault="006536E7">
      <w:pPr>
        <w:pStyle w:val="1"/>
        <w:spacing w:before="0" w:after="240"/>
        <w:rPr>
          <w:rFonts w:cs="Times New Roman"/>
          <w:szCs w:val="24"/>
        </w:rPr>
      </w:pPr>
      <w:bookmarkStart w:id="216" w:name="_Toc47951510"/>
      <w:r>
        <w:rPr>
          <w:rFonts w:cs="Times New Roman"/>
          <w:szCs w:val="24"/>
        </w:rPr>
        <w:lastRenderedPageBreak/>
        <w:t>Corporate governance, current regulation in the Czech Republic, publication of information about emergency situations</w:t>
      </w:r>
      <w:bookmarkEnd w:id="216"/>
    </w:p>
    <w:p w:rsidR="005C3F63" w:rsidRDefault="005C3F63">
      <w:pPr>
        <w:pStyle w:val="a1"/>
        <w:rPr>
          <w:lang w:eastAsia="cs-CZ" w:bidi="ar-SA"/>
        </w:rPr>
      </w:pPr>
    </w:p>
    <w:p w:rsidR="005C3F63" w:rsidRDefault="006536E7">
      <w:pPr>
        <w:spacing w:after="120"/>
        <w:jc w:val="center"/>
        <w:rPr>
          <w:rFonts w:ascii="Verdana" w:hAnsi="Verdana"/>
          <w:b/>
          <w:sz w:val="20"/>
          <w:szCs w:val="20"/>
        </w:rPr>
      </w:pPr>
      <w:bookmarkStart w:id="217" w:name="_Toc47951511"/>
      <w:bookmarkStart w:id="218" w:name="_Toc47951352"/>
      <w:bookmarkStart w:id="219" w:name="_Toc47951445"/>
      <w:r>
        <w:rPr>
          <w:rStyle w:val="AutorChar"/>
          <w:sz w:val="20"/>
        </w:rPr>
        <w:t>Robert Jurka</w:t>
      </w:r>
      <w:r>
        <w:rPr>
          <w:rStyle w:val="AutorChar"/>
          <w:sz w:val="20"/>
          <w:vertAlign w:val="superscript"/>
        </w:rPr>
        <w:t>1</w:t>
      </w:r>
      <w:r>
        <w:rPr>
          <w:rStyle w:val="AutorChar"/>
          <w:sz w:val="20"/>
        </w:rPr>
        <w:t>, Jaroslava Roubíčková</w:t>
      </w:r>
      <w:r>
        <w:rPr>
          <w:rStyle w:val="AutorChar"/>
          <w:sz w:val="20"/>
          <w:vertAlign w:val="superscript"/>
        </w:rPr>
        <w:t>2</w:t>
      </w:r>
      <w:bookmarkEnd w:id="217"/>
      <w:bookmarkEnd w:id="218"/>
      <w:bookmarkEnd w:id="219"/>
      <w:r>
        <w:rPr>
          <w:rFonts w:ascii="Verdana" w:hAnsi="Verdana"/>
          <w:b/>
          <w:sz w:val="20"/>
        </w:rPr>
        <w:t xml:space="preserve"> </w:t>
      </w:r>
      <w:r>
        <w:rPr>
          <w:rFonts w:ascii="Verdana" w:hAnsi="Verdana"/>
          <w:b/>
          <w:sz w:val="20"/>
        </w:rPr>
        <w:br/>
      </w:r>
    </w:p>
    <w:p w:rsidR="005C3F63" w:rsidRDefault="006536E7">
      <w:pPr>
        <w:jc w:val="center"/>
        <w:rPr>
          <w:rFonts w:ascii="Verdana" w:hAnsi="Verdana"/>
          <w:sz w:val="18"/>
          <w:szCs w:val="18"/>
        </w:rPr>
      </w:pPr>
      <w:r>
        <w:rPr>
          <w:rFonts w:ascii="Verdana" w:hAnsi="Verdana"/>
          <w:sz w:val="18"/>
          <w:vertAlign w:val="superscript"/>
        </w:rPr>
        <w:t xml:space="preserve">1 </w:t>
      </w:r>
      <w:r>
        <w:rPr>
          <w:rFonts w:ascii="Verdana" w:hAnsi="Verdana"/>
          <w:sz w:val="18"/>
        </w:rPr>
        <w:t xml:space="preserve">University of Economics, Prague </w:t>
      </w:r>
    </w:p>
    <w:p w:rsidR="005C3F63" w:rsidRDefault="006536E7">
      <w:pPr>
        <w:jc w:val="center"/>
        <w:rPr>
          <w:rFonts w:ascii="Verdana" w:hAnsi="Verdana"/>
          <w:sz w:val="18"/>
          <w:szCs w:val="18"/>
        </w:rPr>
      </w:pPr>
      <w:r>
        <w:rPr>
          <w:rFonts w:ascii="Verdana" w:hAnsi="Verdana"/>
          <w:sz w:val="18"/>
        </w:rPr>
        <w:t>Faculty of Finance and Accounting, Department of Financial Accounting and Auditing</w:t>
      </w:r>
    </w:p>
    <w:p w:rsidR="005C3F63" w:rsidRDefault="006536E7">
      <w:pPr>
        <w:jc w:val="center"/>
        <w:rPr>
          <w:rFonts w:ascii="Verdana" w:hAnsi="Verdana"/>
          <w:sz w:val="18"/>
          <w:szCs w:val="18"/>
        </w:rPr>
      </w:pPr>
      <w:r>
        <w:rPr>
          <w:rFonts w:ascii="Verdana" w:hAnsi="Verdana"/>
          <w:sz w:val="18"/>
        </w:rPr>
        <w:t>Winston Churchill Sq 1938/4, 13067 Prague, Czech Republic</w:t>
      </w:r>
    </w:p>
    <w:p w:rsidR="005C3F63" w:rsidRDefault="006536E7">
      <w:pPr>
        <w:jc w:val="center"/>
        <w:rPr>
          <w:rFonts w:ascii="Verdana" w:hAnsi="Verdana"/>
          <w:sz w:val="18"/>
          <w:szCs w:val="18"/>
        </w:rPr>
      </w:pPr>
      <w:r>
        <w:rPr>
          <w:rFonts w:ascii="Verdana" w:hAnsi="Verdana"/>
          <w:sz w:val="18"/>
        </w:rPr>
        <w:t xml:space="preserve"> E-mail: robert.jurka@vse.cz </w:t>
      </w:r>
    </w:p>
    <w:p w:rsidR="005C3F63" w:rsidRDefault="005C3F63">
      <w:pPr>
        <w:rPr>
          <w:rFonts w:ascii="Verdana" w:hAnsi="Verdana"/>
          <w:sz w:val="18"/>
          <w:szCs w:val="18"/>
        </w:rPr>
      </w:pPr>
    </w:p>
    <w:p w:rsidR="005C3F63" w:rsidRDefault="005C3F63">
      <w:pPr>
        <w:jc w:val="center"/>
        <w:rPr>
          <w:rFonts w:ascii="Verdana" w:hAnsi="Verdana"/>
          <w:sz w:val="18"/>
          <w:szCs w:val="18"/>
        </w:rPr>
      </w:pPr>
    </w:p>
    <w:p w:rsidR="005C3F63" w:rsidRDefault="006536E7">
      <w:pPr>
        <w:jc w:val="center"/>
        <w:rPr>
          <w:rFonts w:ascii="Verdana" w:hAnsi="Verdana"/>
          <w:sz w:val="18"/>
          <w:szCs w:val="18"/>
        </w:rPr>
      </w:pPr>
      <w:r>
        <w:rPr>
          <w:rFonts w:ascii="Verdana" w:hAnsi="Verdana"/>
          <w:sz w:val="18"/>
          <w:vertAlign w:val="superscript"/>
        </w:rPr>
        <w:t xml:space="preserve">2 </w:t>
      </w:r>
      <w:r>
        <w:rPr>
          <w:rFonts w:ascii="Verdana" w:hAnsi="Verdana"/>
          <w:sz w:val="18"/>
        </w:rPr>
        <w:t xml:space="preserve">University of Economics, Prague </w:t>
      </w:r>
    </w:p>
    <w:p w:rsidR="005C3F63" w:rsidRDefault="006536E7">
      <w:pPr>
        <w:jc w:val="center"/>
        <w:rPr>
          <w:rFonts w:ascii="Verdana" w:hAnsi="Verdana"/>
          <w:sz w:val="18"/>
          <w:szCs w:val="18"/>
        </w:rPr>
      </w:pPr>
      <w:r>
        <w:rPr>
          <w:rFonts w:ascii="Verdana" w:hAnsi="Verdana"/>
          <w:sz w:val="18"/>
        </w:rPr>
        <w:t>Faculty of Finance and Accounting, Department of Financial Accounting and Auditing</w:t>
      </w:r>
    </w:p>
    <w:p w:rsidR="005C3F63" w:rsidRDefault="006536E7">
      <w:pPr>
        <w:jc w:val="center"/>
        <w:rPr>
          <w:rFonts w:ascii="Verdana" w:hAnsi="Verdana"/>
          <w:sz w:val="18"/>
          <w:szCs w:val="18"/>
        </w:rPr>
      </w:pPr>
      <w:r>
        <w:rPr>
          <w:rFonts w:ascii="Verdana" w:hAnsi="Verdana"/>
          <w:sz w:val="18"/>
        </w:rPr>
        <w:t>Winston Churchill Sq 1938/4, 13067 Prague, Czech Republic</w:t>
      </w:r>
    </w:p>
    <w:p w:rsidR="005C3F63" w:rsidRDefault="006536E7">
      <w:pPr>
        <w:jc w:val="center"/>
        <w:rPr>
          <w:rFonts w:ascii="Verdana" w:hAnsi="Verdana"/>
          <w:sz w:val="18"/>
          <w:szCs w:val="18"/>
        </w:rPr>
      </w:pPr>
      <w:r>
        <w:rPr>
          <w:rFonts w:ascii="Verdana" w:hAnsi="Verdana"/>
          <w:sz w:val="18"/>
        </w:rPr>
        <w:t xml:space="preserve">E-mail: jaroslava.roubickova@vse.cz </w:t>
      </w:r>
    </w:p>
    <w:p w:rsidR="005C3F63" w:rsidRDefault="006536E7">
      <w:pPr>
        <w:jc w:val="center"/>
        <w:rPr>
          <w:rFonts w:ascii="Verdana" w:hAnsi="Verdana"/>
          <w:sz w:val="18"/>
          <w:szCs w:val="18"/>
        </w:rPr>
      </w:pPr>
      <w:r>
        <w:rPr>
          <w:rFonts w:ascii="Verdana" w:hAnsi="Verdana"/>
          <w:sz w:val="18"/>
        </w:rPr>
        <w:t xml:space="preserve"> </w:t>
      </w:r>
    </w:p>
    <w:p w:rsidR="005C3F63" w:rsidRDefault="006536E7">
      <w:pPr>
        <w:jc w:val="center"/>
        <w:rPr>
          <w:rFonts w:ascii="Verdana" w:hAnsi="Verdana"/>
          <w:sz w:val="18"/>
          <w:szCs w:val="18"/>
        </w:rPr>
      </w:pPr>
      <w:r>
        <w:rPr>
          <w:rFonts w:ascii="Verdana" w:hAnsi="Verdana"/>
          <w:sz w:val="18"/>
        </w:rPr>
        <w:t xml:space="preserve"> </w:t>
      </w:r>
    </w:p>
    <w:p w:rsidR="005C3F63" w:rsidRDefault="006536E7">
      <w:pPr>
        <w:jc w:val="center"/>
        <w:rPr>
          <w:rFonts w:ascii="Verdana" w:hAnsi="Verdana"/>
          <w:sz w:val="18"/>
          <w:szCs w:val="18"/>
        </w:rPr>
      </w:pPr>
      <w:r>
        <w:rPr>
          <w:rFonts w:ascii="Verdana" w:hAnsi="Verdana"/>
          <w:sz w:val="18"/>
        </w:rPr>
        <w:t xml:space="preserve"> </w:t>
      </w:r>
    </w:p>
    <w:p w:rsidR="005C3F63" w:rsidRDefault="005C3F63">
      <w:pPr>
        <w:rPr>
          <w:rFonts w:ascii="Verdana" w:hAnsi="Verdana"/>
          <w:sz w:val="22"/>
        </w:rPr>
      </w:pPr>
    </w:p>
    <w:p w:rsidR="005C3F63" w:rsidRDefault="006536E7">
      <w:pPr>
        <w:spacing w:after="120"/>
        <w:rPr>
          <w:rFonts w:ascii="Verdana" w:hAnsi="Verdana"/>
          <w:i/>
          <w:sz w:val="20"/>
          <w:szCs w:val="20"/>
        </w:rPr>
      </w:pPr>
      <w:r>
        <w:rPr>
          <w:rFonts w:ascii="Verdana" w:hAnsi="Verdana"/>
          <w:b/>
          <w:i/>
          <w:sz w:val="20"/>
        </w:rPr>
        <w:t xml:space="preserve">Abstract: </w:t>
      </w:r>
      <w:r>
        <w:rPr>
          <w:rFonts w:ascii="Verdana" w:hAnsi="Verdana"/>
          <w:sz w:val="20"/>
        </w:rPr>
        <w:t>This piece deals with the issue related to corporate governance, namely in two ways. First, it deals with changes in legislative and other fields governing the given topic in the Czech Republic between 2019 and 2020. At the same time, a very current topic is included here, namely the emergency situation with the consequences of a global pandemic of COVID-</w:t>
      </w:r>
      <w:r>
        <w:rPr>
          <w:rFonts w:ascii="Verdana" w:hAnsi="Verdana"/>
          <w:sz w:val="20"/>
          <w:vertAlign w:val="subscript"/>
        </w:rPr>
        <w:t>19</w:t>
      </w:r>
      <w:r>
        <w:rPr>
          <w:rFonts w:ascii="Verdana" w:hAnsi="Verdana"/>
          <w:sz w:val="20"/>
        </w:rPr>
        <w:t xml:space="preserve"> and the reaction of companies’ management to the measures taken in relation to the impact on further development of their activities (going concern).</w:t>
      </w:r>
    </w:p>
    <w:p w:rsidR="005C3F63" w:rsidRDefault="006536E7">
      <w:pPr>
        <w:spacing w:after="120"/>
        <w:rPr>
          <w:rFonts w:ascii="Verdana" w:hAnsi="Verdana"/>
          <w:i/>
          <w:sz w:val="20"/>
          <w:szCs w:val="20"/>
        </w:rPr>
      </w:pPr>
      <w:r>
        <w:rPr>
          <w:rFonts w:ascii="Verdana" w:hAnsi="Verdana"/>
          <w:b/>
          <w:i/>
          <w:sz w:val="20"/>
        </w:rPr>
        <w:t>Keywords:</w:t>
      </w:r>
      <w:r>
        <w:rPr>
          <w:rFonts w:ascii="Verdana" w:hAnsi="Verdana"/>
          <w:i/>
          <w:sz w:val="20"/>
        </w:rPr>
        <w:t xml:space="preserve"> corporate governance, corporate governance manual, best practice, annual report, covid-19</w:t>
      </w:r>
    </w:p>
    <w:p w:rsidR="005C3F63" w:rsidRDefault="006536E7">
      <w:pPr>
        <w:pStyle w:val="Kapitola"/>
        <w:rPr>
          <w:b w:val="0"/>
          <w:bCs w:val="0"/>
          <w:sz w:val="20"/>
          <w:lang w:eastAsia="en-US" w:bidi="en-US"/>
        </w:rPr>
      </w:pPr>
      <w:r>
        <w:rPr>
          <w:b w:val="0"/>
          <w:bCs w:val="0"/>
          <w:i/>
        </w:rPr>
        <w:t>JEL codes:</w:t>
      </w:r>
      <w:r>
        <w:rPr>
          <w:b w:val="0"/>
          <w:bCs w:val="0"/>
          <w:sz w:val="20"/>
          <w:lang w:eastAsia="en-US" w:bidi="en-US"/>
        </w:rPr>
        <w:t xml:space="preserve">  M41</w:t>
      </w:r>
    </w:p>
    <w:p w:rsidR="005C3F63" w:rsidRDefault="006536E7">
      <w:pPr>
        <w:spacing w:before="240" w:after="120"/>
        <w:jc w:val="left"/>
        <w:rPr>
          <w:rStyle w:val="KapitolaChar"/>
        </w:rPr>
      </w:pPr>
      <w:r>
        <w:rPr>
          <w:rStyle w:val="KapitolaChar"/>
        </w:rPr>
        <w:t xml:space="preserve">1 Introduction </w:t>
      </w:r>
    </w:p>
    <w:p w:rsidR="005C3F63" w:rsidRDefault="006536E7">
      <w:pPr>
        <w:autoSpaceDE w:val="0"/>
        <w:autoSpaceDN w:val="0"/>
        <w:adjustRightInd w:val="0"/>
        <w:rPr>
          <w:rFonts w:ascii="Verdana" w:hAnsi="Verdana"/>
          <w:sz w:val="20"/>
          <w:szCs w:val="20"/>
        </w:rPr>
      </w:pPr>
      <w:r>
        <w:rPr>
          <w:rFonts w:ascii="Verdana" w:hAnsi="Verdana"/>
          <w:sz w:val="20"/>
        </w:rPr>
        <w:t>Corporate governance and compliance strive for responsible, qualified, and transparent business management, which focuses on the long-term success of the company and the protection of interests of the groups involved. Corporate governance is a system by which the company is managed and controlled. It defines the distribution of rights and obligations between the company’s parties involved such as shareholders, executive</w:t>
      </w:r>
      <w:r>
        <w:rPr>
          <w:rFonts w:ascii="Verdana" w:hAnsi="Verdana"/>
          <w:sz w:val="22"/>
        </w:rPr>
        <w:t xml:space="preserve"> </w:t>
      </w:r>
      <w:r>
        <w:rPr>
          <w:rFonts w:ascii="Verdana" w:hAnsi="Verdana"/>
          <w:sz w:val="20"/>
        </w:rPr>
        <w:t>management, the company’s bodies, employees, and customers. Source: 2019 annual report of Škoda Auto, a.s., detail?dokument=62259034&amp;subjektId=47718&amp;spis=73153).</w:t>
      </w:r>
    </w:p>
    <w:p w:rsidR="005C3F63" w:rsidRDefault="005C3F63">
      <w:pPr>
        <w:autoSpaceDE w:val="0"/>
        <w:autoSpaceDN w:val="0"/>
        <w:adjustRightInd w:val="0"/>
        <w:rPr>
          <w:rFonts w:ascii="Verdana" w:hAnsi="Verdana"/>
          <w:sz w:val="20"/>
          <w:szCs w:val="20"/>
        </w:rPr>
      </w:pPr>
    </w:p>
    <w:p w:rsidR="005C3F63" w:rsidRDefault="006536E7">
      <w:pPr>
        <w:autoSpaceDE w:val="0"/>
        <w:autoSpaceDN w:val="0"/>
        <w:adjustRightInd w:val="0"/>
        <w:rPr>
          <w:rFonts w:ascii="Verdana" w:hAnsi="Verdana" w:cs="TimesNewRomanPSMT"/>
          <w:sz w:val="20"/>
          <w:szCs w:val="20"/>
        </w:rPr>
      </w:pPr>
      <w:r>
        <w:rPr>
          <w:rFonts w:ascii="Verdana" w:hAnsi="Verdana"/>
          <w:sz w:val="20"/>
        </w:rPr>
        <w:t>A published annual report should include transparent information. The annual report is a reflection of each company. Each year, individual companies present the results of their activities and other important information there. The annual reports, thus, include data related to the administration and management of the company. Source: Jurka (2018), https://insis.vse.cz/auth/zp/zp_portal.pl?zp=35447;;historie=1;historie=1;vedouci=128)</w:t>
      </w:r>
    </w:p>
    <w:p w:rsidR="005C3F63" w:rsidRDefault="005C3F63">
      <w:pPr>
        <w:autoSpaceDE w:val="0"/>
        <w:autoSpaceDN w:val="0"/>
        <w:adjustRightInd w:val="0"/>
        <w:rPr>
          <w:rFonts w:ascii="Verdana" w:hAnsi="Verdana" w:cs="TimesNewRomanPSMT"/>
          <w:sz w:val="20"/>
          <w:szCs w:val="20"/>
        </w:rPr>
      </w:pPr>
    </w:p>
    <w:p w:rsidR="005C3F63" w:rsidRDefault="006536E7">
      <w:pPr>
        <w:spacing w:after="120"/>
        <w:rPr>
          <w:rFonts w:ascii="Verdana" w:hAnsi="Verdana"/>
          <w:sz w:val="20"/>
          <w:szCs w:val="20"/>
        </w:rPr>
      </w:pPr>
      <w:r>
        <w:rPr>
          <w:rFonts w:ascii="Verdana" w:hAnsi="Verdana"/>
          <w:sz w:val="20"/>
        </w:rPr>
        <w:t>The aim of this piece is to get acquainted with the current situation in the business environment, in the regulation of corporate governance, in published information in the Czech Republic and the impact of emergency measures in relation to COVID-</w:t>
      </w:r>
      <w:r>
        <w:rPr>
          <w:rFonts w:ascii="Verdana" w:hAnsi="Verdana"/>
          <w:sz w:val="20"/>
          <w:vertAlign w:val="subscript"/>
        </w:rPr>
        <w:t>19</w:t>
      </w:r>
      <w:r>
        <w:rPr>
          <w:rFonts w:ascii="Verdana" w:hAnsi="Verdana"/>
          <w:sz w:val="20"/>
        </w:rPr>
        <w:t xml:space="preserve"> in the conditions between 2019 and the end of July 2020.</w:t>
      </w:r>
    </w:p>
    <w:p w:rsidR="005C3F63" w:rsidRDefault="005C3F63">
      <w:pPr>
        <w:autoSpaceDE w:val="0"/>
        <w:autoSpaceDN w:val="0"/>
        <w:adjustRightInd w:val="0"/>
        <w:rPr>
          <w:rFonts w:ascii="Verdana" w:hAnsi="Verdana" w:cs="TimesNewRomanPSMT"/>
          <w:sz w:val="20"/>
          <w:szCs w:val="20"/>
        </w:rPr>
      </w:pPr>
    </w:p>
    <w:p w:rsidR="005C3F63" w:rsidRDefault="006536E7">
      <w:pPr>
        <w:spacing w:before="240" w:after="120"/>
        <w:jc w:val="left"/>
        <w:rPr>
          <w:rFonts w:ascii="Verdana" w:hAnsi="Verdana" w:cs="Arial"/>
          <w:bCs/>
          <w:kern w:val="32"/>
          <w:sz w:val="18"/>
          <w:szCs w:val="18"/>
        </w:rPr>
      </w:pPr>
      <w:r>
        <w:rPr>
          <w:rStyle w:val="KapitolaChar"/>
        </w:rPr>
        <w:t>2 Methodology and Data</w:t>
      </w:r>
      <w:r>
        <w:rPr>
          <w:rFonts w:ascii="Verdana" w:hAnsi="Verdana"/>
          <w:b/>
          <w:sz w:val="22"/>
        </w:rPr>
        <w:t xml:space="preserve"> </w:t>
      </w:r>
    </w:p>
    <w:p w:rsidR="005C3F63" w:rsidRDefault="006536E7">
      <w:pPr>
        <w:spacing w:after="120"/>
        <w:rPr>
          <w:rFonts w:ascii="Verdana" w:hAnsi="Verdana"/>
          <w:sz w:val="20"/>
          <w:szCs w:val="20"/>
        </w:rPr>
      </w:pPr>
      <w:r>
        <w:rPr>
          <w:rFonts w:ascii="Verdana" w:hAnsi="Verdana"/>
          <w:sz w:val="20"/>
        </w:rPr>
        <w:t xml:space="preserve">Available resources related to the preparation of the handbook for corporate governance in the Czech Republic constituted the object of examination. An exceptional event in the </w:t>
      </w:r>
      <w:r>
        <w:rPr>
          <w:rFonts w:ascii="Verdana" w:hAnsi="Verdana"/>
          <w:sz w:val="20"/>
        </w:rPr>
        <w:lastRenderedPageBreak/>
        <w:t>first quarter of 2020 comprised the emergency situation caused by the global pandemic of COVID-</w:t>
      </w:r>
      <w:r>
        <w:rPr>
          <w:rFonts w:ascii="Verdana" w:hAnsi="Verdana"/>
          <w:sz w:val="20"/>
          <w:vertAlign w:val="subscript"/>
        </w:rPr>
        <w:t xml:space="preserve">19 </w:t>
      </w:r>
      <w:r>
        <w:rPr>
          <w:rFonts w:ascii="Verdana" w:hAnsi="Verdana"/>
          <w:sz w:val="20"/>
        </w:rPr>
        <w:t>and these circumstances required subsequent measures, which should have been accepted and published.</w:t>
      </w:r>
    </w:p>
    <w:p w:rsidR="005C3F63" w:rsidRDefault="006536E7">
      <w:pPr>
        <w:rPr>
          <w:rFonts w:ascii="Verdana" w:hAnsi="Verdana"/>
          <w:sz w:val="20"/>
          <w:szCs w:val="20"/>
        </w:rPr>
      </w:pPr>
      <w:r>
        <w:rPr>
          <w:rFonts w:ascii="Verdana" w:hAnsi="Verdana"/>
          <w:sz w:val="20"/>
        </w:rPr>
        <w:t>Impacts of COVID-</w:t>
      </w:r>
      <w:r>
        <w:rPr>
          <w:rFonts w:ascii="Verdana" w:hAnsi="Verdana"/>
          <w:sz w:val="20"/>
          <w:vertAlign w:val="subscript"/>
        </w:rPr>
        <w:t>19</w:t>
      </w:r>
      <w:r>
        <w:rPr>
          <w:rFonts w:ascii="Verdana" w:hAnsi="Verdana"/>
          <w:sz w:val="20"/>
        </w:rPr>
        <w:t xml:space="preserve"> should have been described by the management of the accounting unit in the annual report at least in the part relating to the facts which occurred only after the balance sheet date and constitute a mandatory requirement of the annual report pursuant to Section 21 (2)(a) of Act No. 563/1991 Coll., on Accounting, as amended (hereinafter referred to as ‘AoA’). These requirements were published in the Recommendation of the Chamber of Auditors of the Czech Republic for auditors when issuing auditor’s reports for financial statements for the financial year ending 31 December 2019 and later in relation to COVID-</w:t>
      </w:r>
      <w:r>
        <w:rPr>
          <w:rFonts w:ascii="Verdana" w:hAnsi="Verdana"/>
          <w:sz w:val="20"/>
          <w:vertAlign w:val="subscript"/>
        </w:rPr>
        <w:t>19</w:t>
      </w:r>
      <w:r>
        <w:rPr>
          <w:rFonts w:ascii="Verdana" w:hAnsi="Verdana"/>
          <w:sz w:val="20"/>
        </w:rPr>
        <w:t xml:space="preserve"> in the Czech Republic. Source: (</w:t>
      </w:r>
      <w:hyperlink r:id="rId83" w:history="1">
        <w:r>
          <w:rPr>
            <w:rStyle w:val="af9"/>
            <w:rFonts w:ascii="Verdana" w:hAnsi="Verdana"/>
            <w:sz w:val="20"/>
          </w:rPr>
          <w:t>https://www.kacr.cz/covid-191</w:t>
        </w:r>
      </w:hyperlink>
      <w:r>
        <w:rPr>
          <w:rFonts w:ascii="Verdana" w:hAnsi="Verdana"/>
          <w:sz w:val="20"/>
        </w:rPr>
        <w:t>).</w:t>
      </w:r>
    </w:p>
    <w:p w:rsidR="005C3F63" w:rsidRDefault="005C3F63">
      <w:pPr>
        <w:rPr>
          <w:rFonts w:ascii="Verdana" w:hAnsi="Verdana"/>
          <w:sz w:val="20"/>
          <w:szCs w:val="20"/>
        </w:rPr>
      </w:pPr>
    </w:p>
    <w:p w:rsidR="005C3F63" w:rsidRDefault="006536E7">
      <w:pPr>
        <w:autoSpaceDE w:val="0"/>
        <w:autoSpaceDN w:val="0"/>
        <w:adjustRightInd w:val="0"/>
        <w:rPr>
          <w:rFonts w:ascii="Verdana" w:hAnsi="Verdana"/>
          <w:sz w:val="20"/>
          <w:szCs w:val="20"/>
        </w:rPr>
      </w:pPr>
      <w:r>
        <w:rPr>
          <w:rFonts w:ascii="Verdana" w:hAnsi="Verdana"/>
          <w:sz w:val="20"/>
        </w:rPr>
        <w:t xml:space="preserve">Published and audited data from the companies’ annual reports for the period of 2019 available by the end of July 2020 were assessed as transparent by random selection. This concerned companies with different scope of activities, i.e., production and assembly of car parts and accessories; production of motor vehicle parts; assembly, repairs and reconstruction of cooling equipment and heating pumps; production of keyboard instruments, intermediation of business activities and services, purchase of goods for the purposes of its further resale and sale; purchase of goods for the purposes of its further resale and sale in the field of industrial fertilizers, agrochemicals, agricultural products and materials for chemical production and further </w:t>
      </w:r>
      <w:r>
        <w:rPr>
          <w:rFonts w:ascii="Verdana" w:hAnsi="Verdana"/>
          <w:sz w:val="20"/>
          <w:szCs w:val="20"/>
        </w:rPr>
        <w:t>holding of investments; services of land</w:t>
      </w:r>
      <w:r>
        <w:rPr>
          <w:rFonts w:ascii="Verdana" w:hAnsi="Verdana"/>
          <w:sz w:val="20"/>
        </w:rPr>
        <w:t xml:space="preserve"> check-in of travellers, air planes, cargo and mail for additional airlines; insurance services; ensuring of congresses, symposia, trade fairs, exhibitions and other social events, ensuring of artistic and cultural events, hospitality activities, lease of immovables, flats and non-residential premises.</w:t>
      </w:r>
    </w:p>
    <w:p w:rsidR="005C3F63" w:rsidRDefault="005C3F63">
      <w:pPr>
        <w:autoSpaceDE w:val="0"/>
        <w:autoSpaceDN w:val="0"/>
        <w:adjustRightInd w:val="0"/>
        <w:rPr>
          <w:rFonts w:ascii="Verdana" w:hAnsi="Verdana"/>
          <w:sz w:val="20"/>
          <w:szCs w:val="20"/>
        </w:rPr>
      </w:pPr>
    </w:p>
    <w:p w:rsidR="005C3F63" w:rsidRDefault="006536E7">
      <w:pPr>
        <w:autoSpaceDE w:val="0"/>
        <w:autoSpaceDN w:val="0"/>
        <w:adjustRightInd w:val="0"/>
        <w:rPr>
          <w:rFonts w:ascii="Verdana" w:hAnsi="Verdana"/>
          <w:sz w:val="20"/>
          <w:szCs w:val="20"/>
        </w:rPr>
      </w:pPr>
      <w:r>
        <w:rPr>
          <w:rFonts w:ascii="Verdana" w:hAnsi="Verdana"/>
          <w:sz w:val="20"/>
        </w:rPr>
        <w:t>The data analysed comprise initial information on the expected development. What the reality and consequences are for the further development of the global economy and the activities of individual companies, will be significantly under the influence of the current situation.</w:t>
      </w:r>
    </w:p>
    <w:p w:rsidR="005C3F63" w:rsidRDefault="005C3F63">
      <w:pPr>
        <w:spacing w:after="120"/>
        <w:rPr>
          <w:rFonts w:ascii="Verdana" w:hAnsi="Verdana"/>
          <w:sz w:val="20"/>
          <w:szCs w:val="20"/>
        </w:rPr>
      </w:pPr>
    </w:p>
    <w:p w:rsidR="005C3F63" w:rsidRDefault="006536E7">
      <w:pPr>
        <w:pStyle w:val="Kapitola"/>
      </w:pPr>
      <w:r>
        <w:t xml:space="preserve">3 Results and Discussion </w:t>
      </w:r>
    </w:p>
    <w:p w:rsidR="005C3F63" w:rsidRDefault="005C3F63">
      <w:pPr>
        <w:spacing w:after="120"/>
        <w:rPr>
          <w:rFonts w:ascii="Verdana" w:hAnsi="Verdana"/>
          <w:sz w:val="20"/>
          <w:szCs w:val="20"/>
        </w:rPr>
      </w:pPr>
    </w:p>
    <w:p w:rsidR="005C3F63" w:rsidRDefault="006536E7">
      <w:pPr>
        <w:rPr>
          <w:rFonts w:ascii="Verdana" w:hAnsi="Verdana"/>
          <w:b/>
          <w:bCs/>
          <w:sz w:val="20"/>
          <w:szCs w:val="20"/>
        </w:rPr>
      </w:pPr>
      <w:r>
        <w:rPr>
          <w:rFonts w:ascii="Verdana" w:hAnsi="Verdana"/>
          <w:b/>
          <w:sz w:val="20"/>
        </w:rPr>
        <w:t>3.1 Corporate governance changes in the Czech Republic during 2019 and part of 2020</w:t>
      </w:r>
    </w:p>
    <w:p w:rsidR="005C3F63" w:rsidRDefault="005C3F63">
      <w:pPr>
        <w:rPr>
          <w:rFonts w:ascii="Verdana" w:hAnsi="Verdana"/>
          <w:b/>
          <w:bCs/>
          <w:sz w:val="20"/>
          <w:szCs w:val="20"/>
        </w:rPr>
      </w:pPr>
    </w:p>
    <w:p w:rsidR="005C3F63" w:rsidRDefault="006536E7">
      <w:pPr>
        <w:rPr>
          <w:rFonts w:ascii="Verdana" w:hAnsi="Verdana"/>
          <w:sz w:val="20"/>
          <w:szCs w:val="20"/>
        </w:rPr>
      </w:pPr>
      <w:r>
        <w:rPr>
          <w:rFonts w:ascii="Verdana" w:hAnsi="Verdana"/>
          <w:sz w:val="20"/>
        </w:rPr>
        <w:t xml:space="preserve">Neither last year nor this year there were  many legislative changes or other changes concerning the issue of corporate governance in the Czech Republic. For the purposes of the article, we have selected two areas that deserve increased attention – preparation of corporate governance manual and new remuneration policy. </w:t>
      </w:r>
    </w:p>
    <w:p w:rsidR="005C3F63" w:rsidRDefault="005C3F63">
      <w:pPr>
        <w:rPr>
          <w:rFonts w:ascii="Verdana" w:hAnsi="Verdana"/>
          <w:sz w:val="20"/>
          <w:szCs w:val="20"/>
        </w:rPr>
      </w:pPr>
    </w:p>
    <w:p w:rsidR="005C3F63" w:rsidRDefault="006536E7">
      <w:pPr>
        <w:pStyle w:val="afd"/>
        <w:numPr>
          <w:ilvl w:val="2"/>
          <w:numId w:val="15"/>
        </w:numPr>
        <w:spacing w:after="160" w:line="259" w:lineRule="auto"/>
        <w:rPr>
          <w:rFonts w:ascii="Verdana" w:hAnsi="Verdana"/>
          <w:b/>
          <w:bCs/>
          <w:i/>
          <w:iCs/>
          <w:sz w:val="20"/>
          <w:szCs w:val="20"/>
        </w:rPr>
      </w:pPr>
      <w:r>
        <w:rPr>
          <w:rFonts w:ascii="Verdana" w:hAnsi="Verdana"/>
          <w:b/>
          <w:sz w:val="20"/>
        </w:rPr>
        <w:t>Corporate governance manual</w:t>
      </w:r>
      <w:r>
        <w:rPr>
          <w:rFonts w:ascii="Verdana" w:hAnsi="Verdana"/>
          <w:b/>
          <w:i/>
          <w:sz w:val="20"/>
        </w:rPr>
        <w:t xml:space="preserve"> </w:t>
      </w:r>
    </w:p>
    <w:p w:rsidR="005C3F63" w:rsidRDefault="006536E7">
      <w:pPr>
        <w:rPr>
          <w:rFonts w:ascii="Verdana" w:hAnsi="Verdana"/>
          <w:sz w:val="20"/>
        </w:rPr>
      </w:pPr>
      <w:r>
        <w:rPr>
          <w:rFonts w:ascii="Verdana" w:hAnsi="Verdana"/>
          <w:sz w:val="20"/>
        </w:rPr>
        <w:t xml:space="preserve">The Czech Institute of Directors is an independent non-profit organisation founded in 1998. It deals with corporate corporate governance, for corporations. It strives to promote worldwide proven standards – Best Practice – of corporate governance in the Czech Republic. Based on Mrs. Monika Zahálková, executive director, the Czech Institute of Directors will work during 2021 on a manual that will help companies with better orientation of corporate governance and changes that will be brought not only by the amendment of business corporations regulation. This manual will be not only for owners or shareholders, but also for management and members of elected bodies. The manual should, e.g., provide answers to questions related to: </w:t>
      </w:r>
    </w:p>
    <w:p w:rsidR="005C3F63" w:rsidRDefault="006536E7">
      <w:pPr>
        <w:rPr>
          <w:rFonts w:ascii="Verdana" w:hAnsi="Verdana"/>
          <w:sz w:val="20"/>
          <w:szCs w:val="20"/>
        </w:rPr>
      </w:pPr>
      <w:r>
        <w:rPr>
          <w:rFonts w:ascii="Verdana" w:hAnsi="Verdana"/>
          <w:sz w:val="20"/>
        </w:rPr>
        <w:t>• what agenda the supervisory board should have;</w:t>
      </w:r>
    </w:p>
    <w:p w:rsidR="005C3F63" w:rsidRDefault="006536E7">
      <w:pPr>
        <w:rPr>
          <w:rFonts w:ascii="Verdana" w:hAnsi="Verdana"/>
          <w:sz w:val="20"/>
          <w:szCs w:val="20"/>
        </w:rPr>
      </w:pPr>
      <w:r>
        <w:rPr>
          <w:rFonts w:ascii="Verdana" w:hAnsi="Verdana"/>
          <w:sz w:val="20"/>
        </w:rPr>
        <w:t>• how to set up relations between the Board of Directors and the Supervisory Board.</w:t>
      </w:r>
    </w:p>
    <w:p w:rsidR="005C3F63" w:rsidRDefault="006536E7">
      <w:pPr>
        <w:rPr>
          <w:rFonts w:ascii="Verdana" w:hAnsi="Verdana"/>
          <w:sz w:val="20"/>
          <w:szCs w:val="20"/>
        </w:rPr>
      </w:pPr>
      <w:r>
        <w:rPr>
          <w:rFonts w:ascii="Verdana" w:hAnsi="Verdana"/>
          <w:sz w:val="20"/>
        </w:rPr>
        <w:lastRenderedPageBreak/>
        <w:t xml:space="preserve">It is expected that this manual will be released during the second half of 2020. </w:t>
      </w:r>
    </w:p>
    <w:p w:rsidR="005C3F63" w:rsidRDefault="006536E7">
      <w:pPr>
        <w:rPr>
          <w:rStyle w:val="af9"/>
          <w:rFonts w:ascii="Verdana" w:hAnsi="Verdana"/>
          <w:sz w:val="20"/>
          <w:szCs w:val="20"/>
          <w:lang w:val="fr-FR"/>
        </w:rPr>
      </w:pPr>
      <w:r>
        <w:rPr>
          <w:rFonts w:ascii="Verdana" w:hAnsi="Verdana"/>
          <w:sz w:val="20"/>
          <w:lang w:val="fr-FR"/>
        </w:rPr>
        <w:t xml:space="preserve">Source: </w:t>
      </w:r>
      <w:hyperlink r:id="rId84" w:history="1">
        <w:r>
          <w:rPr>
            <w:rStyle w:val="af9"/>
            <w:rFonts w:ascii="Verdana" w:hAnsi="Verdana"/>
            <w:sz w:val="20"/>
            <w:lang w:val="fr-FR"/>
          </w:rPr>
          <w:t>https://mailchi.mp/4a040405edce/cjn_2_2019-1074841</w:t>
        </w:r>
      </w:hyperlink>
      <w:r>
        <w:rPr>
          <w:rStyle w:val="af9"/>
          <w:rFonts w:ascii="Verdana" w:hAnsi="Verdana"/>
          <w:sz w:val="20"/>
          <w:lang w:val="fr-FR"/>
        </w:rPr>
        <w:t>.</w:t>
      </w:r>
    </w:p>
    <w:p w:rsidR="005C3F63" w:rsidRDefault="005C3F63">
      <w:pPr>
        <w:rPr>
          <w:rFonts w:ascii="Verdana" w:hAnsi="Verdana"/>
          <w:sz w:val="20"/>
          <w:szCs w:val="20"/>
          <w:lang w:val="fr-FR"/>
        </w:rPr>
      </w:pPr>
    </w:p>
    <w:p w:rsidR="005C3F63" w:rsidRDefault="006536E7">
      <w:pPr>
        <w:pStyle w:val="afd"/>
        <w:numPr>
          <w:ilvl w:val="2"/>
          <w:numId w:val="15"/>
        </w:numPr>
        <w:spacing w:after="160" w:line="259" w:lineRule="auto"/>
        <w:rPr>
          <w:rFonts w:ascii="Verdana" w:hAnsi="Verdana"/>
          <w:b/>
          <w:bCs/>
          <w:sz w:val="20"/>
          <w:szCs w:val="20"/>
        </w:rPr>
      </w:pPr>
      <w:r>
        <w:rPr>
          <w:rFonts w:ascii="Verdana" w:hAnsi="Verdana"/>
          <w:b/>
          <w:sz w:val="20"/>
        </w:rPr>
        <w:t xml:space="preserve">New remuneration policy </w:t>
      </w:r>
    </w:p>
    <w:p w:rsidR="005C3F63" w:rsidRDefault="006536E7">
      <w:pPr>
        <w:rPr>
          <w:rFonts w:ascii="Verdana" w:hAnsi="Verdana"/>
          <w:iCs/>
          <w:sz w:val="20"/>
          <w:szCs w:val="20"/>
        </w:rPr>
      </w:pPr>
      <w:r>
        <w:rPr>
          <w:rFonts w:ascii="Verdana" w:hAnsi="Verdana"/>
          <w:iCs/>
          <w:sz w:val="20"/>
        </w:rPr>
        <w:t xml:space="preserve">On 22 August 2019, it was published in the Czech Collection of Laws under No. 204/2019 Coll. a law amending certain laws in connection with the promotion of the exercise of shareholders' rights. In this connection new rules for the remuneration policy of members of boards of directors, supervisory or administrative boards, members of top management were introduced. Companies whose shares are publicly traded on stock exchanges will have to draw up a policy for the remuneration of members of the company's elected bodies and publish reports on the remuneration of individual members of the company's bodies (the remuneration policy will need to include e.g. all information on both fixed and variable components of remuneration). </w:t>
      </w:r>
    </w:p>
    <w:p w:rsidR="005C3F63" w:rsidRDefault="006536E7">
      <w:pPr>
        <w:rPr>
          <w:rFonts w:ascii="Verdana" w:hAnsi="Verdana"/>
          <w:iCs/>
          <w:sz w:val="20"/>
        </w:rPr>
      </w:pPr>
      <w:r>
        <w:rPr>
          <w:rFonts w:ascii="Verdana" w:hAnsi="Verdana"/>
          <w:iCs/>
          <w:sz w:val="20"/>
        </w:rPr>
        <w:t xml:space="preserve">If the company's management does not submit a remuneration policy to the General Meeting for approval, then the members of the Board of Directors, or the Board of Directors, will perform their functions free of charge. </w:t>
      </w:r>
    </w:p>
    <w:p w:rsidR="005C3F63" w:rsidRDefault="006536E7">
      <w:pPr>
        <w:rPr>
          <w:rFonts w:ascii="Verdana" w:hAnsi="Verdana"/>
          <w:iCs/>
          <w:sz w:val="20"/>
          <w:szCs w:val="20"/>
        </w:rPr>
      </w:pPr>
      <w:r>
        <w:rPr>
          <w:rFonts w:ascii="Verdana" w:hAnsi="Verdana"/>
          <w:iCs/>
          <w:sz w:val="20"/>
        </w:rPr>
        <w:t xml:space="preserve">The remuneration policy will be submitted by management for approval whenever there is a material change or at least every four years. If approved by the general meeting, the company will have to publish it on its website and keep it there for the entire time it will apply it. </w:t>
      </w:r>
    </w:p>
    <w:p w:rsidR="005C3F63" w:rsidRDefault="006536E7">
      <w:pPr>
        <w:rPr>
          <w:rStyle w:val="af9"/>
          <w:rFonts w:ascii="Verdana" w:hAnsi="Verdana"/>
          <w:sz w:val="20"/>
          <w:szCs w:val="20"/>
        </w:rPr>
      </w:pPr>
      <w:r>
        <w:rPr>
          <w:rFonts w:ascii="Verdana" w:hAnsi="Verdana"/>
          <w:iCs/>
          <w:sz w:val="20"/>
        </w:rPr>
        <w:t>Companies will also have to prepare a clear and comprehensible report on all remuneration received by members of selected bodies and publish it on the internet</w:t>
      </w:r>
      <w:r>
        <w:rPr>
          <w:rFonts w:ascii="Verdana" w:hAnsi="Verdana"/>
          <w:i/>
          <w:sz w:val="20"/>
        </w:rPr>
        <w:t>.</w:t>
      </w:r>
      <w:r>
        <w:rPr>
          <w:rFonts w:ascii="Verdana" w:hAnsi="Verdana"/>
          <w:sz w:val="20"/>
        </w:rPr>
        <w:t xml:space="preserve"> Source: </w:t>
      </w:r>
      <w:hyperlink r:id="rId85" w:history="1">
        <w:r>
          <w:rPr>
            <w:rStyle w:val="af9"/>
            <w:rFonts w:ascii="Verdana" w:hAnsi="Verdana"/>
            <w:sz w:val="20"/>
          </w:rPr>
          <w:t>https://www.zlato.cz/z-domova/firmy-akciemi-trhu-budou-muset-mit-zasady-odmenovani/</w:t>
        </w:r>
      </w:hyperlink>
      <w:r>
        <w:rPr>
          <w:rStyle w:val="af9"/>
          <w:rFonts w:ascii="Verdana" w:hAnsi="Verdana"/>
          <w:sz w:val="20"/>
        </w:rPr>
        <w:t>.</w:t>
      </w:r>
    </w:p>
    <w:p w:rsidR="005C3F63" w:rsidRDefault="005C3F63">
      <w:pPr>
        <w:rPr>
          <w:rFonts w:ascii="Verdana" w:hAnsi="Verdana"/>
          <w:sz w:val="20"/>
          <w:szCs w:val="20"/>
        </w:rPr>
      </w:pPr>
    </w:p>
    <w:p w:rsidR="005C3F63" w:rsidRDefault="006536E7">
      <w:pPr>
        <w:rPr>
          <w:rFonts w:ascii="Verdana" w:hAnsi="Verdana"/>
          <w:b/>
          <w:bCs/>
          <w:sz w:val="20"/>
          <w:szCs w:val="20"/>
        </w:rPr>
      </w:pPr>
      <w:r>
        <w:rPr>
          <w:rFonts w:ascii="Verdana" w:hAnsi="Verdana"/>
          <w:b/>
          <w:sz w:val="20"/>
        </w:rPr>
        <w:t>3.2 COVID-</w:t>
      </w:r>
      <w:r>
        <w:rPr>
          <w:rFonts w:ascii="Verdana" w:hAnsi="Verdana"/>
          <w:b/>
          <w:sz w:val="20"/>
          <w:vertAlign w:val="subscript"/>
        </w:rPr>
        <w:t>19</w:t>
      </w:r>
      <w:r>
        <w:rPr>
          <w:rFonts w:ascii="Verdana" w:hAnsi="Verdana"/>
          <w:sz w:val="20"/>
          <w:vertAlign w:val="subscript"/>
        </w:rPr>
        <w:t xml:space="preserve"> </w:t>
      </w:r>
      <w:r>
        <w:rPr>
          <w:rFonts w:ascii="Verdana" w:hAnsi="Verdana"/>
          <w:b/>
          <w:sz w:val="20"/>
        </w:rPr>
        <w:t xml:space="preserve">and published information </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rPr>
        <w:t>In companies where the scope of activities comprise activities that are not significantly affected by COVID-</w:t>
      </w:r>
      <w:r>
        <w:rPr>
          <w:rFonts w:ascii="Verdana" w:hAnsi="Verdana"/>
          <w:sz w:val="20"/>
          <w:vertAlign w:val="subscript"/>
        </w:rPr>
        <w:t xml:space="preserve">19, </w:t>
      </w:r>
      <w:r>
        <w:rPr>
          <w:rFonts w:ascii="Verdana" w:hAnsi="Verdana"/>
          <w:sz w:val="20"/>
        </w:rPr>
        <w:t>as a general rule, the description is in the following form in the annual report in the same way as in the attachment to the financial statement. By selection, the published information is attached from the sample of selected companies.</w:t>
      </w:r>
    </w:p>
    <w:p w:rsidR="005C3F63" w:rsidRDefault="005C3F63">
      <w:pPr>
        <w:rPr>
          <w:rFonts w:ascii="Verdana" w:hAnsi="Verdana"/>
          <w:sz w:val="20"/>
          <w:szCs w:val="20"/>
        </w:rPr>
      </w:pPr>
    </w:p>
    <w:p w:rsidR="005C3F63" w:rsidRDefault="006536E7">
      <w:pPr>
        <w:autoSpaceDE w:val="0"/>
        <w:autoSpaceDN w:val="0"/>
        <w:adjustRightInd w:val="0"/>
        <w:rPr>
          <w:rFonts w:ascii="Verdana" w:hAnsi="Verdana"/>
          <w:sz w:val="20"/>
          <w:szCs w:val="20"/>
        </w:rPr>
      </w:pPr>
      <w:r>
        <w:rPr>
          <w:rFonts w:ascii="Verdana" w:hAnsi="Verdana"/>
          <w:b/>
          <w:sz w:val="20"/>
        </w:rPr>
        <w:t>3.2.1</w:t>
      </w:r>
      <w:r>
        <w:rPr>
          <w:rFonts w:ascii="Verdana" w:hAnsi="Verdana"/>
          <w:sz w:val="20"/>
        </w:rPr>
        <w:t xml:space="preserve"> After the financial statement date, there were no significant events that would materially affect the amount of assets, liabilities, financial situation, and economic results as of 31 December 2019.</w:t>
      </w:r>
    </w:p>
    <w:p w:rsidR="005C3F63" w:rsidRDefault="006536E7">
      <w:pPr>
        <w:autoSpaceDE w:val="0"/>
        <w:autoSpaceDN w:val="0"/>
        <w:adjustRightInd w:val="0"/>
        <w:rPr>
          <w:rFonts w:ascii="Verdana" w:hAnsi="Verdana"/>
          <w:sz w:val="20"/>
          <w:szCs w:val="20"/>
        </w:rPr>
      </w:pPr>
      <w:r>
        <w:rPr>
          <w:rFonts w:ascii="Verdana" w:hAnsi="Verdana"/>
          <w:sz w:val="20"/>
        </w:rPr>
        <w:t>The company’s management is closely monitoring the situation related to COVID-</w:t>
      </w:r>
      <w:r>
        <w:rPr>
          <w:rFonts w:ascii="Verdana" w:hAnsi="Verdana"/>
          <w:sz w:val="20"/>
          <w:vertAlign w:val="subscript"/>
        </w:rPr>
        <w:t>19</w:t>
      </w:r>
      <w:r>
        <w:rPr>
          <w:rFonts w:ascii="Verdana" w:hAnsi="Verdana"/>
          <w:sz w:val="20"/>
        </w:rPr>
        <w:t xml:space="preserve"> and seeks ways to minimise the impact of this pandemic on the company’s activities. Nevertheless, the company was forced to suspend production in the months of March and April 2020.</w:t>
      </w:r>
    </w:p>
    <w:p w:rsidR="005C3F63" w:rsidRDefault="006536E7">
      <w:pPr>
        <w:autoSpaceDE w:val="0"/>
        <w:autoSpaceDN w:val="0"/>
        <w:adjustRightInd w:val="0"/>
        <w:rPr>
          <w:rFonts w:ascii="Verdana" w:hAnsi="Verdana"/>
          <w:sz w:val="20"/>
          <w:szCs w:val="20"/>
        </w:rPr>
      </w:pPr>
      <w:r>
        <w:rPr>
          <w:rFonts w:ascii="Verdana" w:hAnsi="Verdana"/>
          <w:sz w:val="20"/>
        </w:rPr>
        <w:t>Management of the company considered the potential impacts of COVID-</w:t>
      </w:r>
      <w:r>
        <w:rPr>
          <w:rFonts w:ascii="Verdana" w:hAnsi="Verdana"/>
          <w:sz w:val="20"/>
          <w:vertAlign w:val="subscript"/>
        </w:rPr>
        <w:t>19</w:t>
      </w:r>
      <w:r>
        <w:rPr>
          <w:rFonts w:ascii="Verdana" w:hAnsi="Verdana"/>
          <w:sz w:val="20"/>
        </w:rPr>
        <w:t xml:space="preserve"> on its activities and conducting business and concluded that they do not have a significant impact on the assumption of unlimited term of the business. Given this fact the financial statement as of 31 December 2019 was prepared provided that the company continues to be able to pursue its activities. </w:t>
      </w:r>
    </w:p>
    <w:p w:rsidR="005C3F63" w:rsidRDefault="006536E7">
      <w:pPr>
        <w:rPr>
          <w:szCs w:val="24"/>
        </w:rPr>
      </w:pPr>
      <w:r>
        <w:rPr>
          <w:rFonts w:ascii="Verdana" w:hAnsi="Verdana"/>
          <w:sz w:val="20"/>
        </w:rPr>
        <w:t xml:space="preserve">Source: </w:t>
      </w:r>
      <w:hyperlink r:id="rId86" w:history="1">
        <w:r>
          <w:rPr>
            <w:rStyle w:val="af9"/>
            <w:rFonts w:ascii="Verdana" w:hAnsi="Verdana"/>
            <w:sz w:val="20"/>
          </w:rPr>
          <w:t>https://or.justice.cz/ias/ui/vypis-sl-firma?subjektId=472955</w:t>
        </w:r>
      </w:hyperlink>
      <w:r>
        <w:rPr>
          <w:rStyle w:val="af9"/>
          <w:rFonts w:ascii="Verdana" w:hAnsi="Verdana"/>
          <w:sz w:val="20"/>
        </w:rPr>
        <w:t>.</w:t>
      </w:r>
    </w:p>
    <w:p w:rsidR="005C3F63" w:rsidRDefault="005C3F63">
      <w:pPr>
        <w:autoSpaceDE w:val="0"/>
        <w:autoSpaceDN w:val="0"/>
        <w:adjustRightInd w:val="0"/>
        <w:rPr>
          <w:rFonts w:ascii="Verdana" w:hAnsi="Verdana"/>
          <w:sz w:val="20"/>
          <w:szCs w:val="20"/>
        </w:rPr>
      </w:pPr>
    </w:p>
    <w:p w:rsidR="005C3F63" w:rsidRDefault="005C3F63">
      <w:pPr>
        <w:autoSpaceDE w:val="0"/>
        <w:autoSpaceDN w:val="0"/>
        <w:adjustRightInd w:val="0"/>
        <w:rPr>
          <w:rFonts w:ascii="Verdana" w:hAnsi="Verdana"/>
          <w:sz w:val="20"/>
          <w:szCs w:val="20"/>
        </w:rPr>
      </w:pPr>
    </w:p>
    <w:p w:rsidR="005C3F63" w:rsidRDefault="006536E7">
      <w:pPr>
        <w:autoSpaceDE w:val="0"/>
        <w:autoSpaceDN w:val="0"/>
        <w:adjustRightInd w:val="0"/>
        <w:rPr>
          <w:rFonts w:ascii="Verdana" w:hAnsi="Verdana"/>
          <w:sz w:val="20"/>
          <w:szCs w:val="20"/>
        </w:rPr>
      </w:pPr>
      <w:r>
        <w:rPr>
          <w:rFonts w:ascii="Verdana" w:hAnsi="Verdana"/>
          <w:b/>
          <w:sz w:val="20"/>
        </w:rPr>
        <w:t xml:space="preserve">3.2.2 </w:t>
      </w:r>
      <w:r>
        <w:rPr>
          <w:rFonts w:ascii="Verdana" w:hAnsi="Verdana"/>
          <w:sz w:val="20"/>
        </w:rPr>
        <w:t>For 2020, we expect the continuation of uncertainty in our sector in Europe, which is supported by the Covid-</w:t>
      </w:r>
      <w:r>
        <w:rPr>
          <w:rFonts w:ascii="Verdana" w:hAnsi="Verdana"/>
          <w:sz w:val="20"/>
          <w:vertAlign w:val="subscript"/>
        </w:rPr>
        <w:t>19</w:t>
      </w:r>
      <w:r>
        <w:rPr>
          <w:rFonts w:ascii="Verdana" w:hAnsi="Verdana"/>
          <w:sz w:val="20"/>
        </w:rPr>
        <w:t xml:space="preserve"> situation. In accordance with the mentioned priority of the health protection of our employees, we have implemented all available protective measures in a timely manner and thus ensured the continuation of production without significant restrictions. For this reason, we continue to adapt to the seasonality of customer demand, increasing productivity in the areas of purchasing and manufacturing and purchasing, and we also continue to modernise our production processes through investments in production automation.</w:t>
      </w:r>
    </w:p>
    <w:p w:rsidR="005C3F63" w:rsidRDefault="006536E7">
      <w:pPr>
        <w:autoSpaceDE w:val="0"/>
        <w:autoSpaceDN w:val="0"/>
        <w:adjustRightInd w:val="0"/>
        <w:rPr>
          <w:szCs w:val="24"/>
        </w:rPr>
      </w:pPr>
      <w:r>
        <w:rPr>
          <w:rFonts w:ascii="Verdana" w:hAnsi="Verdana"/>
          <w:sz w:val="20"/>
        </w:rPr>
        <w:t xml:space="preserve">Source: </w:t>
      </w:r>
      <w:hyperlink r:id="rId87" w:history="1">
        <w:r>
          <w:rPr>
            <w:rStyle w:val="af9"/>
            <w:rFonts w:ascii="Verdana" w:hAnsi="Verdana"/>
            <w:sz w:val="20"/>
          </w:rPr>
          <w:t>https://or.justice.cz/ias/ui/vypis-sl-firma?subjektId=578476</w:t>
        </w:r>
      </w:hyperlink>
    </w:p>
    <w:p w:rsidR="005C3F63" w:rsidRDefault="005C3F63">
      <w:pPr>
        <w:autoSpaceDE w:val="0"/>
        <w:autoSpaceDN w:val="0"/>
        <w:adjustRightInd w:val="0"/>
        <w:rPr>
          <w:rFonts w:ascii="Verdana" w:hAnsi="Verdana"/>
          <w:sz w:val="20"/>
          <w:szCs w:val="20"/>
        </w:rPr>
      </w:pPr>
    </w:p>
    <w:p w:rsidR="005C3F63" w:rsidRDefault="005C3F63">
      <w:pPr>
        <w:autoSpaceDE w:val="0"/>
        <w:autoSpaceDN w:val="0"/>
        <w:adjustRightInd w:val="0"/>
        <w:rPr>
          <w:rFonts w:ascii="Verdana" w:hAnsi="Verdana"/>
          <w:sz w:val="20"/>
          <w:szCs w:val="20"/>
        </w:rPr>
      </w:pPr>
    </w:p>
    <w:p w:rsidR="005C3F63" w:rsidRDefault="006536E7">
      <w:pPr>
        <w:autoSpaceDE w:val="0"/>
        <w:autoSpaceDN w:val="0"/>
        <w:adjustRightInd w:val="0"/>
        <w:rPr>
          <w:rFonts w:ascii="Verdana" w:hAnsi="Verdana"/>
          <w:sz w:val="20"/>
          <w:szCs w:val="20"/>
        </w:rPr>
      </w:pPr>
      <w:r>
        <w:rPr>
          <w:rFonts w:ascii="Verdana" w:hAnsi="Verdana"/>
          <w:b/>
          <w:sz w:val="20"/>
        </w:rPr>
        <w:t xml:space="preserve">3.2.3 </w:t>
      </w:r>
      <w:r>
        <w:rPr>
          <w:rFonts w:ascii="Verdana" w:hAnsi="Verdana"/>
          <w:sz w:val="20"/>
        </w:rPr>
        <w:t>As the situation is unstable and develops rapidly, it is not possible to estimate the potential impact on the company. The potential impact of the epidemic on the company’s macroeconomic forecasts, position, and results will be taken into account in 2020. This situation does not affect the fact that the company will continue to operate as an undertaking with an unlimited term.</w:t>
      </w:r>
    </w:p>
    <w:p w:rsidR="005C3F63" w:rsidRDefault="006536E7">
      <w:pPr>
        <w:autoSpaceDE w:val="0"/>
        <w:autoSpaceDN w:val="0"/>
        <w:adjustRightInd w:val="0"/>
        <w:rPr>
          <w:rFonts w:ascii="Verdana" w:hAnsi="Verdana"/>
          <w:sz w:val="20"/>
          <w:szCs w:val="20"/>
        </w:rPr>
      </w:pPr>
      <w:r>
        <w:rPr>
          <w:rFonts w:ascii="Verdana" w:hAnsi="Verdana"/>
          <w:sz w:val="20"/>
        </w:rPr>
        <w:t xml:space="preserve">Source: </w:t>
      </w:r>
      <w:hyperlink r:id="rId88" w:history="1">
        <w:r>
          <w:rPr>
            <w:rStyle w:val="af9"/>
            <w:rFonts w:ascii="Verdana" w:hAnsi="Verdana"/>
            <w:sz w:val="20"/>
          </w:rPr>
          <w:t>https://or.justice.cz/ias/ui/vypis-sl-firma?subjektId=525681</w:t>
        </w:r>
      </w:hyperlink>
    </w:p>
    <w:p w:rsidR="005C3F63" w:rsidRDefault="005C3F63">
      <w:pPr>
        <w:autoSpaceDE w:val="0"/>
        <w:autoSpaceDN w:val="0"/>
        <w:adjustRightInd w:val="0"/>
        <w:rPr>
          <w:szCs w:val="24"/>
        </w:rPr>
      </w:pPr>
    </w:p>
    <w:p w:rsidR="005C3F63" w:rsidRDefault="005C3F63">
      <w:pPr>
        <w:rPr>
          <w:rFonts w:ascii="Verdana" w:hAnsi="Verdana"/>
          <w:sz w:val="20"/>
          <w:szCs w:val="20"/>
        </w:rPr>
      </w:pPr>
    </w:p>
    <w:p w:rsidR="005C3F63" w:rsidRDefault="006536E7">
      <w:pPr>
        <w:autoSpaceDE w:val="0"/>
        <w:autoSpaceDN w:val="0"/>
        <w:adjustRightInd w:val="0"/>
        <w:rPr>
          <w:rFonts w:ascii="Verdana" w:hAnsi="Verdana"/>
          <w:sz w:val="20"/>
          <w:szCs w:val="20"/>
        </w:rPr>
      </w:pPr>
      <w:r>
        <w:rPr>
          <w:rFonts w:ascii="Verdana" w:hAnsi="Verdana"/>
          <w:b/>
          <w:sz w:val="20"/>
        </w:rPr>
        <w:t xml:space="preserve">3.2.4 </w:t>
      </w:r>
      <w:r>
        <w:rPr>
          <w:rFonts w:ascii="Verdana" w:hAnsi="Verdana"/>
          <w:sz w:val="20"/>
        </w:rPr>
        <w:t>In the context of the current situation of the spread of COVID-</w:t>
      </w:r>
      <w:r>
        <w:rPr>
          <w:rFonts w:ascii="Verdana" w:hAnsi="Verdana"/>
          <w:sz w:val="20"/>
          <w:vertAlign w:val="subscript"/>
        </w:rPr>
        <w:t>19</w:t>
      </w:r>
      <w:r>
        <w:rPr>
          <w:rFonts w:ascii="Verdana" w:hAnsi="Verdana"/>
          <w:sz w:val="20"/>
        </w:rPr>
        <w:t xml:space="preserve"> infection and related negative impacts on the air transport sector, there is a high risk of decrease in revenues compared to the planned estimates. Following the declaration of a state of emergency by the government of the Czech Republic and the related restrictions on the travel of Czech citizens abroad and foreign citizens to the Czech Republic, the activities of a number of airlines operating flights from/to Prague were restricted. Management of the company reacts flexibly to the situation that occurred by cost-saving measures in order to minimise the impact on the company’s economic activities. However, should the situation that has occurred last for a longer period of time, it is likely to have a negative impact on the economic result of the current year. The company considers the outbreak of this pandemic to be a follow-up event that does not lead to the adjustment of accounting reports. Any impact on macroeconomic forecasts, our position and results will be included in the provisions and reserves in the 2020 period.</w:t>
      </w:r>
    </w:p>
    <w:p w:rsidR="005C3F63" w:rsidRDefault="006536E7">
      <w:pPr>
        <w:autoSpaceDE w:val="0"/>
        <w:autoSpaceDN w:val="0"/>
        <w:adjustRightInd w:val="0"/>
        <w:rPr>
          <w:szCs w:val="24"/>
        </w:rPr>
      </w:pPr>
      <w:r>
        <w:rPr>
          <w:rFonts w:ascii="Verdana" w:hAnsi="Verdana"/>
          <w:sz w:val="20"/>
        </w:rPr>
        <w:t xml:space="preserve">Source: </w:t>
      </w:r>
      <w:hyperlink r:id="rId89" w:history="1">
        <w:r>
          <w:rPr>
            <w:rStyle w:val="af9"/>
            <w:rFonts w:ascii="Verdana" w:hAnsi="Verdana"/>
            <w:sz w:val="20"/>
          </w:rPr>
          <w:t>https://or.justice.cz/ias/ui/vypis-sl-firma?subjektId=699478</w:t>
        </w:r>
      </w:hyperlink>
    </w:p>
    <w:p w:rsidR="005C3F63" w:rsidRDefault="005C3F63">
      <w:pPr>
        <w:autoSpaceDE w:val="0"/>
        <w:autoSpaceDN w:val="0"/>
        <w:adjustRightInd w:val="0"/>
        <w:rPr>
          <w:b/>
          <w:bCs/>
          <w:szCs w:val="24"/>
        </w:rPr>
      </w:pPr>
    </w:p>
    <w:p w:rsidR="005C3F63" w:rsidRDefault="005C3F63">
      <w:pPr>
        <w:autoSpaceDE w:val="0"/>
        <w:autoSpaceDN w:val="0"/>
        <w:adjustRightInd w:val="0"/>
        <w:rPr>
          <w:rFonts w:ascii="Verdana" w:hAnsi="Verdana"/>
          <w:sz w:val="20"/>
          <w:szCs w:val="20"/>
        </w:rPr>
      </w:pPr>
    </w:p>
    <w:p w:rsidR="005C3F63" w:rsidRDefault="006536E7">
      <w:pPr>
        <w:autoSpaceDE w:val="0"/>
        <w:autoSpaceDN w:val="0"/>
        <w:adjustRightInd w:val="0"/>
        <w:rPr>
          <w:rFonts w:ascii="Verdana" w:hAnsi="Verdana"/>
          <w:color w:val="000000"/>
          <w:sz w:val="20"/>
          <w:szCs w:val="20"/>
        </w:rPr>
      </w:pPr>
      <w:r>
        <w:rPr>
          <w:rFonts w:ascii="Verdana" w:hAnsi="Verdana"/>
          <w:b/>
          <w:sz w:val="20"/>
        </w:rPr>
        <w:t xml:space="preserve">3.2.5 </w:t>
      </w:r>
      <w:r>
        <w:rPr>
          <w:rFonts w:ascii="Verdana" w:hAnsi="Verdana"/>
          <w:sz w:val="20"/>
        </w:rPr>
        <w:t xml:space="preserve"> </w:t>
      </w:r>
      <w:r>
        <w:rPr>
          <w:rFonts w:ascii="Verdana" w:hAnsi="Verdana"/>
          <w:color w:val="000000"/>
          <w:sz w:val="20"/>
          <w:szCs w:val="20"/>
        </w:rPr>
        <w:t xml:space="preserve">Komerční pojišťovna </w:t>
      </w:r>
      <w:r>
        <w:rPr>
          <w:rFonts w:ascii="Verdana" w:hAnsi="Verdana"/>
          <w:color w:val="000000"/>
          <w:sz w:val="20"/>
        </w:rPr>
        <w:t>has implemented a number of measures to ensure proper operation in accordance with prepared operational risk management procedures and business continuity plans. Measures include quarantine rules and working from home.</w:t>
      </w:r>
    </w:p>
    <w:p w:rsidR="005C3F63" w:rsidRDefault="005C3F63">
      <w:pPr>
        <w:autoSpaceDE w:val="0"/>
        <w:autoSpaceDN w:val="0"/>
        <w:adjustRightInd w:val="0"/>
        <w:rPr>
          <w:rFonts w:ascii="Verdana" w:hAnsi="Verdana"/>
          <w:color w:val="000000"/>
          <w:sz w:val="20"/>
          <w:szCs w:val="20"/>
        </w:rPr>
      </w:pPr>
    </w:p>
    <w:p w:rsidR="005C3F63" w:rsidRDefault="006536E7">
      <w:pPr>
        <w:autoSpaceDE w:val="0"/>
        <w:autoSpaceDN w:val="0"/>
        <w:adjustRightInd w:val="0"/>
        <w:rPr>
          <w:rFonts w:ascii="Verdana" w:hAnsi="Verdana"/>
          <w:color w:val="000000"/>
          <w:sz w:val="20"/>
          <w:szCs w:val="20"/>
        </w:rPr>
      </w:pPr>
      <w:r>
        <w:rPr>
          <w:rFonts w:ascii="Verdana" w:hAnsi="Verdana"/>
          <w:color w:val="000000"/>
          <w:sz w:val="20"/>
        </w:rPr>
        <w:t xml:space="preserve">The company seeks to simplify processes of winding-up, negotiation, communication with clients and other necessary activities to maintain the company’s continued duration, knowing that no regulatory requirements on the part of the company towards our clients may be violated. Furthermore, the company regularly informs clients of any measures affecting them (e.g. restrictions on the availability of branches of the insurance company or restrictions on the operation of the client service). As the current situation limits the possibilities of negotiating a new deal, we are preparing a portal for clients and other solutions (including allowing contracts to be negotiated remotely) that would reduce such an impact. </w:t>
      </w:r>
    </w:p>
    <w:p w:rsidR="005C3F63" w:rsidRDefault="005C3F63">
      <w:pPr>
        <w:autoSpaceDE w:val="0"/>
        <w:autoSpaceDN w:val="0"/>
        <w:adjustRightInd w:val="0"/>
        <w:rPr>
          <w:rFonts w:ascii="Verdana" w:hAnsi="Verdana"/>
          <w:color w:val="000000"/>
          <w:sz w:val="20"/>
          <w:szCs w:val="20"/>
        </w:rPr>
      </w:pPr>
    </w:p>
    <w:p w:rsidR="005C3F63" w:rsidRDefault="006536E7">
      <w:pPr>
        <w:autoSpaceDE w:val="0"/>
        <w:autoSpaceDN w:val="0"/>
        <w:adjustRightInd w:val="0"/>
        <w:rPr>
          <w:rFonts w:ascii="Verdana" w:hAnsi="Verdana"/>
          <w:color w:val="000000"/>
          <w:sz w:val="20"/>
          <w:szCs w:val="20"/>
        </w:rPr>
      </w:pPr>
      <w:r>
        <w:rPr>
          <w:rFonts w:ascii="Verdana" w:hAnsi="Verdana"/>
          <w:color w:val="000000"/>
          <w:sz w:val="20"/>
        </w:rPr>
        <w:t xml:space="preserve">The insurance company currently ensures all its operational activities. The economic impacts will depend on the intensity and duration of the epidemic phase of the spread of the </w:t>
      </w:r>
      <w:r>
        <w:rPr>
          <w:rFonts w:ascii="Verdana" w:hAnsi="Verdana"/>
          <w:sz w:val="20"/>
        </w:rPr>
        <w:t>corona virus that causes COVID-</w:t>
      </w:r>
      <w:r>
        <w:rPr>
          <w:rFonts w:ascii="Verdana" w:hAnsi="Verdana"/>
          <w:sz w:val="20"/>
          <w:vertAlign w:val="subscript"/>
        </w:rPr>
        <w:t>19</w:t>
      </w:r>
      <w:r>
        <w:rPr>
          <w:rFonts w:ascii="Verdana" w:hAnsi="Verdana"/>
          <w:color w:val="000000"/>
          <w:sz w:val="20"/>
        </w:rPr>
        <w:t xml:space="preserve"> disease. The slowdown in economic activity is expected to lead to lower numbers of newly concluded insurance contracts, as well as increases in insurance claims.</w:t>
      </w:r>
    </w:p>
    <w:p w:rsidR="005C3F63" w:rsidRDefault="006536E7">
      <w:pPr>
        <w:autoSpaceDE w:val="0"/>
        <w:autoSpaceDN w:val="0"/>
        <w:adjustRightInd w:val="0"/>
        <w:rPr>
          <w:rFonts w:ascii="Verdana" w:hAnsi="Verdana" w:cs="Calibri"/>
          <w:color w:val="000000"/>
          <w:sz w:val="20"/>
          <w:szCs w:val="20"/>
        </w:rPr>
      </w:pPr>
      <w:r>
        <w:rPr>
          <w:rFonts w:ascii="Verdana" w:hAnsi="Verdana"/>
          <w:color w:val="000000"/>
          <w:sz w:val="20"/>
        </w:rPr>
        <w:t>Source:https://or.justice.cz/ias/ui/vypis-sl-detail?dokument=61736027&amp;subjektId=467120&amp;spis=75898</w:t>
      </w:r>
    </w:p>
    <w:p w:rsidR="005C3F63" w:rsidRDefault="005C3F63">
      <w:pPr>
        <w:autoSpaceDE w:val="0"/>
        <w:autoSpaceDN w:val="0"/>
        <w:adjustRightInd w:val="0"/>
        <w:rPr>
          <w:rFonts w:ascii="Verdana" w:hAnsi="Verdana" w:cs="Calibri"/>
          <w:color w:val="000000"/>
          <w:sz w:val="20"/>
          <w:szCs w:val="20"/>
        </w:rPr>
      </w:pPr>
    </w:p>
    <w:p w:rsidR="005C3F63" w:rsidRDefault="005C3F63">
      <w:pPr>
        <w:autoSpaceDE w:val="0"/>
        <w:autoSpaceDN w:val="0"/>
        <w:adjustRightInd w:val="0"/>
        <w:rPr>
          <w:rFonts w:ascii="Verdana" w:hAnsi="Verdana"/>
          <w:color w:val="000000"/>
          <w:sz w:val="20"/>
          <w:szCs w:val="20"/>
        </w:rPr>
      </w:pPr>
    </w:p>
    <w:p w:rsidR="005C3F63" w:rsidRDefault="006536E7">
      <w:pPr>
        <w:autoSpaceDE w:val="0"/>
        <w:autoSpaceDN w:val="0"/>
        <w:adjustRightInd w:val="0"/>
        <w:rPr>
          <w:rFonts w:ascii="Verdana" w:hAnsi="Verdana"/>
          <w:color w:val="000000"/>
          <w:sz w:val="20"/>
          <w:szCs w:val="20"/>
        </w:rPr>
      </w:pPr>
      <w:r>
        <w:rPr>
          <w:rFonts w:ascii="Verdana" w:hAnsi="Verdana"/>
          <w:b/>
          <w:sz w:val="20"/>
        </w:rPr>
        <w:t>3.2.6</w:t>
      </w:r>
      <w:r>
        <w:rPr>
          <w:rFonts w:ascii="Verdana" w:hAnsi="Verdana"/>
          <w:sz w:val="20"/>
        </w:rPr>
        <w:t xml:space="preserve"> At the time of publication of the financial statements, management experienced a significant decrease in sales, which it assesses as temporary. A crisis crew has been established and an emergency plan has been agreed, including emergency measures to ensure the minimised operation of all our buildings and energy facilities.</w:t>
      </w:r>
      <w:r>
        <w:rPr>
          <w:rFonts w:ascii="Verdana" w:hAnsi="Verdana"/>
          <w:color w:val="000000"/>
          <w:sz w:val="20"/>
        </w:rPr>
        <w:t xml:space="preserve"> The congress tourism and hotel industry sectors are completely subdued in the Czech Republic at the moment. The company realises its business activities only in the area of long-term leases of office space and rental of parking lots. The business partners, who insist on cancelling their events, are refunded the advance payments provided.</w:t>
      </w:r>
    </w:p>
    <w:p w:rsidR="005C3F63" w:rsidRDefault="005C3F63">
      <w:pPr>
        <w:autoSpaceDE w:val="0"/>
        <w:autoSpaceDN w:val="0"/>
        <w:adjustRightInd w:val="0"/>
        <w:rPr>
          <w:rFonts w:ascii="Verdana" w:hAnsi="Verdana"/>
          <w:color w:val="000000"/>
          <w:sz w:val="20"/>
          <w:szCs w:val="20"/>
        </w:rPr>
      </w:pPr>
    </w:p>
    <w:p w:rsidR="005C3F63" w:rsidRDefault="006536E7">
      <w:pPr>
        <w:autoSpaceDE w:val="0"/>
        <w:autoSpaceDN w:val="0"/>
        <w:adjustRightInd w:val="0"/>
        <w:rPr>
          <w:rFonts w:ascii="Verdana" w:hAnsi="Verdana"/>
          <w:color w:val="000000"/>
          <w:sz w:val="20"/>
          <w:szCs w:val="20"/>
        </w:rPr>
      </w:pPr>
      <w:r>
        <w:rPr>
          <w:rFonts w:ascii="Verdana" w:hAnsi="Verdana"/>
          <w:color w:val="000000"/>
          <w:sz w:val="20"/>
        </w:rPr>
        <w:t xml:space="preserve">The Company’s management considered impacts of </w:t>
      </w:r>
      <w:r>
        <w:rPr>
          <w:rFonts w:ascii="Verdana" w:hAnsi="Verdana"/>
          <w:sz w:val="20"/>
        </w:rPr>
        <w:t>COVID-</w:t>
      </w:r>
      <w:r>
        <w:rPr>
          <w:rFonts w:ascii="Verdana" w:hAnsi="Verdana"/>
          <w:sz w:val="20"/>
          <w:vertAlign w:val="subscript"/>
        </w:rPr>
        <w:t xml:space="preserve">19 </w:t>
      </w:r>
      <w:r>
        <w:rPr>
          <w:rFonts w:ascii="Verdana" w:hAnsi="Verdana"/>
          <w:color w:val="000000"/>
          <w:sz w:val="20"/>
        </w:rPr>
        <w:t>on its activities and business and concluded that it is currently unable to reliably quantify, in particular, when the conditions for starting a standard business will be created. For this reason, a crisis variant of the outlook has been prepared, in which the operation of our facilities will no longer be restored in 2020 and the start-up of the hotel and congress activity is planned for 2021. Even if, under this crisis scenario, the company loses up to 80% of its revenues for 2020, the management finds that the situation arisen does not have a significant impact on the assumption of the continuous duration of the company.</w:t>
      </w:r>
    </w:p>
    <w:p w:rsidR="005C3F63" w:rsidRDefault="006536E7">
      <w:pPr>
        <w:autoSpaceDE w:val="0"/>
        <w:autoSpaceDN w:val="0"/>
        <w:adjustRightInd w:val="0"/>
        <w:rPr>
          <w:rFonts w:ascii="Verdana" w:hAnsi="Verdana"/>
          <w:sz w:val="20"/>
          <w:szCs w:val="20"/>
        </w:rPr>
      </w:pPr>
      <w:r>
        <w:rPr>
          <w:rFonts w:ascii="Verdana" w:hAnsi="Verdana"/>
          <w:color w:val="000000"/>
          <w:sz w:val="20"/>
        </w:rPr>
        <w:t xml:space="preserve">Source: </w:t>
      </w:r>
      <w:hyperlink r:id="rId90" w:history="1">
        <w:r>
          <w:rPr>
            <w:rStyle w:val="af9"/>
            <w:rFonts w:ascii="Verdana" w:hAnsi="Verdana"/>
            <w:sz w:val="20"/>
          </w:rPr>
          <w:t>https://or.justice.cz/ias/ui/vypis-sl-firma?subjektId=577953</w:t>
        </w:r>
      </w:hyperlink>
    </w:p>
    <w:p w:rsidR="005C3F63" w:rsidRDefault="005C3F63">
      <w:pPr>
        <w:autoSpaceDE w:val="0"/>
        <w:autoSpaceDN w:val="0"/>
        <w:adjustRightInd w:val="0"/>
        <w:rPr>
          <w:b/>
          <w:bCs/>
          <w:szCs w:val="24"/>
        </w:rPr>
      </w:pPr>
    </w:p>
    <w:p w:rsidR="005C3F63" w:rsidRDefault="005C3F63">
      <w:pPr>
        <w:autoSpaceDE w:val="0"/>
        <w:autoSpaceDN w:val="0"/>
        <w:adjustRightInd w:val="0"/>
        <w:rPr>
          <w:rFonts w:ascii="Verdana" w:hAnsi="Verdana"/>
          <w:sz w:val="20"/>
          <w:szCs w:val="20"/>
          <w:vertAlign w:val="subscript"/>
        </w:rPr>
      </w:pPr>
    </w:p>
    <w:p w:rsidR="005C3F63" w:rsidRDefault="006536E7">
      <w:pPr>
        <w:pStyle w:val="Kapitola"/>
      </w:pPr>
      <w:r>
        <w:t>Conclusions</w:t>
      </w:r>
    </w:p>
    <w:p w:rsidR="005C3F63" w:rsidRDefault="006536E7">
      <w:pPr>
        <w:pStyle w:val="afd"/>
        <w:spacing w:after="120"/>
        <w:ind w:left="0"/>
        <w:contextualSpacing w:val="0"/>
        <w:rPr>
          <w:rFonts w:ascii="Verdana" w:hAnsi="Verdana"/>
          <w:color w:val="000000"/>
          <w:sz w:val="20"/>
          <w:szCs w:val="20"/>
          <w:shd w:val="clear" w:color="auto" w:fill="FFFFFF"/>
        </w:rPr>
      </w:pPr>
      <w:r>
        <w:rPr>
          <w:rFonts w:ascii="Verdana" w:hAnsi="Verdana"/>
          <w:color w:val="000000"/>
          <w:sz w:val="20"/>
          <w:shd w:val="clear" w:color="auto" w:fill="FFFFFF"/>
        </w:rPr>
        <w:t xml:space="preserve">On one hand, the results of the data analysed confirm the state of regulation in the field of corporate governance and the impact of complete emergency measures in response to the </w:t>
      </w:r>
      <w:r>
        <w:rPr>
          <w:rFonts w:ascii="Verdana" w:hAnsi="Verdana"/>
          <w:sz w:val="20"/>
        </w:rPr>
        <w:t>COVID-</w:t>
      </w:r>
      <w:r>
        <w:rPr>
          <w:rFonts w:ascii="Verdana" w:hAnsi="Verdana"/>
          <w:sz w:val="20"/>
          <w:vertAlign w:val="subscript"/>
        </w:rPr>
        <w:t xml:space="preserve">19 </w:t>
      </w:r>
      <w:r>
        <w:rPr>
          <w:rFonts w:ascii="Verdana" w:hAnsi="Verdana"/>
          <w:sz w:val="20"/>
        </w:rPr>
        <w:t xml:space="preserve">pandemic </w:t>
      </w:r>
      <w:r>
        <w:rPr>
          <w:rFonts w:ascii="Verdana" w:hAnsi="Verdana"/>
          <w:color w:val="000000"/>
          <w:sz w:val="20"/>
          <w:shd w:val="clear" w:color="auto" w:fill="FFFFFF"/>
        </w:rPr>
        <w:t>in 2020 and related measures to maintain the assumption of going concern in the activities of companies. It will be interesting to continuously assess the impact of the adopted and published proposals for emergency action procedures and what the shift is in corporate governance regulation in the Czech Republic after the 2020 financial year.</w:t>
      </w:r>
    </w:p>
    <w:p w:rsidR="005C3F63" w:rsidRDefault="005C3F63">
      <w:pPr>
        <w:pStyle w:val="afd"/>
        <w:spacing w:after="120"/>
        <w:ind w:left="0"/>
        <w:contextualSpacing w:val="0"/>
        <w:rPr>
          <w:rFonts w:ascii="Verdana" w:hAnsi="Verdana"/>
          <w:sz w:val="20"/>
          <w:szCs w:val="20"/>
        </w:rPr>
      </w:pPr>
    </w:p>
    <w:p w:rsidR="005C3F63" w:rsidRDefault="006536E7">
      <w:pPr>
        <w:pStyle w:val="Kapitola"/>
      </w:pPr>
      <w:r>
        <w:t>Acknowledgments</w:t>
      </w:r>
    </w:p>
    <w:p w:rsidR="005C3F63" w:rsidRDefault="006536E7">
      <w:pPr>
        <w:spacing w:after="120"/>
        <w:rPr>
          <w:rFonts w:ascii="Verdana" w:hAnsi="Verdana"/>
          <w:sz w:val="20"/>
          <w:szCs w:val="20"/>
        </w:rPr>
      </w:pPr>
      <w:r>
        <w:rPr>
          <w:rFonts w:ascii="Verdana" w:hAnsi="Verdana"/>
          <w:sz w:val="20"/>
        </w:rPr>
        <w:t>The article is prepared as the output of the IP100040 project at the Faculty of Finance and Accounting of the University of Economics in Prague.</w:t>
      </w:r>
    </w:p>
    <w:p w:rsidR="005C3F63" w:rsidRDefault="006536E7">
      <w:pPr>
        <w:pStyle w:val="Kapitola"/>
      </w:pPr>
      <w:r>
        <w:t>References</w:t>
      </w:r>
    </w:p>
    <w:p w:rsidR="005C3F63" w:rsidRDefault="005C3F63">
      <w:pPr>
        <w:pStyle w:val="aff"/>
        <w:rPr>
          <w:rFonts w:ascii="Verdana" w:hAnsi="Verdana"/>
          <w:sz w:val="20"/>
          <w:szCs w:val="20"/>
        </w:rPr>
      </w:pPr>
    </w:p>
    <w:p w:rsidR="005C3F63" w:rsidRDefault="006536E7">
      <w:pPr>
        <w:autoSpaceDE w:val="0"/>
        <w:autoSpaceDN w:val="0"/>
        <w:adjustRightInd w:val="0"/>
        <w:rPr>
          <w:szCs w:val="24"/>
        </w:rPr>
      </w:pPr>
      <w:r>
        <w:t>Jurka, Robert, DisP, 2018</w:t>
      </w:r>
    </w:p>
    <w:p w:rsidR="005C3F63" w:rsidRDefault="00085067">
      <w:pPr>
        <w:autoSpaceDE w:val="0"/>
        <w:autoSpaceDN w:val="0"/>
        <w:adjustRightInd w:val="0"/>
        <w:rPr>
          <w:szCs w:val="24"/>
        </w:rPr>
      </w:pPr>
      <w:hyperlink r:id="rId91" w:history="1">
        <w:r w:rsidR="006536E7">
          <w:rPr>
            <w:rStyle w:val="af9"/>
          </w:rPr>
          <w:t>https://insis.vse.cz/auth/zp/zp_portal.pl?zp=35447;;historie=1;historie=1;vedouci=128</w:t>
        </w:r>
      </w:hyperlink>
    </w:p>
    <w:p w:rsidR="005C3F63" w:rsidRDefault="00085067">
      <w:pPr>
        <w:autoSpaceDE w:val="0"/>
        <w:autoSpaceDN w:val="0"/>
        <w:adjustRightInd w:val="0"/>
        <w:rPr>
          <w:szCs w:val="24"/>
        </w:rPr>
      </w:pPr>
      <w:hyperlink r:id="rId92" w:history="1">
        <w:r w:rsidR="006536E7">
          <w:rPr>
            <w:rStyle w:val="af9"/>
          </w:rPr>
          <w:t>https://or.justice.cz/ias/ui/vypis-sl-detail?dokument=62259034&amp;subjektId=47718&amp;spis=73153</w:t>
        </w:r>
      </w:hyperlink>
    </w:p>
    <w:p w:rsidR="005C3F63" w:rsidRDefault="00085067">
      <w:hyperlink r:id="rId93" w:history="1">
        <w:r w:rsidR="006536E7">
          <w:rPr>
            <w:rStyle w:val="af9"/>
          </w:rPr>
          <w:t>https://mailchi.mp/4a040405edce/cjn_2_2019-1074841</w:t>
        </w:r>
      </w:hyperlink>
    </w:p>
    <w:p w:rsidR="005C3F63" w:rsidRDefault="00085067">
      <w:pPr>
        <w:rPr>
          <w:rStyle w:val="af9"/>
        </w:rPr>
      </w:pPr>
      <w:hyperlink r:id="rId94" w:history="1">
        <w:r w:rsidR="006536E7">
          <w:rPr>
            <w:rStyle w:val="af9"/>
          </w:rPr>
          <w:t>https://www.zlato.cz/z-domova/firmy-akciemi-trhu-budou-muset-mit-zasady-odmenovani/</w:t>
        </w:r>
      </w:hyperlink>
    </w:p>
    <w:p w:rsidR="005C3F63" w:rsidRDefault="00085067">
      <w:pPr>
        <w:rPr>
          <w:szCs w:val="24"/>
        </w:rPr>
      </w:pPr>
      <w:hyperlink r:id="rId95" w:history="1">
        <w:r w:rsidR="006536E7">
          <w:rPr>
            <w:rStyle w:val="af9"/>
          </w:rPr>
          <w:t>https://www.accountancyeurope.eu/professional-matters/covid-19-resources-for-european-accountants/</w:t>
        </w:r>
      </w:hyperlink>
      <w:r w:rsidR="006536E7">
        <w:t xml:space="preserve"> </w:t>
      </w:r>
    </w:p>
    <w:p w:rsidR="005C3F63" w:rsidRDefault="00085067">
      <w:pPr>
        <w:rPr>
          <w:szCs w:val="24"/>
        </w:rPr>
      </w:pPr>
      <w:hyperlink r:id="rId96" w:history="1">
        <w:r w:rsidR="006536E7">
          <w:rPr>
            <w:rStyle w:val="af9"/>
          </w:rPr>
          <w:t>https://www.kacr.cz/covid-191</w:t>
        </w:r>
      </w:hyperlink>
    </w:p>
    <w:p w:rsidR="005C3F63" w:rsidRDefault="00085067">
      <w:pPr>
        <w:rPr>
          <w:szCs w:val="24"/>
        </w:rPr>
      </w:pPr>
      <w:hyperlink r:id="rId97" w:history="1">
        <w:r w:rsidR="006536E7">
          <w:rPr>
            <w:rStyle w:val="af9"/>
          </w:rPr>
          <w:t>https://or.justice.cz/ias/ui/vypis-sl-firma?subjektId=472955</w:t>
        </w:r>
      </w:hyperlink>
    </w:p>
    <w:p w:rsidR="005C3F63" w:rsidRDefault="00085067">
      <w:pPr>
        <w:autoSpaceDE w:val="0"/>
        <w:autoSpaceDN w:val="0"/>
        <w:adjustRightInd w:val="0"/>
        <w:rPr>
          <w:szCs w:val="24"/>
        </w:rPr>
      </w:pPr>
      <w:hyperlink r:id="rId98" w:history="1">
        <w:r w:rsidR="006536E7">
          <w:rPr>
            <w:rStyle w:val="af9"/>
          </w:rPr>
          <w:t>https://or.justice.cz/ias/ui/vypis-sl-firma?subjektId=512708</w:t>
        </w:r>
      </w:hyperlink>
    </w:p>
    <w:p w:rsidR="005C3F63" w:rsidRDefault="00085067">
      <w:pPr>
        <w:autoSpaceDE w:val="0"/>
        <w:autoSpaceDN w:val="0"/>
        <w:adjustRightInd w:val="0"/>
        <w:rPr>
          <w:szCs w:val="24"/>
        </w:rPr>
      </w:pPr>
      <w:hyperlink r:id="rId99" w:history="1">
        <w:r w:rsidR="006536E7">
          <w:rPr>
            <w:rStyle w:val="af9"/>
          </w:rPr>
          <w:t>https://or.justice.cz/ias/ui/vypis-sl-firma?subjektId=578476</w:t>
        </w:r>
      </w:hyperlink>
    </w:p>
    <w:p w:rsidR="005C3F63" w:rsidRDefault="00085067">
      <w:pPr>
        <w:autoSpaceDE w:val="0"/>
        <w:autoSpaceDN w:val="0"/>
        <w:adjustRightInd w:val="0"/>
        <w:rPr>
          <w:szCs w:val="24"/>
        </w:rPr>
      </w:pPr>
      <w:hyperlink r:id="rId100" w:history="1">
        <w:r w:rsidR="006536E7">
          <w:rPr>
            <w:rStyle w:val="af9"/>
          </w:rPr>
          <w:t>https://or.justice.cz/ias/ui/vypis-sl-firma?subjektId=135010</w:t>
        </w:r>
      </w:hyperlink>
    </w:p>
    <w:p w:rsidR="005C3F63" w:rsidRDefault="00085067">
      <w:pPr>
        <w:autoSpaceDE w:val="0"/>
        <w:autoSpaceDN w:val="0"/>
        <w:adjustRightInd w:val="0"/>
        <w:rPr>
          <w:szCs w:val="24"/>
        </w:rPr>
      </w:pPr>
      <w:hyperlink r:id="rId101" w:history="1">
        <w:r w:rsidR="006536E7">
          <w:rPr>
            <w:rStyle w:val="af9"/>
          </w:rPr>
          <w:t>https://or.justice.cz/ias/ui/vypis-sl-firma?subjektId=525681</w:t>
        </w:r>
      </w:hyperlink>
    </w:p>
    <w:p w:rsidR="005C3F63" w:rsidRDefault="00085067">
      <w:pPr>
        <w:autoSpaceDE w:val="0"/>
        <w:autoSpaceDN w:val="0"/>
        <w:adjustRightInd w:val="0"/>
        <w:rPr>
          <w:rStyle w:val="af9"/>
          <w:szCs w:val="24"/>
        </w:rPr>
      </w:pPr>
      <w:hyperlink r:id="rId102" w:history="1">
        <w:r w:rsidR="006536E7">
          <w:rPr>
            <w:rStyle w:val="af9"/>
          </w:rPr>
          <w:t>https://or.justice.cz/ias/ui/vypis-sl-firma?subjektId=699478</w:t>
        </w:r>
      </w:hyperlink>
    </w:p>
    <w:p w:rsidR="005C3F63" w:rsidRDefault="006536E7">
      <w:pPr>
        <w:autoSpaceDE w:val="0"/>
        <w:autoSpaceDN w:val="0"/>
        <w:adjustRightInd w:val="0"/>
        <w:rPr>
          <w:color w:val="000000"/>
          <w:szCs w:val="24"/>
        </w:rPr>
      </w:pPr>
      <w:r>
        <w:rPr>
          <w:color w:val="000000"/>
        </w:rPr>
        <w:t>https://or.justice.cz/ias/ui/vypis-sl-detail?dokument=61736027&amp;subjektId=467120&amp;spis=75898</w:t>
      </w:r>
    </w:p>
    <w:p w:rsidR="005C3F63" w:rsidRDefault="00085067">
      <w:pPr>
        <w:autoSpaceDE w:val="0"/>
        <w:autoSpaceDN w:val="0"/>
        <w:adjustRightInd w:val="0"/>
        <w:rPr>
          <w:szCs w:val="24"/>
        </w:rPr>
      </w:pPr>
      <w:hyperlink r:id="rId103" w:history="1">
        <w:r w:rsidR="006536E7">
          <w:rPr>
            <w:rStyle w:val="af9"/>
          </w:rPr>
          <w:t>https://or.justice.cz/ias/ui/vypis-sl-firma?subjektId=577953</w:t>
        </w:r>
      </w:hyperlink>
    </w:p>
    <w:p w:rsidR="005C3F63" w:rsidRDefault="005C3F63">
      <w:pPr>
        <w:pStyle w:val="aff"/>
        <w:rPr>
          <w:rFonts w:ascii="Verdana" w:hAnsi="Verdana"/>
          <w:vanish/>
          <w:sz w:val="20"/>
          <w:szCs w:val="20"/>
        </w:rPr>
      </w:pPr>
    </w:p>
    <w:p w:rsidR="005C3F63" w:rsidRDefault="005C3F63">
      <w:pPr>
        <w:rPr>
          <w:rFonts w:ascii="Verdana" w:hAnsi="Verdana"/>
          <w:sz w:val="20"/>
          <w:szCs w:val="20"/>
        </w:rPr>
      </w:pPr>
    </w:p>
    <w:p w:rsidR="005C3F63" w:rsidRDefault="006536E7">
      <w:pPr>
        <w:spacing w:after="160" w:line="259" w:lineRule="auto"/>
        <w:jc w:val="left"/>
        <w:rPr>
          <w:rFonts w:eastAsia="MS Mincho"/>
          <w:kern w:val="2"/>
          <w:szCs w:val="24"/>
          <w:shd w:val="clear" w:color="auto" w:fill="FFFFFF"/>
          <w:lang w:val="cs-CZ" w:eastAsia="ja-JP" w:bidi="ar-SA"/>
        </w:rPr>
      </w:pPr>
      <w:r>
        <w:rPr>
          <w:lang w:val="cs-CZ"/>
        </w:rPr>
        <w:br w:type="page"/>
      </w:r>
    </w:p>
    <w:p w:rsidR="005C3F63" w:rsidRDefault="006536E7">
      <w:pPr>
        <w:pStyle w:val="1"/>
        <w:spacing w:before="0" w:after="240"/>
        <w:rPr>
          <w:szCs w:val="24"/>
        </w:rPr>
      </w:pPr>
      <w:bookmarkStart w:id="220" w:name="_Toc47951512"/>
      <w:r>
        <w:rPr>
          <w:szCs w:val="24"/>
        </w:rPr>
        <w:lastRenderedPageBreak/>
        <w:t>Financial Instruments - Audit Procedures</w:t>
      </w:r>
      <w:bookmarkEnd w:id="220"/>
    </w:p>
    <w:p w:rsidR="005C3F63" w:rsidRDefault="006536E7">
      <w:pPr>
        <w:spacing w:after="120"/>
        <w:jc w:val="center"/>
        <w:rPr>
          <w:rFonts w:ascii="Verdana" w:hAnsi="Verdana"/>
          <w:b/>
          <w:sz w:val="20"/>
          <w:szCs w:val="20"/>
        </w:rPr>
      </w:pPr>
      <w:bookmarkStart w:id="221" w:name="_Toc47948717"/>
      <w:bookmarkStart w:id="222" w:name="_Toc47948778"/>
      <w:bookmarkStart w:id="223" w:name="_Toc47949290"/>
      <w:bookmarkStart w:id="224" w:name="_Toc47451138"/>
      <w:bookmarkStart w:id="225" w:name="_Toc47951355"/>
      <w:bookmarkStart w:id="226" w:name="_Toc47948976"/>
      <w:bookmarkStart w:id="227" w:name="_Toc47951448"/>
      <w:bookmarkStart w:id="228" w:name="_Toc47951513"/>
      <w:bookmarkStart w:id="229" w:name="_Toc47444271"/>
      <w:bookmarkStart w:id="230" w:name="_Toc47442658"/>
      <w:bookmarkStart w:id="231" w:name="_Toc47446094"/>
      <w:bookmarkStart w:id="232" w:name="_Toc47435422"/>
      <w:bookmarkStart w:id="233" w:name="_Toc47441479"/>
      <w:bookmarkStart w:id="234" w:name="_Toc47439759"/>
      <w:bookmarkStart w:id="235" w:name="_Toc47433528"/>
      <w:bookmarkStart w:id="236" w:name="_Toc47440077"/>
      <w:bookmarkStart w:id="237" w:name="_Toc47446696"/>
      <w:bookmarkStart w:id="238" w:name="_Toc47440856"/>
      <w:bookmarkStart w:id="239" w:name="_Toc47447962"/>
      <w:bookmarkStart w:id="240" w:name="_Toc47441599"/>
      <w:bookmarkStart w:id="241" w:name="_Toc47448541"/>
      <w:bookmarkStart w:id="242" w:name="_Toc47448044"/>
      <w:bookmarkStart w:id="243" w:name="_Toc47438950"/>
      <w:bookmarkStart w:id="244" w:name="_Toc47445942"/>
      <w:bookmarkStart w:id="245" w:name="_Toc47443553"/>
      <w:bookmarkStart w:id="246" w:name="_Toc47448303"/>
      <w:bookmarkStart w:id="247" w:name="_Toc47445719"/>
      <w:bookmarkStart w:id="248" w:name="_Toc47444588"/>
      <w:bookmarkStart w:id="249" w:name="_Toc47446354"/>
      <w:bookmarkStart w:id="250" w:name="_Toc47444118"/>
      <w:bookmarkStart w:id="251" w:name="_Toc47447142"/>
      <w:bookmarkStart w:id="252" w:name="_Toc47448822"/>
      <w:bookmarkStart w:id="253" w:name="_Toc47441665"/>
      <w:bookmarkStart w:id="254" w:name="_Toc47447908"/>
      <w:bookmarkStart w:id="255" w:name="_Toc47443654"/>
      <w:bookmarkStart w:id="256" w:name="_Toc47444429"/>
      <w:bookmarkStart w:id="257" w:name="_Toc47441183"/>
      <w:bookmarkStart w:id="258" w:name="_Toc47448098"/>
      <w:bookmarkStart w:id="259" w:name="_Toc47448181"/>
      <w:bookmarkStart w:id="260" w:name="_Toc47449297"/>
      <w:bookmarkStart w:id="261" w:name="_Toc47448596"/>
      <w:bookmarkStart w:id="262" w:name="_Toc47443420"/>
      <w:r>
        <w:rPr>
          <w:rStyle w:val="AutorChar"/>
          <w:sz w:val="20"/>
          <w:szCs w:val="20"/>
        </w:rPr>
        <w:t>Ladislav Kareš</w:t>
      </w:r>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p>
    <w:p w:rsidR="005C3F63" w:rsidRDefault="006536E7">
      <w:pPr>
        <w:jc w:val="center"/>
        <w:rPr>
          <w:rFonts w:ascii="Verdana" w:hAnsi="Verdana"/>
          <w:sz w:val="18"/>
          <w:szCs w:val="18"/>
        </w:rPr>
      </w:pPr>
      <w:r>
        <w:rPr>
          <w:rFonts w:ascii="Verdana" w:hAnsi="Verdana"/>
          <w:sz w:val="18"/>
          <w:szCs w:val="18"/>
        </w:rPr>
        <w:t xml:space="preserve">University of Economics in Bratislava </w:t>
      </w:r>
    </w:p>
    <w:p w:rsidR="005C3F63" w:rsidRDefault="006536E7">
      <w:pPr>
        <w:jc w:val="center"/>
        <w:rPr>
          <w:rFonts w:ascii="Verdana" w:hAnsi="Verdana"/>
          <w:sz w:val="18"/>
          <w:szCs w:val="18"/>
        </w:rPr>
      </w:pPr>
      <w:r>
        <w:rPr>
          <w:rFonts w:ascii="Verdana" w:hAnsi="Verdana"/>
          <w:sz w:val="18"/>
          <w:szCs w:val="18"/>
        </w:rPr>
        <w:t xml:space="preserve"> Faculty of Economic Informatics, Department of Accounting and Auditing</w:t>
      </w:r>
    </w:p>
    <w:p w:rsidR="005C3F63" w:rsidRDefault="006536E7">
      <w:pPr>
        <w:jc w:val="center"/>
        <w:rPr>
          <w:rFonts w:ascii="Verdana" w:hAnsi="Verdana"/>
          <w:sz w:val="18"/>
          <w:szCs w:val="18"/>
        </w:rPr>
      </w:pPr>
      <w:r>
        <w:rPr>
          <w:rFonts w:ascii="Verdana" w:hAnsi="Verdana"/>
          <w:sz w:val="18"/>
          <w:szCs w:val="18"/>
        </w:rPr>
        <w:t>Dolnozemská cesta 1, 852 35 Bratislava, Slovakia</w:t>
      </w:r>
    </w:p>
    <w:p w:rsidR="005C3F63" w:rsidRDefault="006536E7">
      <w:pPr>
        <w:jc w:val="center"/>
        <w:rPr>
          <w:rFonts w:ascii="Verdana" w:hAnsi="Verdana"/>
          <w:sz w:val="18"/>
          <w:szCs w:val="18"/>
          <w:lang w:val="en-GB"/>
        </w:rPr>
      </w:pPr>
      <w:r>
        <w:rPr>
          <w:rFonts w:ascii="Verdana" w:hAnsi="Verdana"/>
          <w:sz w:val="18"/>
          <w:szCs w:val="18"/>
          <w:lang w:val="en-GB"/>
        </w:rPr>
        <w:t xml:space="preserve">E-mail: </w:t>
      </w:r>
      <w:r>
        <w:rPr>
          <w:rFonts w:ascii="Verdana" w:hAnsi="Verdana"/>
          <w:sz w:val="18"/>
          <w:szCs w:val="18"/>
        </w:rPr>
        <w:t>ladislav.kares@euba.sk</w:t>
      </w:r>
    </w:p>
    <w:p w:rsidR="005C3F63" w:rsidRDefault="005C3F63">
      <w:pPr>
        <w:rPr>
          <w:rFonts w:ascii="Verdana" w:hAnsi="Verdana"/>
          <w:sz w:val="18"/>
          <w:szCs w:val="18"/>
          <w:lang w:val="en-GB"/>
        </w:rPr>
      </w:pPr>
    </w:p>
    <w:p w:rsidR="005C3F63" w:rsidRDefault="005C3F63">
      <w:pPr>
        <w:rPr>
          <w:rFonts w:ascii="Verdana" w:hAnsi="Verdana"/>
          <w:sz w:val="22"/>
          <w:lang w:val="en-GB"/>
        </w:rPr>
      </w:pPr>
    </w:p>
    <w:p w:rsidR="005C3F63" w:rsidRDefault="006536E7">
      <w:pPr>
        <w:spacing w:after="120"/>
        <w:rPr>
          <w:rFonts w:ascii="Verdana" w:hAnsi="Verdana"/>
          <w:i/>
          <w:sz w:val="20"/>
          <w:szCs w:val="20"/>
        </w:rPr>
      </w:pPr>
      <w:r>
        <w:rPr>
          <w:rFonts w:ascii="Verdana" w:hAnsi="Verdana"/>
          <w:b/>
          <w:i/>
          <w:sz w:val="20"/>
          <w:szCs w:val="20"/>
        </w:rPr>
        <w:t xml:space="preserve">Abstract: </w:t>
      </w:r>
      <w:r>
        <w:rPr>
          <w:rFonts w:ascii="Verdana" w:hAnsi="Verdana"/>
          <w:i/>
          <w:sz w:val="20"/>
          <w:szCs w:val="20"/>
        </w:rPr>
        <w:t>The purpose of this paper is to define financial instruments as a specific and "demanding" type of an entity's assets and then to examine the auditor's considerations in the process of auditing such assets. This is a specific, interesting but demanding process that the auditor must perform in order to assess with reasonable assurance the realistic, objective and correct recognition of such assets in the entity's financial statements.</w:t>
      </w:r>
      <w:r>
        <w:rPr>
          <w:rFonts w:ascii="Verdana" w:hAnsi="Verdana"/>
          <w:i/>
          <w:color w:val="FF0000"/>
          <w:sz w:val="20"/>
          <w:szCs w:val="20"/>
        </w:rPr>
        <w:t xml:space="preserve"> </w:t>
      </w:r>
      <w:r>
        <w:rPr>
          <w:rFonts w:ascii="Verdana" w:hAnsi="Verdana"/>
          <w:i/>
          <w:sz w:val="20"/>
          <w:szCs w:val="20"/>
        </w:rPr>
        <w:t>It is very difficult to draw complex scientific conclusions in such a small space and with such a challenging issue. We understand our contribution as a scientific antré for our scientific work in this field. The priority is axiom - the auditor in the audit of financial instruments must proceed primarily in accordance with the International Auditing Practical Note IAPN 1000 - Special considerations in the audit of financial instruments.</w:t>
      </w:r>
    </w:p>
    <w:p w:rsidR="005C3F63" w:rsidRDefault="006536E7">
      <w:pPr>
        <w:spacing w:after="120"/>
        <w:rPr>
          <w:rFonts w:ascii="Verdana" w:hAnsi="Verdana"/>
          <w:i/>
          <w:sz w:val="20"/>
          <w:szCs w:val="20"/>
        </w:rPr>
      </w:pPr>
      <w:r>
        <w:rPr>
          <w:rFonts w:ascii="Verdana" w:hAnsi="Verdana"/>
          <w:b/>
          <w:i/>
          <w:sz w:val="20"/>
          <w:szCs w:val="20"/>
        </w:rPr>
        <w:t>Keywords:</w:t>
      </w:r>
      <w:r>
        <w:rPr>
          <w:rFonts w:ascii="Verdana" w:hAnsi="Verdana"/>
          <w:i/>
          <w:sz w:val="20"/>
          <w:szCs w:val="20"/>
        </w:rPr>
        <w:t xml:space="preserve"> financial instruments, audit of financial instruments, IAS</w:t>
      </w:r>
    </w:p>
    <w:p w:rsidR="005C3F63" w:rsidRDefault="006536E7">
      <w:pPr>
        <w:pStyle w:val="04-Anotacijostekstas"/>
        <w:spacing w:before="0" w:after="120"/>
        <w:ind w:left="0" w:right="-284"/>
        <w:jc w:val="left"/>
        <w:rPr>
          <w:rFonts w:ascii="Verdana" w:hAnsi="Verdana"/>
          <w:i/>
          <w:lang w:val="de-DE"/>
        </w:rPr>
      </w:pPr>
      <w:r>
        <w:rPr>
          <w:rFonts w:ascii="Verdana" w:hAnsi="Verdana"/>
          <w:i/>
          <w:lang w:val="de-DE"/>
        </w:rPr>
        <w:t>JEL codes: M4, M41, M42</w:t>
      </w:r>
    </w:p>
    <w:p w:rsidR="005C3F63" w:rsidRDefault="006536E7">
      <w:pPr>
        <w:pStyle w:val="1"/>
        <w:jc w:val="left"/>
        <w:rPr>
          <w:sz w:val="22"/>
          <w:szCs w:val="22"/>
        </w:rPr>
      </w:pPr>
      <w:r>
        <w:rPr>
          <w:rStyle w:val="KapitolaChar"/>
          <w:b/>
          <w:lang w:val="sk-SK"/>
        </w:rPr>
        <w:t xml:space="preserve">1 Úvod </w:t>
      </w:r>
      <w:r>
        <w:rPr>
          <w:rStyle w:val="KapitolaChar"/>
          <w:b/>
        </w:rPr>
        <w:t>/ Introduction</w:t>
      </w:r>
    </w:p>
    <w:p w:rsidR="005C3F63" w:rsidRDefault="006536E7">
      <w:pPr>
        <w:spacing w:after="120"/>
        <w:rPr>
          <w:rFonts w:ascii="Verdana" w:hAnsi="Verdana"/>
          <w:sz w:val="20"/>
          <w:szCs w:val="20"/>
        </w:rPr>
      </w:pPr>
      <w:r>
        <w:rPr>
          <w:rFonts w:ascii="Verdana" w:hAnsi="Verdana"/>
          <w:sz w:val="20"/>
          <w:szCs w:val="20"/>
        </w:rPr>
        <w:t xml:space="preserve">Cieľom tohto príspevku je definovať finančné nástroje ako špecifický a „náročný“ druh majetku účtovnej jednotky a následne skúmať úvahy audítora v procese auditu takéhoto majetku. „Ide o špecifický, zaujímavý ale náročný proces, ktorý musí audítor vykonať, aby s primeranou istotou posúdil reálne, objektívne a správne vykázanie takéhoto majetku v účtovnej závierke účtovnej jednotky“. (Podmanická, 2014). </w:t>
      </w:r>
    </w:p>
    <w:p w:rsidR="005C3F63" w:rsidRDefault="006536E7">
      <w:pPr>
        <w:spacing w:before="240" w:after="120"/>
        <w:jc w:val="left"/>
        <w:rPr>
          <w:rFonts w:ascii="Verdana" w:hAnsi="Verdana" w:cs="Arial"/>
          <w:bCs/>
          <w:kern w:val="32"/>
          <w:sz w:val="18"/>
          <w:szCs w:val="18"/>
          <w:lang w:eastAsia="cs-CZ" w:bidi="ar-SA"/>
        </w:rPr>
      </w:pPr>
      <w:r>
        <w:rPr>
          <w:rStyle w:val="KapitolaChar"/>
          <w:lang w:val="sk-SK"/>
        </w:rPr>
        <w:t>2 Metodológi</w:t>
      </w:r>
      <w:r>
        <w:rPr>
          <w:rStyle w:val="KapitolaChar"/>
        </w:rPr>
        <w:t>a</w:t>
      </w:r>
      <w:r>
        <w:rPr>
          <w:rStyle w:val="KapitolaChar"/>
          <w:lang w:val="sk-SK"/>
        </w:rPr>
        <w:t xml:space="preserve"> a zdrojové ú</w:t>
      </w:r>
      <w:r>
        <w:rPr>
          <w:rStyle w:val="KapitolaChar"/>
        </w:rPr>
        <w:t>daje</w:t>
      </w:r>
      <w:r>
        <w:rPr>
          <w:rStyle w:val="KapitolaChar"/>
          <w:lang w:val="sk-SK"/>
        </w:rPr>
        <w:t xml:space="preserve"> </w:t>
      </w:r>
      <w:r>
        <w:rPr>
          <w:rStyle w:val="KapitolaChar"/>
        </w:rPr>
        <w:t>/Methodology and data</w:t>
      </w:r>
    </w:p>
    <w:p w:rsidR="005C3F63" w:rsidRDefault="006536E7">
      <w:pPr>
        <w:spacing w:after="120"/>
        <w:rPr>
          <w:rFonts w:ascii="Verdana" w:hAnsi="Verdana"/>
          <w:sz w:val="20"/>
          <w:szCs w:val="20"/>
        </w:rPr>
      </w:pPr>
      <w:r>
        <w:rPr>
          <w:rFonts w:ascii="Verdana" w:hAnsi="Verdana"/>
          <w:sz w:val="20"/>
          <w:szCs w:val="20"/>
        </w:rPr>
        <w:t>“Finančný nástroj je každá zmluva, ktorej výsledkom je vznik finančného majetku (finančného aktíva) jednej zmluvnej strany a finančného záväzku alebo majetkového nástroja (podielového nástroja) druhej zmluvnej strany” (definícia podľa IAS 32 - Finančné nástroje - prezentácia a Smernice Európskeho parlamentu a Rady 2006/49/ES). Zjednodušene možno teda povedať, že finančný nástroj je obchodovateľný cenný papier, podielový list, nástroj finančného trhu alebo derivát.</w:t>
      </w:r>
    </w:p>
    <w:p w:rsidR="005C3F63" w:rsidRDefault="006536E7">
      <w:pPr>
        <w:spacing w:after="120"/>
        <w:rPr>
          <w:rFonts w:ascii="Verdana" w:hAnsi="Verdana"/>
          <w:i/>
          <w:sz w:val="20"/>
          <w:szCs w:val="20"/>
        </w:rPr>
      </w:pPr>
      <w:r>
        <w:rPr>
          <w:rFonts w:ascii="Verdana" w:hAnsi="Verdana"/>
          <w:i/>
          <w:sz w:val="20"/>
          <w:szCs w:val="20"/>
        </w:rPr>
        <w:t>Čo je finančný nástroj?</w:t>
      </w:r>
    </w:p>
    <w:p w:rsidR="005C3F63" w:rsidRDefault="006536E7">
      <w:pPr>
        <w:spacing w:after="120"/>
        <w:rPr>
          <w:rFonts w:ascii="Verdana" w:hAnsi="Verdana"/>
          <w:sz w:val="20"/>
          <w:szCs w:val="20"/>
        </w:rPr>
      </w:pPr>
      <w:r>
        <w:rPr>
          <w:rFonts w:ascii="Verdana" w:hAnsi="Verdana"/>
          <w:sz w:val="20"/>
          <w:szCs w:val="20"/>
        </w:rPr>
        <w:t>Finančný nástroj je akýkoľvek majetok alebo zväzok aktív, s ktorými možno obchodovať. Schopnosť nakupovať a predávať je súčasťou definície finančného nástroja, rovnako ako skutočnosť, že je možné anonymné obchodovanie medzi ľuďmi, ktorí sa nikdy nestretli.</w:t>
      </w:r>
    </w:p>
    <w:p w:rsidR="005C3F63" w:rsidRDefault="006536E7">
      <w:pPr>
        <w:spacing w:after="120"/>
        <w:rPr>
          <w:rFonts w:ascii="Verdana" w:hAnsi="Verdana"/>
          <w:sz w:val="20"/>
          <w:szCs w:val="20"/>
        </w:rPr>
      </w:pPr>
      <w:r>
        <w:rPr>
          <w:rFonts w:ascii="Verdana" w:hAnsi="Verdana"/>
          <w:sz w:val="20"/>
          <w:szCs w:val="20"/>
        </w:rPr>
        <w:t xml:space="preserve">V slovenskom zákone o cenných papieroch sú finančné nástroje na rozdiel od IAS 32 -  Finančné nástroje - prezentácia definované nie opisom, ale taxatívne. Zákon č. 566/2001 Z. z. - Zákon o cenných papieroch a investičných službách a o zmene a doplnení niektorých zákonov sú v § 5 definované finančné nástroje:  </w:t>
      </w:r>
      <w:r>
        <w:rPr>
          <w:rFonts w:ascii="Verdana" w:hAnsi="Verdana"/>
          <w:sz w:val="20"/>
          <w:szCs w:val="20"/>
        </w:rPr>
        <w:tab/>
      </w:r>
    </w:p>
    <w:p w:rsidR="005C3F63" w:rsidRDefault="006536E7">
      <w:pPr>
        <w:spacing w:after="120"/>
        <w:rPr>
          <w:rFonts w:ascii="Verdana" w:hAnsi="Verdana"/>
          <w:sz w:val="20"/>
          <w:szCs w:val="20"/>
        </w:rPr>
      </w:pPr>
      <w:r>
        <w:rPr>
          <w:rFonts w:ascii="Verdana" w:hAnsi="Verdana"/>
          <w:sz w:val="20"/>
          <w:szCs w:val="20"/>
        </w:rPr>
        <w:t xml:space="preserve">a) prevoditeľné cenné papiere, </w:t>
      </w:r>
    </w:p>
    <w:p w:rsidR="005C3F63" w:rsidRDefault="006536E7">
      <w:pPr>
        <w:spacing w:after="120"/>
        <w:rPr>
          <w:rFonts w:ascii="Verdana" w:hAnsi="Verdana"/>
          <w:sz w:val="20"/>
          <w:szCs w:val="20"/>
        </w:rPr>
      </w:pPr>
      <w:r>
        <w:rPr>
          <w:rFonts w:ascii="Verdana" w:hAnsi="Verdana"/>
          <w:sz w:val="20"/>
          <w:szCs w:val="20"/>
        </w:rPr>
        <w:t xml:space="preserve">b) nástroje peňažného trhu, </w:t>
      </w:r>
    </w:p>
    <w:p w:rsidR="005C3F63" w:rsidRDefault="006536E7">
      <w:pPr>
        <w:spacing w:after="120"/>
        <w:rPr>
          <w:rFonts w:ascii="Verdana" w:hAnsi="Verdana"/>
          <w:sz w:val="20"/>
          <w:szCs w:val="20"/>
        </w:rPr>
      </w:pPr>
      <w:r>
        <w:rPr>
          <w:rFonts w:ascii="Verdana" w:hAnsi="Verdana"/>
          <w:sz w:val="20"/>
          <w:szCs w:val="20"/>
        </w:rPr>
        <w:t xml:space="preserve">c) cenné papiere a majetkové účasti vo fondoch kolektívneho investovania, </w:t>
      </w:r>
    </w:p>
    <w:p w:rsidR="005C3F63" w:rsidRDefault="006536E7">
      <w:pPr>
        <w:spacing w:after="120"/>
        <w:rPr>
          <w:rFonts w:ascii="Verdana" w:hAnsi="Verdana"/>
          <w:sz w:val="20"/>
          <w:szCs w:val="20"/>
        </w:rPr>
      </w:pPr>
      <w:r>
        <w:rPr>
          <w:rFonts w:ascii="Verdana" w:hAnsi="Verdana"/>
          <w:sz w:val="20"/>
          <w:szCs w:val="20"/>
        </w:rPr>
        <w:t xml:space="preserve">d) opcie, futures, swapy, forwardy a iné derivátové zmluvy týkajúce sa cenných papierov, mien, úrokových mier alebo výnosov, emisných kvót alebo iných derivátových </w:t>
      </w:r>
      <w:r>
        <w:rPr>
          <w:rFonts w:ascii="Verdana" w:hAnsi="Verdana"/>
          <w:sz w:val="20"/>
          <w:szCs w:val="20"/>
        </w:rPr>
        <w:lastRenderedPageBreak/>
        <w:t xml:space="preserve">nástrojov, finančných indexov alebo finančných mier, ktoré môžu byť vyrovnané doručením alebo v hotovosti, </w:t>
      </w:r>
    </w:p>
    <w:p w:rsidR="005C3F63" w:rsidRDefault="006536E7">
      <w:pPr>
        <w:spacing w:after="120"/>
        <w:rPr>
          <w:rFonts w:ascii="Verdana" w:hAnsi="Verdana"/>
          <w:sz w:val="20"/>
          <w:szCs w:val="20"/>
        </w:rPr>
      </w:pPr>
      <w:r>
        <w:rPr>
          <w:rFonts w:ascii="Verdana" w:hAnsi="Verdana"/>
          <w:sz w:val="20"/>
          <w:szCs w:val="20"/>
        </w:rPr>
        <w:t xml:space="preserve">e) opcie, futures, swapy, forwardy a iné derivátové zmluvy týkajúce sa komodít, ktoré sa musia vyrovnať v hotovosti alebo sa môžu vyrovnať v hotovosti na základe voľby jednej zo zmluvných strán inak ako z dôvodu platobnej neschopnosti alebo inej udalosti, ktorá má za následok ukončenie zmluvy, </w:t>
      </w:r>
    </w:p>
    <w:p w:rsidR="005C3F63" w:rsidRDefault="006536E7">
      <w:pPr>
        <w:spacing w:after="120"/>
        <w:rPr>
          <w:rFonts w:ascii="Verdana" w:hAnsi="Verdana"/>
          <w:sz w:val="20"/>
          <w:szCs w:val="20"/>
        </w:rPr>
      </w:pPr>
      <w:r>
        <w:rPr>
          <w:rFonts w:ascii="Verdana" w:hAnsi="Verdana"/>
          <w:sz w:val="20"/>
          <w:szCs w:val="20"/>
        </w:rPr>
        <w:t xml:space="preserve">f) opcie, futures, swapy a iné derivátové zmluvy týkajúce sa komodít, ktoré sa môžu vyrovnať doručením, ak sa s nimi obchoduje na regulovanom trhu, na mnohostrannom obchodnom systéme alebo na organizovanom obchodnom systéme, okrem veľkoobchodných energetických produktov, s ktorými sa obchoduje na organizovanom obchodnom systéme a ktoré sa musia vyrovnať doručením, </w:t>
      </w:r>
    </w:p>
    <w:p w:rsidR="005C3F63" w:rsidRDefault="006536E7">
      <w:pPr>
        <w:spacing w:after="120"/>
        <w:rPr>
          <w:rFonts w:ascii="Verdana" w:hAnsi="Verdana"/>
          <w:sz w:val="20"/>
          <w:szCs w:val="20"/>
        </w:rPr>
      </w:pPr>
      <w:r>
        <w:rPr>
          <w:rFonts w:ascii="Verdana" w:hAnsi="Verdana"/>
          <w:sz w:val="20"/>
          <w:szCs w:val="20"/>
        </w:rPr>
        <w:t xml:space="preserve">g) opcie, futures, swapy, forwardy a iné derivátové zmluvy týkajúce sa komodít, ktoré sa môžu vyrovnať doručením, neuvedené v písmene f), ktoré neslúžia na podnikateľské účely a majú charakter iných derivátových finančných nástrojov, </w:t>
      </w:r>
    </w:p>
    <w:p w:rsidR="005C3F63" w:rsidRDefault="006536E7">
      <w:pPr>
        <w:spacing w:after="120"/>
        <w:rPr>
          <w:rFonts w:ascii="Verdana" w:hAnsi="Verdana"/>
          <w:sz w:val="20"/>
          <w:szCs w:val="20"/>
        </w:rPr>
      </w:pPr>
      <w:r>
        <w:rPr>
          <w:rFonts w:ascii="Verdana" w:hAnsi="Verdana"/>
          <w:sz w:val="20"/>
          <w:szCs w:val="20"/>
        </w:rPr>
        <w:t xml:space="preserve">h) derivátové nástroje na presun úverového rizika, </w:t>
      </w:r>
    </w:p>
    <w:p w:rsidR="005C3F63" w:rsidRDefault="006536E7">
      <w:pPr>
        <w:spacing w:after="120"/>
        <w:rPr>
          <w:rFonts w:ascii="Verdana" w:hAnsi="Verdana"/>
          <w:sz w:val="20"/>
          <w:szCs w:val="20"/>
        </w:rPr>
      </w:pPr>
      <w:r>
        <w:rPr>
          <w:rFonts w:ascii="Verdana" w:hAnsi="Verdana"/>
          <w:sz w:val="20"/>
          <w:szCs w:val="20"/>
        </w:rPr>
        <w:t xml:space="preserve">i) finančné rozdielové zmluvy, </w:t>
      </w:r>
    </w:p>
    <w:p w:rsidR="005C3F63" w:rsidRDefault="006536E7">
      <w:pPr>
        <w:spacing w:after="120"/>
        <w:rPr>
          <w:rFonts w:ascii="Verdana" w:hAnsi="Verdana"/>
          <w:sz w:val="20"/>
          <w:szCs w:val="20"/>
        </w:rPr>
      </w:pPr>
      <w:r>
        <w:rPr>
          <w:rFonts w:ascii="Verdana" w:hAnsi="Verdana"/>
          <w:sz w:val="20"/>
          <w:szCs w:val="20"/>
        </w:rPr>
        <w:t>j) opcie, futures, swapy, forwardy a iné derivátové zmluvy týkajúce sa klimatických zmien, dopravných sadzieb, miery inflácie alebo iných úradných hospodárskych štatistík, ktoré sa musia vyrovnať v hotovosti alebo sa môžu vyrovnať na základe voľby jednej zo zmluvných strán inak ako z dôvodu platobnej neschopnosti alebo inej udalosti, ktorá má za následok ukončenie zmluvy, ako aj iné derivátové zmluvy týkajúce sa aktív, práv, záväzkov, indexov a iných faktorov, neuvedené v tomto odseku, ktoré majú charakter iných derivátových finančných nástrojov a obchoduje sa s nimi na regulovanom trhu,</w:t>
      </w:r>
    </w:p>
    <w:p w:rsidR="005C3F63" w:rsidRDefault="006536E7">
      <w:pPr>
        <w:spacing w:after="120"/>
        <w:rPr>
          <w:rFonts w:ascii="Verdana" w:hAnsi="Verdana"/>
          <w:sz w:val="20"/>
          <w:szCs w:val="20"/>
        </w:rPr>
      </w:pPr>
      <w:r>
        <w:rPr>
          <w:rFonts w:ascii="Verdana" w:hAnsi="Verdana"/>
          <w:sz w:val="20"/>
          <w:szCs w:val="20"/>
        </w:rPr>
        <w:t>k) emisné kvóty, ktoré sú spĺňajúcou požiadavky osobitného predpisu.</w:t>
      </w:r>
    </w:p>
    <w:p w:rsidR="005C3F63" w:rsidRDefault="006536E7">
      <w:pPr>
        <w:spacing w:after="120"/>
        <w:rPr>
          <w:rFonts w:ascii="Verdana" w:hAnsi="Verdana"/>
          <w:sz w:val="20"/>
          <w:szCs w:val="20"/>
        </w:rPr>
      </w:pPr>
      <w:r>
        <w:rPr>
          <w:rFonts w:ascii="Verdana" w:hAnsi="Verdana"/>
          <w:sz w:val="20"/>
          <w:szCs w:val="20"/>
        </w:rPr>
        <w:t xml:space="preserve">S týmto členením finančných nástrojov sa môžeme stretnúť aj v zákone č. 429/2002 Z. z. - Zákon o burze cenných papierov a tiež v zákone č. 323/2015 Z. z. - Zákon o finančných nástrojoch financovaných z európskych štrukturálnych a investičných fondov a o zmene a doplnení niektorých zákonov. </w:t>
      </w:r>
    </w:p>
    <w:p w:rsidR="005C3F63" w:rsidRDefault="006536E7">
      <w:pPr>
        <w:spacing w:after="120"/>
        <w:rPr>
          <w:rFonts w:ascii="Verdana" w:hAnsi="Verdana"/>
          <w:sz w:val="20"/>
          <w:szCs w:val="20"/>
        </w:rPr>
      </w:pPr>
      <w:r>
        <w:rPr>
          <w:rFonts w:ascii="Verdana" w:hAnsi="Verdana"/>
          <w:sz w:val="20"/>
          <w:szCs w:val="20"/>
        </w:rPr>
        <w:t xml:space="preserve">IFRS 9 – Finančné nástroje zásadne mení klasifikáciu a ocenenie finančného majetku a zavádza novú metodiku pre vykazovanie a ocenenie zníženia hodnoty. Prijatie štandardu je povinné od 1. januára 2018 pre všetky účtovné jednotky zostavujúce účtovnú závierku podľa IFRS. Nový účtovný štandard sa týka predovšetkým finančných inštitúcií, ktoré majú významný finančný majetok (úverové pohľadávky, cenné papiere a pod.). Okrem toho však ovplyvňuje všetky účtovné jednotky, ktoré vo svojej účtovnej závierke vykazujú obchodné pohľadávky, vnútroskupinové pôžičky, používajú zabezpečovacie nástroje alebo iné finančné nástroje, na ktoré sa vzťahuje metodika zníženia hodnoty podľa pravidiel IFRS 9. </w:t>
      </w:r>
    </w:p>
    <w:p w:rsidR="005C3F63" w:rsidRDefault="006536E7">
      <w:pPr>
        <w:spacing w:after="120"/>
        <w:rPr>
          <w:rFonts w:ascii="Verdana" w:hAnsi="Verdana"/>
          <w:sz w:val="20"/>
          <w:szCs w:val="20"/>
        </w:rPr>
      </w:pPr>
      <w:r>
        <w:rPr>
          <w:rFonts w:ascii="Verdana" w:hAnsi="Verdana"/>
          <w:sz w:val="20"/>
          <w:szCs w:val="20"/>
        </w:rPr>
        <w:t>Nesmieme zabudnúť ani na štandard IFRS 7 - Finančné nástroje – zverejňovanie. „Jeho podstatou je požadovať od  účtovnej jednotky zverejňovanie informácii o význame finančných nástrojov z pohľadu finančnej situácie a jej výsledkov hospodárenia,“ (Juhászová and Užík, 2014), aby používatelia dát mali možnosť ohodnotiť:</w:t>
      </w:r>
    </w:p>
    <w:p w:rsidR="005C3F63" w:rsidRDefault="006536E7">
      <w:pPr>
        <w:spacing w:after="120"/>
        <w:rPr>
          <w:rFonts w:ascii="Verdana" w:hAnsi="Verdana"/>
          <w:sz w:val="20"/>
          <w:szCs w:val="20"/>
        </w:rPr>
      </w:pPr>
      <w:r>
        <w:rPr>
          <w:rFonts w:ascii="Verdana" w:hAnsi="Verdana"/>
          <w:sz w:val="20"/>
          <w:szCs w:val="20"/>
        </w:rPr>
        <w:t xml:space="preserve">1. dôležitosť a význam finančných nástrojov pre účtovnú jednotku. </w:t>
      </w:r>
    </w:p>
    <w:p w:rsidR="005C3F63" w:rsidRDefault="006536E7">
      <w:pPr>
        <w:spacing w:after="120"/>
        <w:rPr>
          <w:rFonts w:ascii="Verdana" w:hAnsi="Verdana"/>
          <w:sz w:val="20"/>
          <w:szCs w:val="20"/>
        </w:rPr>
      </w:pPr>
      <w:r>
        <w:rPr>
          <w:rFonts w:ascii="Verdana" w:hAnsi="Verdana"/>
          <w:sz w:val="20"/>
          <w:szCs w:val="20"/>
        </w:rPr>
        <w:t>„Pre naplnenie tejto požiadavky musia byť zverejnené všetky dôležité informácie v súvahe, vo výkaze ziskov a strát a vo výkaze o vlastnom imaní.“ (Parajka, 2015).</w:t>
      </w:r>
    </w:p>
    <w:p w:rsidR="005C3F63" w:rsidRDefault="006536E7">
      <w:pPr>
        <w:spacing w:after="120"/>
        <w:rPr>
          <w:rFonts w:ascii="Verdana" w:hAnsi="Verdana"/>
          <w:sz w:val="20"/>
          <w:szCs w:val="20"/>
        </w:rPr>
      </w:pPr>
      <w:r>
        <w:rPr>
          <w:rFonts w:ascii="Verdana" w:hAnsi="Verdana"/>
          <w:sz w:val="20"/>
          <w:szCs w:val="20"/>
        </w:rPr>
        <w:t>2. povahu a rozsah rizík spojených s finančnými nástrojmi a spôsob, akým účtovná jednotka tieto rizika riadi.</w:t>
      </w:r>
    </w:p>
    <w:p w:rsidR="005C3F63" w:rsidRDefault="006536E7">
      <w:pPr>
        <w:spacing w:after="120"/>
        <w:rPr>
          <w:rFonts w:ascii="Verdana" w:hAnsi="Verdana"/>
        </w:rPr>
      </w:pPr>
      <w:r>
        <w:rPr>
          <w:rFonts w:ascii="Verdana" w:hAnsi="Verdana"/>
          <w:sz w:val="20"/>
          <w:szCs w:val="20"/>
        </w:rPr>
        <w:t xml:space="preserve">„Jedná sa o kvalitatívne informácie o možnosti výskytu každej zo skupín rizík – napríklad pri stanovení reálnej hodnoty a jej význame pre finančné rozhodovanie.“ (Juhászová and  Markovič and Mokošová, 2014) a o spôsobe, akým sú tieto riziká riadené a kvantitatívne </w:t>
      </w:r>
      <w:r>
        <w:rPr>
          <w:rFonts w:ascii="Verdana" w:hAnsi="Verdana"/>
          <w:sz w:val="20"/>
          <w:szCs w:val="20"/>
        </w:rPr>
        <w:lastRenderedPageBreak/>
        <w:t>informácie o možnosti výskytu každej zo skupiny rizík s rozdelením na riziká úverové, likvidné a trhové.</w:t>
      </w:r>
    </w:p>
    <w:p w:rsidR="005C3F63" w:rsidRDefault="006536E7">
      <w:pPr>
        <w:spacing w:after="120"/>
        <w:rPr>
          <w:rFonts w:ascii="Verdana" w:hAnsi="Verdana"/>
          <w:sz w:val="20"/>
          <w:szCs w:val="20"/>
        </w:rPr>
      </w:pPr>
      <w:r>
        <w:rPr>
          <w:rFonts w:ascii="Verdana" w:hAnsi="Verdana"/>
          <w:i/>
          <w:sz w:val="20"/>
          <w:szCs w:val="20"/>
        </w:rPr>
        <w:t>Niektoré definície z uvedenej problematiky:</w:t>
      </w:r>
    </w:p>
    <w:p w:rsidR="005C3F63" w:rsidRDefault="006536E7">
      <w:pPr>
        <w:spacing w:after="120"/>
        <w:rPr>
          <w:rFonts w:ascii="Verdana" w:hAnsi="Verdana"/>
          <w:sz w:val="20"/>
          <w:szCs w:val="20"/>
        </w:rPr>
      </w:pPr>
      <w:r>
        <w:rPr>
          <w:rFonts w:ascii="Verdana" w:hAnsi="Verdana"/>
          <w:sz w:val="20"/>
          <w:szCs w:val="20"/>
        </w:rPr>
        <w:t>Cenný papier.</w:t>
      </w:r>
    </w:p>
    <w:p w:rsidR="005C3F63" w:rsidRDefault="006536E7">
      <w:pPr>
        <w:spacing w:after="120"/>
        <w:rPr>
          <w:rFonts w:ascii="Verdana" w:hAnsi="Verdana"/>
          <w:sz w:val="20"/>
          <w:szCs w:val="20"/>
        </w:rPr>
      </w:pPr>
      <w:r>
        <w:rPr>
          <w:rFonts w:ascii="Verdana" w:hAnsi="Verdana"/>
          <w:i/>
          <w:sz w:val="20"/>
          <w:szCs w:val="20"/>
        </w:rPr>
        <w:t>Legálna definícia</w:t>
      </w:r>
      <w:r>
        <w:rPr>
          <w:rFonts w:ascii="Verdana" w:hAnsi="Verdana"/>
          <w:sz w:val="20"/>
          <w:szCs w:val="20"/>
        </w:rPr>
        <w:t xml:space="preserve"> – Cenný papier je peniazmi oceniteľný zápis v zákonom ustanovenej podobe a forme, s ktorým sú spojené práva podľa zákona o cenných papieroch a podľa osobitných predpisov, najmä oprávnenie požadovať určité majetkové plnenie alebo vykonávať určité práva voči zákonom určeným osobám. (Zákon o cenných papieroch a investičných službách, 2020).</w:t>
      </w:r>
    </w:p>
    <w:p w:rsidR="005C3F63" w:rsidRDefault="006536E7">
      <w:pPr>
        <w:spacing w:after="120"/>
        <w:rPr>
          <w:rFonts w:ascii="Verdana" w:hAnsi="Verdana"/>
          <w:sz w:val="20"/>
          <w:szCs w:val="20"/>
        </w:rPr>
      </w:pPr>
      <w:r>
        <w:rPr>
          <w:rFonts w:ascii="Verdana" w:hAnsi="Verdana"/>
          <w:i/>
          <w:sz w:val="20"/>
          <w:szCs w:val="20"/>
        </w:rPr>
        <w:t>Doktrinálna definícia</w:t>
      </w:r>
      <w:r>
        <w:rPr>
          <w:rFonts w:ascii="Verdana" w:hAnsi="Verdana"/>
          <w:sz w:val="20"/>
          <w:szCs w:val="20"/>
        </w:rPr>
        <w:t xml:space="preserve"> – Cenný papier je listina, ktorá osvedčuje majetkové právo oprávnenej osoby na peňažné plnenie zo strany osoby povinnej. (Balko and Babčák et al., 2009)</w:t>
      </w:r>
    </w:p>
    <w:p w:rsidR="005C3F63" w:rsidRDefault="006536E7">
      <w:pPr>
        <w:spacing w:after="120"/>
        <w:rPr>
          <w:rFonts w:ascii="Verdana" w:hAnsi="Verdana"/>
          <w:i/>
          <w:sz w:val="20"/>
          <w:szCs w:val="20"/>
        </w:rPr>
      </w:pPr>
      <w:r>
        <w:rPr>
          <w:rFonts w:ascii="Verdana" w:hAnsi="Verdana"/>
          <w:i/>
          <w:sz w:val="20"/>
          <w:szCs w:val="20"/>
        </w:rPr>
        <w:t>Akcia.</w:t>
      </w:r>
    </w:p>
    <w:p w:rsidR="005C3F63" w:rsidRDefault="006536E7">
      <w:pPr>
        <w:spacing w:after="120"/>
        <w:rPr>
          <w:rFonts w:ascii="Verdana" w:hAnsi="Verdana"/>
          <w:sz w:val="20"/>
          <w:szCs w:val="20"/>
        </w:rPr>
      </w:pPr>
      <w:r>
        <w:rPr>
          <w:rFonts w:ascii="Verdana" w:hAnsi="Verdana"/>
          <w:i/>
          <w:sz w:val="20"/>
          <w:szCs w:val="20"/>
        </w:rPr>
        <w:t>Legálna definícia</w:t>
      </w:r>
      <w:r>
        <w:rPr>
          <w:rFonts w:ascii="Verdana" w:hAnsi="Verdana"/>
          <w:sz w:val="20"/>
          <w:szCs w:val="20"/>
        </w:rPr>
        <w:t xml:space="preserve"> - Akcia predstavuje práva akcionára ako spoločníka podieľať sa podľa zákona a stanov spoločnosti na jej riadení, zisku a na likvidačnom zostatku po zrušení spoločnosti s likvidáciou, ktoré sú spojené s akciou ako s cenným papierom, ak zákon neustanovuje inak. (Obchodný zákonník, 2020).</w:t>
      </w:r>
    </w:p>
    <w:p w:rsidR="005C3F63" w:rsidRDefault="006536E7">
      <w:pPr>
        <w:spacing w:after="120"/>
        <w:rPr>
          <w:rFonts w:ascii="Verdana" w:hAnsi="Verdana"/>
          <w:sz w:val="20"/>
          <w:szCs w:val="20"/>
        </w:rPr>
      </w:pPr>
      <w:r>
        <w:rPr>
          <w:rFonts w:ascii="Verdana" w:hAnsi="Verdana"/>
          <w:i/>
          <w:sz w:val="20"/>
          <w:szCs w:val="20"/>
        </w:rPr>
        <w:t>Doktrinálna definícia</w:t>
      </w:r>
      <w:r>
        <w:rPr>
          <w:rFonts w:ascii="Verdana" w:hAnsi="Verdana"/>
          <w:sz w:val="20"/>
          <w:szCs w:val="20"/>
        </w:rPr>
        <w:t xml:space="preserve"> – Akcia je druh cenného papiera, dokladujúceho a potvrdzujúceho podiel člena akciovej spoločnosti na jej základnom imaní, vyjadrený v peniazoch, umožňujúci podielať sa na riadení spoločnosti, rozdelení zisku a likvidačného zostatku v prípade zániku takejto spoločnosti. Ako dokument o podielnictve akcionára na majetku akciovej spoločnosti môže akcia znieť na majiteľa (au porteur) alebo na meno (au nom). (Králik and Jakubovič, 2003).</w:t>
      </w:r>
    </w:p>
    <w:p w:rsidR="005C3F63" w:rsidRDefault="006536E7">
      <w:pPr>
        <w:spacing w:after="120"/>
        <w:rPr>
          <w:rFonts w:ascii="Verdana" w:hAnsi="Verdana"/>
          <w:sz w:val="20"/>
          <w:szCs w:val="20"/>
        </w:rPr>
      </w:pPr>
      <w:r>
        <w:rPr>
          <w:rFonts w:ascii="Verdana" w:hAnsi="Verdana"/>
          <w:sz w:val="20"/>
          <w:szCs w:val="20"/>
        </w:rPr>
        <w:t>Dlhové cenné papiere.</w:t>
      </w:r>
    </w:p>
    <w:p w:rsidR="005C3F63" w:rsidRDefault="006536E7">
      <w:pPr>
        <w:spacing w:after="120"/>
        <w:rPr>
          <w:rFonts w:ascii="Verdana" w:hAnsi="Verdana"/>
          <w:sz w:val="20"/>
          <w:szCs w:val="20"/>
        </w:rPr>
      </w:pPr>
      <w:r>
        <w:rPr>
          <w:rFonts w:ascii="Verdana" w:hAnsi="Verdana"/>
          <w:i/>
          <w:sz w:val="20"/>
          <w:szCs w:val="20"/>
        </w:rPr>
        <w:t>Legálna definícia -</w:t>
      </w:r>
      <w:r>
        <w:rPr>
          <w:rFonts w:ascii="Verdana" w:hAnsi="Verdana"/>
          <w:sz w:val="20"/>
          <w:szCs w:val="20"/>
        </w:rPr>
        <w:t xml:space="preserve"> Dlhopisy alebo iné prevoditeľné cenné papiere, ktoré vznikli transformáciou úverov, pôžičiek a dlhov, s výnimkou cenných papierov rovnocenných akciám alebo cenných papierov, ktoré by po konverzii alebo po výkone práv z nich vyplývajúcich viedli k nadobudnutiu akcií alebo cenných papierov rovnocenných akciám. (Zákon o burze cenných papierov, 2020).</w:t>
      </w:r>
    </w:p>
    <w:p w:rsidR="005C3F63" w:rsidRDefault="006536E7">
      <w:pPr>
        <w:spacing w:after="120"/>
        <w:rPr>
          <w:rFonts w:ascii="Verdana" w:hAnsi="Verdana"/>
          <w:sz w:val="20"/>
          <w:szCs w:val="20"/>
        </w:rPr>
      </w:pPr>
      <w:r>
        <w:rPr>
          <w:rFonts w:ascii="Verdana" w:hAnsi="Verdana"/>
          <w:sz w:val="20"/>
          <w:szCs w:val="20"/>
        </w:rPr>
        <w:t>Kapitálový trh.</w:t>
      </w:r>
    </w:p>
    <w:p w:rsidR="005C3F63" w:rsidRDefault="006536E7">
      <w:pPr>
        <w:spacing w:after="120"/>
        <w:rPr>
          <w:rFonts w:ascii="Verdana" w:hAnsi="Verdana"/>
          <w:sz w:val="20"/>
          <w:szCs w:val="20"/>
        </w:rPr>
      </w:pPr>
      <w:r>
        <w:rPr>
          <w:rFonts w:ascii="Verdana" w:hAnsi="Verdana"/>
          <w:i/>
          <w:sz w:val="20"/>
          <w:szCs w:val="20"/>
        </w:rPr>
        <w:t>Legálna definícia</w:t>
      </w:r>
      <w:r>
        <w:rPr>
          <w:rFonts w:ascii="Verdana" w:hAnsi="Verdana"/>
          <w:sz w:val="20"/>
          <w:szCs w:val="20"/>
        </w:rPr>
        <w:t xml:space="preserve"> - Finančnými nástrojmi kapitálového trhu sú akcie, dočasné listy, podielové listy a iné cenné papiere prijaté na trh burzy cenných papierov s dobou splatnosti nad jeden rok a ich výnosy. (Zákon o bankách, 2020). </w:t>
      </w:r>
    </w:p>
    <w:p w:rsidR="005C3F63" w:rsidRDefault="006536E7">
      <w:pPr>
        <w:spacing w:after="120"/>
        <w:rPr>
          <w:rFonts w:ascii="Verdana" w:hAnsi="Verdana"/>
          <w:sz w:val="20"/>
          <w:szCs w:val="20"/>
        </w:rPr>
      </w:pPr>
      <w:r>
        <w:rPr>
          <w:rFonts w:ascii="Verdana" w:hAnsi="Verdana"/>
          <w:i/>
          <w:sz w:val="20"/>
          <w:szCs w:val="20"/>
        </w:rPr>
        <w:t>Doktrinálna definícia -</w:t>
      </w:r>
      <w:r>
        <w:rPr>
          <w:rFonts w:ascii="Verdana" w:hAnsi="Verdana"/>
          <w:sz w:val="20"/>
          <w:szCs w:val="20"/>
        </w:rPr>
        <w:t xml:space="preserve"> Kapitálový trh je trhom strednodobých a dlhodobých peňažných prostriedkov, ktorých splatnosť presahuje jeden rok. Typickými nástrojmi kapitálového trhu sú napríklad dlhopisy alebo hypotekárne úvery s lehotou splatnosti až do 30 rokov. (Babčák et al., 2017). </w:t>
      </w:r>
    </w:p>
    <w:p w:rsidR="005C3F63" w:rsidRDefault="006536E7">
      <w:pPr>
        <w:spacing w:after="120"/>
        <w:rPr>
          <w:rFonts w:ascii="Verdana" w:hAnsi="Verdana"/>
          <w:sz w:val="20"/>
          <w:szCs w:val="20"/>
        </w:rPr>
      </w:pPr>
      <w:r>
        <w:rPr>
          <w:rFonts w:ascii="Verdana" w:hAnsi="Verdana"/>
          <w:sz w:val="20"/>
          <w:szCs w:val="20"/>
        </w:rPr>
        <w:t>V nasledujúcej časti sa budeme zaoberať exportom týchto definícií do práce audítora a jeho postupov pri audite tak špecifickej a náročnej oblasti akou je audit finančných nástrojov v rámci auditu účtovnej závierky ako celku.</w:t>
      </w:r>
    </w:p>
    <w:p w:rsidR="005C3F63" w:rsidRDefault="005C3F63">
      <w:pPr>
        <w:spacing w:after="120"/>
        <w:rPr>
          <w:rFonts w:ascii="Verdana" w:hAnsi="Verdana"/>
          <w:color w:val="FF0000"/>
          <w:sz w:val="20"/>
          <w:szCs w:val="20"/>
        </w:rPr>
      </w:pPr>
    </w:p>
    <w:p w:rsidR="005C3F63" w:rsidRDefault="006536E7">
      <w:pPr>
        <w:spacing w:after="120"/>
        <w:rPr>
          <w:rFonts w:ascii="Verdana" w:hAnsi="Verdana"/>
          <w:sz w:val="20"/>
          <w:szCs w:val="20"/>
        </w:rPr>
      </w:pPr>
      <w:r>
        <w:rPr>
          <w:rFonts w:ascii="Verdana" w:hAnsi="Verdana"/>
          <w:sz w:val="20"/>
          <w:szCs w:val="20"/>
        </w:rPr>
        <w:t xml:space="preserve">Z hľadiska celkovej filozofie riešenia otázok týkajúcich sa finančných nástrojov a ich overovania možno v našom príspevku neformálne identifikovať všeobecnú – východiskovú časť a praktickú – procedurálnu časť. Táto neformálna dvojzložková prezentácia v ich vzájomnej symbióze bola nevyhnutná preto, že dostupné pramene ponúkajú buď čistú metodiku (metodológiu) bez praktickej aplikácie, alebo konkrétne procedúry bez metodologického zázemia, ktoré sú potom často v kontradikcii so všeobecnou metodológiou. Vo všeobecnej – východiskovej časti dominuje definícia finančných nástrojov s neobmedzeným priestorom jej možného uplatnenia. Praktická časť nášho príspevku je v prevažnej miere zameraná na procedurálnu stránku výkonu </w:t>
      </w:r>
      <w:r>
        <w:rPr>
          <w:rFonts w:ascii="Verdana" w:hAnsi="Verdana"/>
          <w:sz w:val="20"/>
          <w:szCs w:val="20"/>
        </w:rPr>
        <w:lastRenderedPageBreak/>
        <w:t xml:space="preserve">audítorskej profesie - audítorské postupy - s imanentým dôrazom na audit finančných nástrojov. Pri písaní tohto príspevku sme vychádzali z prezentovanej literatúry. Postupy ako analýza skúmaných definícií nás viedla k ich uvedeniu v jej forme </w:t>
      </w:r>
      <w:r>
        <w:rPr>
          <w:rFonts w:ascii="Verdana" w:hAnsi="Verdana"/>
          <w:i/>
          <w:sz w:val="20"/>
          <w:szCs w:val="20"/>
        </w:rPr>
        <w:t xml:space="preserve">legálnej (teoretická báza) </w:t>
      </w:r>
      <w:r>
        <w:rPr>
          <w:rFonts w:ascii="Verdana" w:hAnsi="Verdana"/>
          <w:sz w:val="20"/>
          <w:szCs w:val="20"/>
        </w:rPr>
        <w:t xml:space="preserve">a vo forme </w:t>
      </w:r>
      <w:r>
        <w:rPr>
          <w:rFonts w:ascii="Verdana" w:hAnsi="Verdana"/>
          <w:i/>
          <w:sz w:val="20"/>
          <w:szCs w:val="20"/>
        </w:rPr>
        <w:t>doktrinálnej (odborná báza).</w:t>
      </w:r>
      <w:r>
        <w:rPr>
          <w:rFonts w:ascii="Verdana" w:hAnsi="Verdana"/>
          <w:sz w:val="20"/>
          <w:szCs w:val="20"/>
        </w:rPr>
        <w:t xml:space="preserve"> V dôsledku toho považujeme za užitočné rozlišovať procedurálne kritériá (metódy) od hodnotiacich kritérií (metód), a vo vzťahu k mnohostrannej podstate každého javu a subjektu aspoň kritériá (metódy) legislatívne, odborné a numerické.</w:t>
      </w:r>
    </w:p>
    <w:p w:rsidR="005C3F63" w:rsidRDefault="006536E7">
      <w:pPr>
        <w:pStyle w:val="Kapitola"/>
        <w:rPr>
          <w:lang w:val="sk-SK"/>
        </w:rPr>
      </w:pPr>
      <w:r>
        <w:rPr>
          <w:szCs w:val="22"/>
        </w:rPr>
        <w:t>3 Výsledky a diskus</w:t>
      </w:r>
      <w:r>
        <w:rPr>
          <w:szCs w:val="22"/>
          <w:lang w:val="sk-SK"/>
        </w:rPr>
        <w:t>ia</w:t>
      </w:r>
      <w:r>
        <w:rPr>
          <w:szCs w:val="22"/>
        </w:rPr>
        <w:t xml:space="preserve"> </w:t>
      </w:r>
      <w:r>
        <w:rPr>
          <w:szCs w:val="22"/>
          <w:lang w:val="sk-SK"/>
        </w:rPr>
        <w:t>/ Results and Discussion</w:t>
      </w:r>
    </w:p>
    <w:p w:rsidR="005C3F63" w:rsidRDefault="006536E7">
      <w:pPr>
        <w:spacing w:after="120"/>
        <w:rPr>
          <w:rFonts w:ascii="Verdana" w:hAnsi="Verdana"/>
          <w:sz w:val="20"/>
          <w:szCs w:val="20"/>
        </w:rPr>
      </w:pPr>
      <w:r>
        <w:rPr>
          <w:rFonts w:ascii="Verdana" w:hAnsi="Verdana"/>
          <w:sz w:val="20"/>
          <w:szCs w:val="20"/>
        </w:rPr>
        <w:t xml:space="preserve">Audítor pri audite účtovnej závierky vychádza z platnej legislatívy auditu v danom legislatívnom a časovom prostredí. „V prípade Slovenskej republiky odvolávajúc sa na predpisy v oblasti účtovníctva a auditu je to predovšetkým zákon o účtovníctve a zákon o štatutárnom audite“. (Domaracká and Hunyady,2016). Na tieto zákony následne nadväzujú predpisy – opatrenie MF SR ktorým sa ustanovujú podrobnosti o postupoch účtovania a rámcovej účtovej osnove pre podnikateľov účtujúcich v sústave podvojného účtovníctva a opatrenie MF SR, ktorým sa ustanovujú podrobnosti o individuálnej účtovnej závierke a rozsahu údajov určených z individuálnej účtovnej závierky na zverejnenie a v oblasti auditu sú to predovšetkým ISA – Medzinárodné audítorské štandardy. </w:t>
      </w:r>
    </w:p>
    <w:p w:rsidR="005C3F63" w:rsidRDefault="006536E7">
      <w:pPr>
        <w:spacing w:after="120"/>
        <w:rPr>
          <w:rFonts w:ascii="Verdana" w:hAnsi="Verdana"/>
          <w:sz w:val="20"/>
          <w:szCs w:val="20"/>
        </w:rPr>
      </w:pPr>
      <w:r>
        <w:rPr>
          <w:rFonts w:ascii="Verdana" w:hAnsi="Verdana"/>
          <w:sz w:val="20"/>
          <w:szCs w:val="20"/>
        </w:rPr>
        <w:t xml:space="preserve">Podľa IAPN 1000 - Medzinárodnej audítorskej praktickej vysvetlivky s názvom </w:t>
      </w:r>
      <w:r>
        <w:rPr>
          <w:rFonts w:ascii="Verdana" w:hAnsi="Verdana"/>
          <w:i/>
          <w:sz w:val="20"/>
          <w:szCs w:val="20"/>
        </w:rPr>
        <w:t>špeciálne úvahy pri audite finančných nástrojov</w:t>
      </w:r>
      <w:r>
        <w:rPr>
          <w:rFonts w:ascii="Verdana" w:hAnsi="Verdana"/>
          <w:sz w:val="20"/>
          <w:szCs w:val="20"/>
        </w:rPr>
        <w:t xml:space="preserve"> je cieľom audítora je získať: </w:t>
      </w:r>
    </w:p>
    <w:p w:rsidR="005C3F63" w:rsidRDefault="006536E7">
      <w:pPr>
        <w:spacing w:after="120"/>
        <w:rPr>
          <w:rFonts w:ascii="Verdana" w:hAnsi="Verdana"/>
          <w:sz w:val="20"/>
          <w:szCs w:val="20"/>
        </w:rPr>
      </w:pPr>
      <w:r>
        <w:rPr>
          <w:rFonts w:ascii="Verdana" w:hAnsi="Verdana"/>
          <w:sz w:val="20"/>
          <w:szCs w:val="20"/>
        </w:rPr>
        <w:t xml:space="preserve">(a) základné informácie o finančných nástrojoch (časť I), </w:t>
      </w:r>
    </w:p>
    <w:p w:rsidR="005C3F63" w:rsidRDefault="006536E7">
      <w:pPr>
        <w:spacing w:after="120"/>
        <w:rPr>
          <w:rFonts w:ascii="Verdana" w:hAnsi="Verdana"/>
          <w:sz w:val="20"/>
          <w:szCs w:val="20"/>
        </w:rPr>
      </w:pPr>
      <w:r>
        <w:rPr>
          <w:rFonts w:ascii="Verdana" w:hAnsi="Verdana"/>
          <w:sz w:val="20"/>
          <w:szCs w:val="20"/>
        </w:rPr>
        <w:t>(b) diskusiu o úvahách audítora v súvislosti s finančnými nástrojmi (časť II).</w:t>
      </w:r>
    </w:p>
    <w:p w:rsidR="005C3F63" w:rsidRDefault="006536E7">
      <w:pPr>
        <w:spacing w:after="120"/>
        <w:rPr>
          <w:rFonts w:ascii="Verdana" w:hAnsi="Verdana"/>
          <w:sz w:val="20"/>
          <w:szCs w:val="20"/>
        </w:rPr>
      </w:pPr>
      <w:r>
        <w:rPr>
          <w:rFonts w:ascii="Verdana" w:hAnsi="Verdana"/>
          <w:sz w:val="20"/>
          <w:szCs w:val="20"/>
        </w:rPr>
        <w:t xml:space="preserve">Pre audit finančných nástrojov sú relevantné najmä tieto Medzinárodné audítorské štandardy: </w:t>
      </w:r>
    </w:p>
    <w:p w:rsidR="005C3F63" w:rsidRDefault="006536E7">
      <w:pPr>
        <w:spacing w:after="120"/>
        <w:rPr>
          <w:rFonts w:ascii="Verdana" w:hAnsi="Verdana"/>
          <w:sz w:val="20"/>
          <w:szCs w:val="20"/>
        </w:rPr>
      </w:pPr>
      <w:r>
        <w:rPr>
          <w:rFonts w:ascii="Verdana" w:hAnsi="Verdana"/>
          <w:sz w:val="20"/>
          <w:szCs w:val="20"/>
        </w:rPr>
        <w:t xml:space="preserve">(a) ISA 540 sa zaoberá zodpovednosťami audítora v súvislosti s účtovnými odhadmi pri audite vrátane účtovných odhadov týkajúcich sa finančných nástrojov oceňovaných v reálnej hodnote, </w:t>
      </w:r>
    </w:p>
    <w:p w:rsidR="005C3F63" w:rsidRDefault="006536E7">
      <w:pPr>
        <w:spacing w:after="120"/>
        <w:rPr>
          <w:rFonts w:ascii="Verdana" w:hAnsi="Verdana"/>
          <w:sz w:val="20"/>
          <w:szCs w:val="20"/>
        </w:rPr>
      </w:pPr>
      <w:r>
        <w:rPr>
          <w:rFonts w:ascii="Verdana" w:hAnsi="Verdana"/>
          <w:sz w:val="20"/>
          <w:szCs w:val="20"/>
        </w:rPr>
        <w:t xml:space="preserve">(b) ISA 315 (revidované znenie) a ISA 330 sa venujú identifikovaniu a posudzovaniu rizík významnej nesprávnosti a reakciami na tieto riziká, </w:t>
      </w:r>
    </w:p>
    <w:p w:rsidR="005C3F63" w:rsidRDefault="006536E7">
      <w:pPr>
        <w:spacing w:after="120"/>
        <w:rPr>
          <w:rFonts w:ascii="Verdana" w:hAnsi="Verdana"/>
          <w:sz w:val="20"/>
          <w:szCs w:val="20"/>
        </w:rPr>
      </w:pPr>
      <w:r>
        <w:rPr>
          <w:rFonts w:ascii="Verdana" w:hAnsi="Verdana"/>
          <w:sz w:val="20"/>
          <w:szCs w:val="20"/>
        </w:rPr>
        <w:t>(c) ISA 500 vysvetľuje, čo predstavuje audítorsky dôkaz a zaoberá sa zodpovednosťou audítora za návrh a vykonanie audítorských postupov s cieľom získať dostatočné a vhodné audítorské dôkazy, ktoré mu umožnia dospieť k primeraným záverom tvoriacim základ názoru audítora.</w:t>
      </w:r>
    </w:p>
    <w:p w:rsidR="005C3F63" w:rsidRDefault="006536E7">
      <w:pPr>
        <w:pStyle w:val="Kapitola"/>
        <w:rPr>
          <w:lang w:val="sk-SK"/>
        </w:rPr>
      </w:pPr>
      <w:r>
        <w:t xml:space="preserve">Záver </w:t>
      </w:r>
      <w:r>
        <w:rPr>
          <w:lang w:val="sk-SK"/>
        </w:rPr>
        <w:t>/ Conclusions</w:t>
      </w:r>
    </w:p>
    <w:p w:rsidR="005C3F63" w:rsidRDefault="006536E7">
      <w:pPr>
        <w:spacing w:after="120"/>
        <w:rPr>
          <w:rFonts w:ascii="Verdana" w:hAnsi="Verdana"/>
          <w:i/>
          <w:color w:val="FF0000"/>
          <w:sz w:val="20"/>
          <w:szCs w:val="20"/>
        </w:rPr>
      </w:pPr>
      <w:r>
        <w:rPr>
          <w:rFonts w:ascii="Verdana" w:hAnsi="Verdana"/>
          <w:sz w:val="20"/>
          <w:szCs w:val="20"/>
        </w:rPr>
        <w:t xml:space="preserve">Problematika finančných nástrojov je náročná a rozsiahla. Audit tejto oblasti je špecifický svojimi cieľmi a predovšetkým si vyžaduje zo strany audítora absorbovanie veľkého množstva informácií z tejto problematiky, aby mohol poskytnúť primerané uistenie pre svojho klienta a iných používateľov, že účtovná závierka poskytuje správnu informáciu o finančnej situácii účtovnej jednotky a je v súlade s príslušným rámcom finančného vykazovania. Na takto malom priestore a pri tak náročnej problematike je veľmi náročné vyvodiť komplexné vedecké závery. Náš príspevok chápeme ako vedecké antré pre našu vedeckú prácu v tejto oblasti. Prioritou je axióma – audítor pri audite finančných nástrojov musí postupovať predovšetkým v súlade s Medzinárodnou audítorskou praktickou vysvetlivkou IAPN 1000 - Špeciálne úvahy pri audite finančných nástrojov. V našej ďalšej práci by sme sa chceli zamerať predovšetkým na otázky spojené s úvahami audítora v oblasti oceňovania finančných nástrojov a to v prípade, že manažment využíva nezávislý cenový zdroj, alebo v prípade, že manažment stanovuje odhad reálnej hodnoty pomocou modelu resp. že účtovná jednotka využíva pri oceňovaní experta povereného manažmentom. Audítor môže následne vypracovať oceňovaciu techniku a upraviť vstupy a predpoklady použité v oceňovacej technike, aby stanovil </w:t>
      </w:r>
      <w:r>
        <w:rPr>
          <w:rFonts w:ascii="Verdana" w:hAnsi="Verdana"/>
          <w:sz w:val="20"/>
          <w:szCs w:val="20"/>
        </w:rPr>
        <w:lastRenderedPageBreak/>
        <w:t>rozpätie, ktoré sa použije v hodnotení primeranosti ocenenia manažmentu. Práve IAPN 1000 je nástrojom, ktorý môže audítorovi pomôcť stanoviť bodový odhad alebo rozpätie.</w:t>
      </w:r>
    </w:p>
    <w:p w:rsidR="005C3F63" w:rsidRDefault="006536E7">
      <w:pPr>
        <w:pStyle w:val="Kapitola"/>
        <w:rPr>
          <w:lang w:val="sk-SK"/>
        </w:rPr>
      </w:pPr>
      <w:r>
        <w:t>P</w:t>
      </w:r>
      <w:r>
        <w:rPr>
          <w:lang w:val="sk-SK"/>
        </w:rPr>
        <w:t>r</w:t>
      </w:r>
      <w:r>
        <w:t>íslušnos</w:t>
      </w:r>
      <w:r>
        <w:rPr>
          <w:lang w:val="sk-SK"/>
        </w:rPr>
        <w:t>ť</w:t>
      </w:r>
      <w:r>
        <w:t xml:space="preserve"> k</w:t>
      </w:r>
      <w:r>
        <w:rPr>
          <w:lang w:val="sk-SK"/>
        </w:rPr>
        <w:t>u</w:t>
      </w:r>
      <w:r>
        <w:t xml:space="preserve"> grantov</w:t>
      </w:r>
      <w:r>
        <w:rPr>
          <w:lang w:val="sk-SK"/>
        </w:rPr>
        <w:t>ej</w:t>
      </w:r>
      <w:r>
        <w:t xml:space="preserve"> úlo</w:t>
      </w:r>
      <w:r>
        <w:rPr>
          <w:lang w:val="sk-SK"/>
        </w:rPr>
        <w:t>h</w:t>
      </w:r>
      <w:r>
        <w:t xml:space="preserve">e </w:t>
      </w:r>
      <w:r>
        <w:rPr>
          <w:lang w:val="sk-SK"/>
        </w:rPr>
        <w:t>/ Acknowledgements</w:t>
      </w:r>
    </w:p>
    <w:p w:rsidR="005C3F63" w:rsidRDefault="006536E7">
      <w:pPr>
        <w:spacing w:after="120"/>
        <w:rPr>
          <w:rFonts w:ascii="Verdana" w:hAnsi="Verdana"/>
          <w:sz w:val="20"/>
          <w:szCs w:val="20"/>
        </w:rPr>
      </w:pPr>
      <w:r>
        <w:rPr>
          <w:rFonts w:ascii="Verdana" w:hAnsi="Verdana"/>
          <w:sz w:val="20"/>
          <w:szCs w:val="20"/>
        </w:rPr>
        <w:t>Príspevok bol spracovaný v rámci riešenia grantovej úlohy VEGA 1/0517/20 Virtuálne kryptosiete ako relevantný nástroj na elimináciu ekonomickej kriminality.</w:t>
      </w:r>
    </w:p>
    <w:p w:rsidR="005C3F63" w:rsidRDefault="006536E7">
      <w:pPr>
        <w:pStyle w:val="Kapitola"/>
        <w:rPr>
          <w:lang w:val="sk-SK"/>
        </w:rPr>
      </w:pPr>
      <w:r>
        <w:t>Literárn</w:t>
      </w:r>
      <w:r>
        <w:rPr>
          <w:lang w:val="sk-SK"/>
        </w:rPr>
        <w:t>e</w:t>
      </w:r>
      <w:r>
        <w:t xml:space="preserve"> zdroje a </w:t>
      </w:r>
      <w:r>
        <w:rPr>
          <w:lang w:val="sk-SK"/>
        </w:rPr>
        <w:t>iné</w:t>
      </w:r>
      <w:r>
        <w:t xml:space="preserve"> odkazy </w:t>
      </w:r>
      <w:r>
        <w:rPr>
          <w:lang w:val="sk-SK"/>
        </w:rPr>
        <w:t>/ References</w:t>
      </w:r>
    </w:p>
    <w:p w:rsidR="005C3F63" w:rsidRDefault="006536E7">
      <w:pPr>
        <w:spacing w:after="120"/>
        <w:rPr>
          <w:rFonts w:ascii="Verdana" w:hAnsi="Verdana"/>
          <w:sz w:val="20"/>
          <w:szCs w:val="20"/>
        </w:rPr>
      </w:pPr>
      <w:r>
        <w:rPr>
          <w:rFonts w:ascii="Verdana" w:hAnsi="Verdana"/>
          <w:sz w:val="20"/>
          <w:szCs w:val="20"/>
        </w:rPr>
        <w:t xml:space="preserve">Babčák V. et al. (2017). Finančné právo na Slovensku. Bratislava: Epos. </w:t>
      </w:r>
    </w:p>
    <w:p w:rsidR="005C3F63" w:rsidRDefault="006536E7">
      <w:pPr>
        <w:spacing w:before="120" w:after="120"/>
        <w:rPr>
          <w:rFonts w:ascii="Verdana" w:hAnsi="Verdana"/>
          <w:sz w:val="20"/>
          <w:szCs w:val="20"/>
        </w:rPr>
      </w:pPr>
      <w:r>
        <w:rPr>
          <w:rFonts w:ascii="Verdana" w:hAnsi="Verdana"/>
          <w:sz w:val="20"/>
          <w:szCs w:val="20"/>
        </w:rPr>
        <w:t xml:space="preserve">Balko L. and Babčák V. et al. (2009) . Finančné právo. Bratislava: Eurokódex. </w:t>
      </w:r>
    </w:p>
    <w:p w:rsidR="005C3F63" w:rsidRDefault="006536E7">
      <w:pPr>
        <w:spacing w:before="120" w:after="120"/>
        <w:rPr>
          <w:rFonts w:ascii="Verdana" w:hAnsi="Verdana"/>
          <w:b/>
          <w:sz w:val="20"/>
          <w:szCs w:val="20"/>
          <w:u w:val="single"/>
        </w:rPr>
      </w:pPr>
      <w:r>
        <w:rPr>
          <w:rFonts w:ascii="Verdana" w:hAnsi="Verdana"/>
          <w:sz w:val="20"/>
          <w:szCs w:val="20"/>
        </w:rPr>
        <w:t>Domaracká, D. and Hunyady, K. (2016). Objective and purpose of financial statement audit and forensic audit. - Registrovaný: Web of Science. In Účetnictví a auditing v procesu světové harmonizace. Mezinárodní vědecká konference. Účetnictví a auditing v procesu světové harmonizace : sborník z [16.] mezinárodní vědecké konference : Vranov nad Dyjí, Česko, 13. - 15. září 2016. - Praha : Vysoká škola ekonomická v Praze, Nakladatelství Oeconomica, 2016. ISBN 978-80-245-2157-2, s. 40-43.</w:t>
      </w:r>
    </w:p>
    <w:p w:rsidR="005C3F63" w:rsidRDefault="006536E7">
      <w:pPr>
        <w:adjustRightInd w:val="0"/>
        <w:rPr>
          <w:rFonts w:ascii="Verdana" w:hAnsi="Verdana"/>
          <w:sz w:val="20"/>
          <w:szCs w:val="20"/>
        </w:rPr>
      </w:pPr>
      <w:r>
        <w:rPr>
          <w:rFonts w:ascii="Verdana" w:hAnsi="Verdana"/>
          <w:sz w:val="20"/>
          <w:szCs w:val="20"/>
        </w:rPr>
        <w:t xml:space="preserve">Juhászová, Z. and Markovič, P. and Mokošová, D. (2014). Fair value and its importance for financial decision-making. - Registrovaný: Web of Science. In IFRS: global rules &amp; local use. International scientific conference. </w:t>
      </w:r>
      <w:r>
        <w:rPr>
          <w:rFonts w:ascii="Verdana" w:hAnsi="Verdana"/>
          <w:i/>
          <w:iCs/>
          <w:sz w:val="20"/>
          <w:szCs w:val="20"/>
        </w:rPr>
        <w:t xml:space="preserve">IFRS: global rules &amp; local use : proceedings of the 2nd International scientific conference, Prague, </w:t>
      </w:r>
      <w:r>
        <w:rPr>
          <w:rFonts w:ascii="Verdana" w:hAnsi="Verdana"/>
          <w:sz w:val="20"/>
          <w:szCs w:val="20"/>
        </w:rPr>
        <w:t xml:space="preserve">p. 64-69. </w:t>
      </w:r>
    </w:p>
    <w:p w:rsidR="005C3F63" w:rsidRDefault="006536E7">
      <w:pPr>
        <w:spacing w:before="120" w:after="120"/>
        <w:rPr>
          <w:rFonts w:ascii="Verdana" w:hAnsi="Verdana"/>
          <w:sz w:val="20"/>
          <w:szCs w:val="20"/>
        </w:rPr>
      </w:pPr>
      <w:r>
        <w:rPr>
          <w:rFonts w:ascii="Verdana" w:hAnsi="Verdana"/>
          <w:sz w:val="20"/>
          <w:szCs w:val="20"/>
        </w:rPr>
        <w:t>Juhászová, Z. and Užík, J.(2014). Zákutia úpravy účtovníctva na Slovensku. In Marketing manažment, obchod a sociálne aspekty podnikania. Medzinárodná vedecká konferencia. Marketing manažment, obchod a sociálne aspekty podnikania : zborník recenzovaných príspevkov z 2. ročníka medzinárodnej vedeckej konferencie : Košice, 23. - 24. október 2014 [elektronický zdroj]. - Bratislava : Vydavateľstvo EKONÓM, 2014. ISBN 978-80-225-3982-1, s. 181-185 CD-ROM. VEGA 1/0008/14.</w:t>
      </w:r>
    </w:p>
    <w:p w:rsidR="005C3F63" w:rsidRDefault="006536E7">
      <w:pPr>
        <w:spacing w:before="120" w:after="120"/>
        <w:rPr>
          <w:rFonts w:ascii="Verdana" w:hAnsi="Verdana"/>
          <w:sz w:val="20"/>
          <w:szCs w:val="20"/>
        </w:rPr>
      </w:pPr>
      <w:r>
        <w:rPr>
          <w:rFonts w:ascii="Verdana" w:hAnsi="Verdana"/>
          <w:sz w:val="20"/>
          <w:szCs w:val="20"/>
        </w:rPr>
        <w:t xml:space="preserve">Králik J. and Jakubovič D. (2004). Slovník finančného práva. Bratislava: Veda. </w:t>
      </w:r>
    </w:p>
    <w:p w:rsidR="005C3F63" w:rsidRDefault="006536E7">
      <w:pPr>
        <w:spacing w:before="120" w:after="120"/>
        <w:rPr>
          <w:rFonts w:ascii="Verdana" w:hAnsi="Verdana"/>
          <w:b/>
          <w:sz w:val="20"/>
          <w:szCs w:val="20"/>
          <w:u w:val="single"/>
        </w:rPr>
      </w:pPr>
      <w:r>
        <w:rPr>
          <w:rFonts w:ascii="Verdana" w:hAnsi="Verdana"/>
          <w:sz w:val="20"/>
          <w:szCs w:val="20"/>
        </w:rPr>
        <w:t xml:space="preserve">Parajka, B. (2015). Are information needs of financial entities served by financial statements in the Slovak Republic. - Registrovaný: Web of Science. In Financial management of firms )and financial institutions. International scientific conference. </w:t>
      </w:r>
      <w:r>
        <w:rPr>
          <w:rFonts w:ascii="Verdana" w:hAnsi="Verdana"/>
          <w:i/>
          <w:iCs/>
          <w:sz w:val="20"/>
          <w:szCs w:val="20"/>
        </w:rPr>
        <w:t xml:space="preserve">Financial management of firms and financial institutions </w:t>
      </w:r>
      <w:r>
        <w:rPr>
          <w:rFonts w:ascii="Verdana" w:hAnsi="Verdana"/>
          <w:sz w:val="20"/>
          <w:szCs w:val="20"/>
        </w:rPr>
        <w:t xml:space="preserve">Ostrava. </w:t>
      </w:r>
    </w:p>
    <w:p w:rsidR="005C3F63" w:rsidRDefault="006536E7">
      <w:pPr>
        <w:pStyle w:val="aff"/>
        <w:jc w:val="both"/>
        <w:rPr>
          <w:rFonts w:ascii="Verdana" w:hAnsi="Verdana"/>
          <w:sz w:val="20"/>
          <w:szCs w:val="20"/>
          <w:lang w:val="sk-SK"/>
        </w:rPr>
      </w:pPr>
      <w:r>
        <w:rPr>
          <w:rFonts w:ascii="Verdana" w:hAnsi="Verdana"/>
          <w:sz w:val="20"/>
          <w:szCs w:val="20"/>
          <w:lang w:val="sk-SK"/>
        </w:rPr>
        <w:t>Podmanická, M. (2014).</w:t>
      </w:r>
      <w:r>
        <w:rPr>
          <w:rFonts w:ascii="Verdana" w:hAnsi="Verdana"/>
          <w:spacing w:val="-8"/>
          <w:sz w:val="20"/>
          <w:szCs w:val="20"/>
          <w:lang w:val="sk-SK"/>
        </w:rPr>
        <w:t xml:space="preserve">Verný a pravdivý obraz a legislatívne požiadavky na jeho dosiahnutie </w:t>
      </w:r>
      <w:r>
        <w:rPr>
          <w:rFonts w:ascii="Verdana" w:hAnsi="Verdana"/>
          <w:spacing w:val="-6"/>
          <w:sz w:val="20"/>
          <w:szCs w:val="20"/>
          <w:lang w:val="sk-SK"/>
        </w:rPr>
        <w:t>vo svetle súčasných vývojových tendencií finančného účtovníctva. In Účetnictví a auditing v procesu světové harmonizace. Mezinárodní vědecká konference. </w:t>
      </w:r>
      <w:r>
        <w:rPr>
          <w:rFonts w:ascii="Verdana" w:hAnsi="Verdana"/>
          <w:i/>
          <w:iCs/>
          <w:spacing w:val="-6"/>
          <w:sz w:val="20"/>
          <w:szCs w:val="20"/>
          <w:lang w:val="sk-SK"/>
        </w:rPr>
        <w:t>Účetnictví a auditing v procesu světové harmonizace : sborník zo [14.] mezinárodní vědecké konference : Brno, 3. - 5. září 2014</w:t>
      </w:r>
      <w:r>
        <w:rPr>
          <w:rFonts w:ascii="Verdana" w:hAnsi="Verdana"/>
          <w:spacing w:val="-6"/>
          <w:sz w:val="20"/>
          <w:szCs w:val="20"/>
          <w:lang w:val="sk-SK"/>
        </w:rPr>
        <w:t>. - Praha : Vysoká škola ekonomická v Praze,</w:t>
      </w:r>
      <w:r>
        <w:rPr>
          <w:rFonts w:ascii="Verdana" w:hAnsi="Verdana"/>
          <w:sz w:val="20"/>
          <w:szCs w:val="20"/>
          <w:lang w:val="sk-SK"/>
        </w:rPr>
        <w:t xml:space="preserve"> Nakladatelství Oeconomica, 2014. ISBN 978-80-245-2045-2, s. 136-141. VEGA 1/0122/14.</w:t>
      </w:r>
    </w:p>
    <w:p w:rsidR="005C3F63" w:rsidRDefault="006536E7">
      <w:pPr>
        <w:pStyle w:val="aff"/>
        <w:jc w:val="both"/>
        <w:rPr>
          <w:rFonts w:ascii="Verdana" w:hAnsi="Verdana"/>
          <w:sz w:val="20"/>
          <w:szCs w:val="20"/>
          <w:lang w:val="sk-SK"/>
        </w:rPr>
      </w:pPr>
      <w:r>
        <w:rPr>
          <w:rFonts w:ascii="Verdana" w:hAnsi="Verdana"/>
          <w:sz w:val="20"/>
          <w:szCs w:val="20"/>
          <w:lang w:val="sk-SK"/>
        </w:rPr>
        <w:t>Zákon č. 566/2001 Z. z. - Zákon o cenných papieroch a investičných službách a o zmene a doplnení niektorých zákonov. Zbierka zákonov 2020.</w:t>
      </w:r>
    </w:p>
    <w:p w:rsidR="005C3F63" w:rsidRDefault="006536E7">
      <w:pPr>
        <w:pStyle w:val="aff"/>
        <w:jc w:val="both"/>
        <w:rPr>
          <w:rFonts w:ascii="Verdana" w:hAnsi="Verdana"/>
          <w:sz w:val="20"/>
          <w:szCs w:val="20"/>
          <w:lang w:val="sk-SK"/>
        </w:rPr>
      </w:pPr>
      <w:r>
        <w:rPr>
          <w:rFonts w:ascii="Verdana" w:hAnsi="Verdana"/>
          <w:sz w:val="20"/>
          <w:szCs w:val="20"/>
          <w:lang w:val="sk-SK"/>
        </w:rPr>
        <w:t>Zákon  č. 429/2002 Z. z. - Zákon o burze cenných papierov. Zbierka zákonov 2020.</w:t>
      </w:r>
    </w:p>
    <w:p w:rsidR="005C3F63" w:rsidRDefault="006536E7">
      <w:pPr>
        <w:pStyle w:val="aff"/>
        <w:jc w:val="both"/>
        <w:rPr>
          <w:rFonts w:ascii="Verdana" w:hAnsi="Verdana"/>
          <w:sz w:val="20"/>
          <w:szCs w:val="20"/>
          <w:lang w:val="sk-SK"/>
        </w:rPr>
      </w:pPr>
      <w:r>
        <w:rPr>
          <w:rFonts w:ascii="Verdana" w:hAnsi="Verdana"/>
          <w:sz w:val="20"/>
          <w:szCs w:val="20"/>
          <w:lang w:val="sk-SK"/>
        </w:rPr>
        <w:t xml:space="preserve">Zákon č. 323/2015 Z. z. - Zákon o finančných nástrojoch financovaných z európskych štrukturálnych a investičných fondov a o zmene a doplnení niektorých zákonov. Zbierka zákonov 2020.  </w:t>
      </w:r>
    </w:p>
    <w:p w:rsidR="005C3F63" w:rsidRDefault="006536E7">
      <w:pPr>
        <w:pStyle w:val="aff"/>
        <w:jc w:val="both"/>
        <w:rPr>
          <w:rFonts w:ascii="Verdana" w:hAnsi="Verdana"/>
          <w:sz w:val="20"/>
          <w:szCs w:val="20"/>
          <w:lang w:val="sk-SK"/>
        </w:rPr>
      </w:pPr>
      <w:r>
        <w:rPr>
          <w:rFonts w:ascii="Verdana" w:hAnsi="Verdana"/>
          <w:sz w:val="20"/>
          <w:szCs w:val="20"/>
          <w:lang w:val="sk-SK"/>
        </w:rPr>
        <w:t>Zákon č. 483/2001 Z. z. - Zákon o bankách a o zmene a doplnení niektorých zákonov. Zbierka zákonov 2020.</w:t>
      </w:r>
    </w:p>
    <w:p w:rsidR="005C3F63" w:rsidRDefault="006536E7">
      <w:pPr>
        <w:pStyle w:val="aff"/>
        <w:jc w:val="both"/>
        <w:rPr>
          <w:rFonts w:ascii="Verdana" w:hAnsi="Verdana"/>
          <w:sz w:val="20"/>
          <w:szCs w:val="20"/>
          <w:lang w:val="sk-SK"/>
        </w:rPr>
      </w:pPr>
      <w:r>
        <w:rPr>
          <w:rFonts w:ascii="Verdana" w:hAnsi="Verdana"/>
          <w:sz w:val="20"/>
          <w:szCs w:val="20"/>
          <w:lang w:val="sk-SK"/>
        </w:rPr>
        <w:t>IAS 32-  Finančné nástroje: prezentácia. Nariadenie komisie (es) č. 1126/2008 z 3. novembra 2008, ktorým sa v súlade s nariadením Európskeho parlamentu a Rady (ES) č. 1606/2002 prijímajú určité medzinárodné účtovné štandardy.</w:t>
      </w:r>
    </w:p>
    <w:p w:rsidR="005C3F63" w:rsidRDefault="006536E7">
      <w:pPr>
        <w:pStyle w:val="aff"/>
        <w:jc w:val="both"/>
        <w:rPr>
          <w:rFonts w:ascii="Verdana" w:hAnsi="Verdana"/>
          <w:sz w:val="20"/>
          <w:szCs w:val="20"/>
          <w:lang w:val="sk-SK"/>
        </w:rPr>
      </w:pPr>
      <w:r>
        <w:rPr>
          <w:rFonts w:ascii="Verdana" w:hAnsi="Verdana"/>
          <w:sz w:val="20"/>
          <w:szCs w:val="20"/>
          <w:lang w:val="sk-SK"/>
        </w:rPr>
        <w:t xml:space="preserve">IFRS 7 - Finančné nástroje: zverejňovanie. Nariadenie komisie (EÚ) 2016/2067 z 22. novembra 2016, ktorým sa mení nariadenie (ES) č. 1126/2008, ktorým sa v súlade s nariadením Európskeho parlamentu a Rady (ES) č. 1606/2002 prijímajú určité </w:t>
      </w:r>
      <w:r>
        <w:rPr>
          <w:rFonts w:ascii="Verdana" w:hAnsi="Verdana"/>
          <w:sz w:val="20"/>
          <w:szCs w:val="20"/>
          <w:lang w:val="sk-SK"/>
        </w:rPr>
        <w:lastRenderedPageBreak/>
        <w:t>medzinárodné účtovné štandardy, pokiaľ ide o medzinárodný štandard finančného výkazníctva 9</w:t>
      </w:r>
    </w:p>
    <w:p w:rsidR="005C3F63" w:rsidRDefault="006536E7">
      <w:pPr>
        <w:pStyle w:val="aff"/>
        <w:jc w:val="both"/>
        <w:rPr>
          <w:rFonts w:ascii="Verdana" w:hAnsi="Verdana"/>
          <w:sz w:val="20"/>
          <w:szCs w:val="20"/>
          <w:lang w:val="sk-SK"/>
        </w:rPr>
      </w:pPr>
      <w:r>
        <w:rPr>
          <w:rFonts w:ascii="Verdana" w:hAnsi="Verdana"/>
          <w:sz w:val="20"/>
          <w:szCs w:val="20"/>
          <w:lang w:val="sk-SK"/>
        </w:rPr>
        <w:t>IFRS 9 - Finančné nástroje. Nariadenie komisie (EÚ) 2016/2067 z 22. novembra 2016, ktorým sa mení nariadenie (ES) č. 1126/2008, ktorým sa v súlade s nariadením Európskeho parlamentu a Rady (ES) č. 1606/2002 prijímajú určité medzinárodné účtovné štandardy, pokiaľ ide o medzinárodný štandard finančného výkzníctva 9</w:t>
      </w:r>
    </w:p>
    <w:p w:rsidR="005C3F63" w:rsidRDefault="006536E7">
      <w:pPr>
        <w:pStyle w:val="aff"/>
        <w:jc w:val="both"/>
        <w:rPr>
          <w:rFonts w:ascii="Verdana" w:hAnsi="Verdana"/>
          <w:sz w:val="20"/>
          <w:szCs w:val="20"/>
          <w:lang w:val="sk-SK"/>
        </w:rPr>
      </w:pPr>
      <w:r>
        <w:rPr>
          <w:rFonts w:ascii="Verdana" w:hAnsi="Verdana"/>
          <w:sz w:val="20"/>
          <w:szCs w:val="20"/>
          <w:lang w:val="sk-SK"/>
        </w:rPr>
        <w:t>Smernica európskeho parlamentu a rady 2006/49/ES zo 14. júna 2006 o kapitálovej primeranosti investičných spoločností a úverových inštitúcií. Úradný vestník EU</w:t>
      </w:r>
    </w:p>
    <w:p w:rsidR="005C3F63" w:rsidRDefault="006536E7">
      <w:pPr>
        <w:pStyle w:val="aff"/>
        <w:jc w:val="both"/>
        <w:rPr>
          <w:rFonts w:ascii="Verdana" w:hAnsi="Verdana"/>
          <w:sz w:val="20"/>
          <w:szCs w:val="20"/>
          <w:lang w:val="sk-SK"/>
        </w:rPr>
      </w:pPr>
      <w:r>
        <w:rPr>
          <w:rFonts w:ascii="Verdana" w:hAnsi="Verdana"/>
          <w:sz w:val="20"/>
          <w:szCs w:val="20"/>
          <w:lang w:val="sk-SK"/>
        </w:rPr>
        <w:t>Nariadenie komisie (EÚ) 2016/2067 z 22. novembra 2016, ktorým sa mení nariadenie (ES) č. 1126/2008, ktorým sa v súlade s nariadením Európskeho parlamentu a Rady (ES) č. 1606/2002 prijímajú určité medzinárodné účtovné štandardy, pokiaľ ide o medzinárodný štandard finančného výkazníctva 9</w:t>
      </w:r>
    </w:p>
    <w:p w:rsidR="005C3F63" w:rsidRDefault="006536E7">
      <w:pPr>
        <w:pStyle w:val="aff"/>
        <w:jc w:val="both"/>
        <w:rPr>
          <w:rFonts w:ascii="Verdana" w:hAnsi="Verdana"/>
          <w:sz w:val="20"/>
          <w:szCs w:val="20"/>
          <w:lang w:val="sk-SK"/>
        </w:rPr>
      </w:pPr>
      <w:r>
        <w:rPr>
          <w:rFonts w:ascii="Verdana" w:hAnsi="Verdana"/>
          <w:sz w:val="20"/>
          <w:szCs w:val="20"/>
          <w:lang w:val="sk-SK"/>
        </w:rPr>
        <w:t xml:space="preserve">Zákon č. 513/1991 Zb. - Obchodný zákonník v znení neskorších predpisov. Zbierka zákonov 2020. </w:t>
      </w:r>
    </w:p>
    <w:p w:rsidR="005C3F63" w:rsidRPr="00975BA4" w:rsidRDefault="006536E7">
      <w:pPr>
        <w:spacing w:before="120" w:after="120"/>
        <w:rPr>
          <w:rFonts w:ascii="Verdana" w:hAnsi="Verdana"/>
          <w:sz w:val="20"/>
          <w:szCs w:val="20"/>
          <w:lang w:val="sk-SK"/>
        </w:rPr>
      </w:pPr>
      <w:r w:rsidRPr="00975BA4">
        <w:rPr>
          <w:rFonts w:ascii="Verdana" w:hAnsi="Verdana"/>
          <w:sz w:val="20"/>
          <w:szCs w:val="20"/>
          <w:lang w:val="sk-SK"/>
        </w:rPr>
        <w:t>Zákon č. 431/2002 Z.z. o účtovníctve v znení neskorších predpisov. Zbierka zákon 2020.</w:t>
      </w:r>
    </w:p>
    <w:p w:rsidR="005C3F63" w:rsidRPr="00975BA4" w:rsidRDefault="006536E7">
      <w:pPr>
        <w:spacing w:before="120" w:after="120"/>
        <w:rPr>
          <w:rFonts w:ascii="Verdana" w:hAnsi="Verdana"/>
          <w:sz w:val="20"/>
          <w:szCs w:val="20"/>
          <w:lang w:val="sk-SK"/>
        </w:rPr>
      </w:pPr>
      <w:r w:rsidRPr="00975BA4">
        <w:rPr>
          <w:rFonts w:ascii="Verdana" w:hAnsi="Verdana"/>
          <w:sz w:val="20"/>
          <w:szCs w:val="20"/>
          <w:lang w:val="sk-SK"/>
        </w:rPr>
        <w:t>Zákon č. 423/2015 Z.z. z 11. novembra 2015 o štatutárnom audite a o zmene a doplnení zákona č.431/2002 Z.z. o účtovníctve v znení neskorších predpisov. Zb. zákonov 2020.</w:t>
      </w:r>
    </w:p>
    <w:p w:rsidR="005C3F63" w:rsidRPr="00975BA4" w:rsidRDefault="006536E7">
      <w:pPr>
        <w:spacing w:before="120" w:after="120"/>
        <w:rPr>
          <w:rFonts w:ascii="Verdana" w:hAnsi="Verdana"/>
          <w:sz w:val="20"/>
          <w:szCs w:val="20"/>
          <w:lang w:val="sk-SK"/>
        </w:rPr>
      </w:pPr>
      <w:r w:rsidRPr="00975BA4">
        <w:rPr>
          <w:rFonts w:ascii="Verdana" w:hAnsi="Verdana"/>
          <w:sz w:val="20"/>
          <w:szCs w:val="20"/>
          <w:lang w:val="sk-SK"/>
        </w:rPr>
        <w:t>Oznámenie Ministerstva financií Slovenskej republiky č. 395/2018 Z. z. - opatrenie z 21. novembra 2018 č. MF/017028/2018-74, ktorým sa mení a dopĺňa opatrenie Ministerstva financií Slovenskej republiky zo 16. decembra 2002 č. 23054/2002-92, ktorým sa ustanovujú podrobnosti o postupoch účtovania a rámcovej účtovej osnove pre podnikateľov účtujúcich v sústave podvojného účtovníctva</w:t>
      </w:r>
    </w:p>
    <w:p w:rsidR="005C3F63" w:rsidRPr="00975BA4" w:rsidRDefault="006536E7">
      <w:pPr>
        <w:spacing w:before="120" w:after="120"/>
        <w:rPr>
          <w:rFonts w:ascii="Verdana" w:hAnsi="Verdana"/>
          <w:sz w:val="20"/>
          <w:szCs w:val="20"/>
          <w:lang w:val="sk-SK"/>
        </w:rPr>
      </w:pPr>
      <w:r w:rsidRPr="00975BA4">
        <w:rPr>
          <w:rFonts w:ascii="Verdana" w:hAnsi="Verdana"/>
          <w:sz w:val="20"/>
          <w:szCs w:val="20"/>
          <w:lang w:val="sk-SK"/>
        </w:rPr>
        <w:t>Oznámenie Ministerstva financií Slovenskej republiky č. 326/2017 Z. z. o vydaní opatrenia zo 6. decembra 2017 č. MF/14770/2017-74, ktorým sa mení a dopĺňa opatrenie Ministerstva financií Slovenskej republiky z 3. decembra 2014 č. MF/23377/2014-74, ktorým sa ustanovujú podrobnosti o individuálnej účtovnej závierke a rozsahu údajov určených z individuálnej účtovnej závierky na zverejnenie pre veľké účtovné jednotky a subjekty verejného záujmu v znení opatrenia z 2. decembra 2015 č. MF/19926/2015-74</w:t>
      </w:r>
    </w:p>
    <w:p w:rsidR="005C3F63" w:rsidRDefault="006536E7">
      <w:pPr>
        <w:spacing w:before="120" w:after="120"/>
        <w:rPr>
          <w:rFonts w:ascii="Verdana" w:hAnsi="Verdana"/>
          <w:sz w:val="20"/>
          <w:szCs w:val="20"/>
        </w:rPr>
      </w:pPr>
      <w:r>
        <w:rPr>
          <w:rFonts w:ascii="Verdana" w:hAnsi="Verdana"/>
          <w:sz w:val="20"/>
          <w:szCs w:val="20"/>
        </w:rPr>
        <w:t xml:space="preserve">Príručka medzinárodných usmernení na kontrolu kvality, audit, preverenie, iné uisťovacie a súvisiace služby, vydanie IFAC 2016 – 2017. </w:t>
      </w:r>
    </w:p>
    <w:p w:rsidR="005C3F63" w:rsidRDefault="005C3F63">
      <w:pPr>
        <w:pStyle w:val="aff"/>
        <w:rPr>
          <w:rFonts w:ascii="Verdana" w:hAnsi="Verdana"/>
          <w:sz w:val="20"/>
          <w:szCs w:val="20"/>
          <w:lang w:val="en-GB"/>
        </w:rPr>
      </w:pPr>
    </w:p>
    <w:p w:rsidR="005C3F63" w:rsidRDefault="005C3F63">
      <w:pPr>
        <w:pStyle w:val="aff"/>
        <w:rPr>
          <w:rFonts w:ascii="Verdana" w:hAnsi="Verdana"/>
          <w:sz w:val="20"/>
          <w:szCs w:val="20"/>
          <w:lang w:val="cs-CZ"/>
        </w:rPr>
      </w:pPr>
    </w:p>
    <w:p w:rsidR="005C3F63" w:rsidRDefault="006536E7">
      <w:pPr>
        <w:pStyle w:val="aff"/>
        <w:rPr>
          <w:rFonts w:ascii="Verdana" w:hAnsi="Verdana"/>
          <w:sz w:val="20"/>
          <w:szCs w:val="20"/>
          <w:lang w:val="cs-CZ"/>
        </w:rPr>
      </w:pPr>
      <w:r>
        <w:rPr>
          <w:rFonts w:ascii="Verdana" w:hAnsi="Verdana"/>
          <w:sz w:val="20"/>
          <w:szCs w:val="20"/>
          <w:lang w:val="cs-CZ"/>
        </w:rPr>
        <w:t xml:space="preserve"> </w:t>
      </w:r>
    </w:p>
    <w:p w:rsidR="005C3F63" w:rsidRDefault="006536E7">
      <w:pPr>
        <w:rPr>
          <w:szCs w:val="24"/>
        </w:rPr>
      </w:pPr>
      <w:bookmarkStart w:id="263" w:name="_Toc47951514"/>
      <w:r>
        <w:rPr>
          <w:szCs w:val="24"/>
        </w:rPr>
        <w:br w:type="page"/>
      </w:r>
    </w:p>
    <w:p w:rsidR="005C3F63" w:rsidRDefault="006536E7">
      <w:pPr>
        <w:pStyle w:val="1"/>
        <w:spacing w:before="0" w:after="240"/>
        <w:rPr>
          <w:szCs w:val="24"/>
        </w:rPr>
      </w:pPr>
      <w:r>
        <w:rPr>
          <w:szCs w:val="24"/>
        </w:rPr>
        <w:lastRenderedPageBreak/>
        <w:t xml:space="preserve">Accounting </w:t>
      </w:r>
      <w:r>
        <w:rPr>
          <w:szCs w:val="24"/>
          <w:lang w:val="sk-SK"/>
        </w:rPr>
        <w:t>E</w:t>
      </w:r>
      <w:r>
        <w:rPr>
          <w:szCs w:val="24"/>
        </w:rPr>
        <w:t xml:space="preserve">stimates from </w:t>
      </w:r>
      <w:r>
        <w:rPr>
          <w:szCs w:val="24"/>
          <w:lang w:val="sk-SK"/>
        </w:rPr>
        <w:t>A</w:t>
      </w:r>
      <w:r>
        <w:rPr>
          <w:szCs w:val="24"/>
        </w:rPr>
        <w:t xml:space="preserve">udit </w:t>
      </w:r>
      <w:r>
        <w:rPr>
          <w:szCs w:val="24"/>
          <w:lang w:val="sk-SK"/>
        </w:rPr>
        <w:t>P</w:t>
      </w:r>
      <w:r>
        <w:rPr>
          <w:szCs w:val="24"/>
        </w:rPr>
        <w:t xml:space="preserve">erspective as </w:t>
      </w:r>
      <w:r>
        <w:rPr>
          <w:szCs w:val="24"/>
          <w:lang w:val="sk-SK"/>
        </w:rPr>
        <w:t>R</w:t>
      </w:r>
      <w:r>
        <w:rPr>
          <w:szCs w:val="24"/>
        </w:rPr>
        <w:t>esult of Covid-19</w:t>
      </w:r>
      <w:bookmarkEnd w:id="263"/>
      <w:r>
        <w:rPr>
          <w:szCs w:val="24"/>
        </w:rPr>
        <w:br/>
      </w:r>
    </w:p>
    <w:p w:rsidR="005C3F63" w:rsidRDefault="006536E7">
      <w:pPr>
        <w:spacing w:after="120"/>
        <w:jc w:val="center"/>
        <w:rPr>
          <w:rFonts w:ascii="Verdana" w:hAnsi="Verdana"/>
          <w:b/>
          <w:sz w:val="20"/>
          <w:szCs w:val="20"/>
          <w:lang w:val="sk-SK"/>
        </w:rPr>
      </w:pPr>
      <w:bookmarkStart w:id="264" w:name="_Toc47435424"/>
      <w:bookmarkStart w:id="265" w:name="_Toc47433530"/>
      <w:bookmarkStart w:id="266" w:name="_Toc47443656"/>
      <w:bookmarkStart w:id="267" w:name="_Toc47445721"/>
      <w:bookmarkStart w:id="268" w:name="_Toc47438952"/>
      <w:bookmarkStart w:id="269" w:name="_Toc47439762"/>
      <w:bookmarkStart w:id="270" w:name="_Toc47440080"/>
      <w:bookmarkStart w:id="271" w:name="_Toc47451140"/>
      <w:bookmarkStart w:id="272" w:name="_Toc47441185"/>
      <w:bookmarkStart w:id="273" w:name="_Toc47448046"/>
      <w:bookmarkStart w:id="274" w:name="_Toc47446698"/>
      <w:bookmarkStart w:id="275" w:name="_Toc47443555"/>
      <w:bookmarkStart w:id="276" w:name="_Toc47441481"/>
      <w:bookmarkStart w:id="277" w:name="_Toc47448305"/>
      <w:bookmarkStart w:id="278" w:name="_Toc47446356"/>
      <w:bookmarkStart w:id="279" w:name="_Toc47446096"/>
      <w:bookmarkStart w:id="280" w:name="_Toc47448100"/>
      <w:bookmarkStart w:id="281" w:name="_Toc47449299"/>
      <w:bookmarkStart w:id="282" w:name="_Toc47441667"/>
      <w:bookmarkStart w:id="283" w:name="_Toc47441601"/>
      <w:bookmarkStart w:id="284" w:name="_Toc47447964"/>
      <w:bookmarkStart w:id="285" w:name="_Toc47448183"/>
      <w:bookmarkStart w:id="286" w:name="_Toc47948978"/>
      <w:bookmarkStart w:id="287" w:name="_Toc47951515"/>
      <w:bookmarkStart w:id="288" w:name="_Toc47949292"/>
      <w:bookmarkStart w:id="289" w:name="_Toc47447910"/>
      <w:bookmarkStart w:id="290" w:name="_Toc47448598"/>
      <w:bookmarkStart w:id="291" w:name="_Toc47444273"/>
      <w:bookmarkStart w:id="292" w:name="_Toc47948719"/>
      <w:bookmarkStart w:id="293" w:name="_Toc47447144"/>
      <w:bookmarkStart w:id="294" w:name="_Toc47444590"/>
      <w:bookmarkStart w:id="295" w:name="_Toc47442660"/>
      <w:bookmarkStart w:id="296" w:name="_Toc47440858"/>
      <w:bookmarkStart w:id="297" w:name="_Toc47444431"/>
      <w:bookmarkStart w:id="298" w:name="_Toc47444120"/>
      <w:bookmarkStart w:id="299" w:name="_Toc47448824"/>
      <w:bookmarkStart w:id="300" w:name="_Toc47448543"/>
      <w:bookmarkStart w:id="301" w:name="_Toc47948780"/>
      <w:bookmarkStart w:id="302" w:name="_Toc47443422"/>
      <w:bookmarkStart w:id="303" w:name="_Toc47445944"/>
      <w:bookmarkStart w:id="304" w:name="_Toc47951357"/>
      <w:bookmarkStart w:id="305" w:name="_Toc47951450"/>
      <w:r>
        <w:rPr>
          <w:rStyle w:val="AutorChar"/>
          <w:sz w:val="20"/>
          <w:szCs w:val="20"/>
        </w:rPr>
        <w:t>Veronika Kňažková</w:t>
      </w:r>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p>
    <w:p w:rsidR="005C3F63" w:rsidRDefault="006536E7">
      <w:pPr>
        <w:jc w:val="center"/>
        <w:rPr>
          <w:rFonts w:ascii="Verdana" w:hAnsi="Verdana"/>
          <w:sz w:val="18"/>
          <w:szCs w:val="18"/>
        </w:rPr>
      </w:pPr>
      <w:r>
        <w:rPr>
          <w:rFonts w:ascii="Verdana" w:hAnsi="Verdana"/>
          <w:sz w:val="18"/>
          <w:szCs w:val="18"/>
        </w:rPr>
        <w:t xml:space="preserve">University of Economics in Bratislava </w:t>
      </w:r>
    </w:p>
    <w:p w:rsidR="005C3F63" w:rsidRDefault="006536E7">
      <w:pPr>
        <w:jc w:val="center"/>
        <w:rPr>
          <w:rFonts w:ascii="Verdana" w:hAnsi="Verdana"/>
          <w:sz w:val="18"/>
          <w:szCs w:val="18"/>
        </w:rPr>
      </w:pPr>
      <w:r>
        <w:rPr>
          <w:rFonts w:ascii="Verdana" w:hAnsi="Verdana"/>
          <w:sz w:val="18"/>
          <w:szCs w:val="18"/>
        </w:rPr>
        <w:t>Faculty of Enonomics Informatics,</w:t>
      </w:r>
      <w:r>
        <w:t xml:space="preserve"> </w:t>
      </w:r>
      <w:r>
        <w:rPr>
          <w:rFonts w:ascii="Verdana" w:hAnsi="Verdana"/>
          <w:sz w:val="18"/>
          <w:szCs w:val="18"/>
        </w:rPr>
        <w:t>Department of Accounting and Auditing</w:t>
      </w:r>
    </w:p>
    <w:p w:rsidR="005C3F63" w:rsidRDefault="006536E7">
      <w:pPr>
        <w:jc w:val="center"/>
        <w:rPr>
          <w:rFonts w:ascii="Verdana" w:hAnsi="Verdana"/>
          <w:sz w:val="18"/>
          <w:szCs w:val="18"/>
        </w:rPr>
      </w:pPr>
      <w:r>
        <w:rPr>
          <w:rFonts w:ascii="Verdana" w:hAnsi="Verdana"/>
          <w:sz w:val="18"/>
          <w:szCs w:val="18"/>
        </w:rPr>
        <w:t>Dolnozemská cesta 1, 852 35 Bratislava, Slovakia</w:t>
      </w:r>
    </w:p>
    <w:p w:rsidR="005C3F63" w:rsidRDefault="006536E7">
      <w:pPr>
        <w:jc w:val="center"/>
        <w:rPr>
          <w:rFonts w:ascii="Verdana" w:hAnsi="Verdana"/>
          <w:sz w:val="18"/>
          <w:szCs w:val="18"/>
          <w:lang w:val="en-GB"/>
        </w:rPr>
      </w:pPr>
      <w:r>
        <w:rPr>
          <w:rFonts w:ascii="Verdana" w:hAnsi="Verdana"/>
          <w:sz w:val="18"/>
          <w:szCs w:val="18"/>
          <w:lang w:val="en-GB"/>
        </w:rPr>
        <w:t>E-mail: knazkovav@gmail.com</w:t>
      </w:r>
    </w:p>
    <w:p w:rsidR="005C3F63" w:rsidRDefault="005C3F63">
      <w:pPr>
        <w:jc w:val="center"/>
        <w:rPr>
          <w:rFonts w:ascii="Verdana" w:hAnsi="Verdana"/>
          <w:sz w:val="18"/>
          <w:szCs w:val="18"/>
          <w:lang w:val="en-GB"/>
        </w:rPr>
      </w:pPr>
    </w:p>
    <w:p w:rsidR="005C3F63" w:rsidRDefault="005C3F63">
      <w:pPr>
        <w:rPr>
          <w:rFonts w:ascii="Verdana" w:hAnsi="Verdana"/>
          <w:sz w:val="22"/>
          <w:lang w:val="en-GB"/>
        </w:rPr>
      </w:pPr>
    </w:p>
    <w:p w:rsidR="005C3F63" w:rsidRDefault="006536E7">
      <w:pPr>
        <w:spacing w:after="120"/>
        <w:rPr>
          <w:szCs w:val="24"/>
          <w:lang w:val="en-GB"/>
        </w:rPr>
      </w:pPr>
      <w:r>
        <w:rPr>
          <w:rFonts w:ascii="Verdana" w:hAnsi="Verdana"/>
          <w:b/>
          <w:i/>
          <w:sz w:val="20"/>
          <w:szCs w:val="20"/>
        </w:rPr>
        <w:t>Abstra</w:t>
      </w:r>
      <w:r>
        <w:rPr>
          <w:rFonts w:ascii="Verdana" w:hAnsi="Verdana"/>
          <w:b/>
          <w:i/>
          <w:sz w:val="20"/>
          <w:szCs w:val="20"/>
          <w:lang w:val="sk-SK"/>
        </w:rPr>
        <w:t>c</w:t>
      </w:r>
      <w:r>
        <w:rPr>
          <w:rFonts w:ascii="Verdana" w:hAnsi="Verdana"/>
          <w:b/>
          <w:i/>
          <w:sz w:val="20"/>
          <w:szCs w:val="20"/>
        </w:rPr>
        <w:t xml:space="preserve">t: </w:t>
      </w:r>
      <w:r>
        <w:rPr>
          <w:rFonts w:ascii="Verdana" w:hAnsi="Verdana"/>
          <w:i/>
          <w:sz w:val="20"/>
          <w:szCs w:val="20"/>
          <w:lang w:val="en-GB"/>
        </w:rPr>
        <w:t>We are currently witnessing significant changes in all areas of the economic life caused by the COVID-19 pandemic. A global pandemic affects economies, markets and businesses, causing considerable volatility and uncertainty. In such unforeseen circumstances, auditors will need to focus on the potential effects of this instability and uncertainty when auditing accounting estimates. The aim of this article is the accounting estimates and the auditor's procedure for their creation at the time of the pandemic. The auditor follows the International Standard on Auditing ISA 540, the Auditing of Accounting Estimates, including Fair Value Accounting and Related Disclosures, which underwent a revision process in May 2020 to improve the financial reporting of accounting estimates.</w:t>
      </w:r>
      <w:r>
        <w:rPr>
          <w:szCs w:val="24"/>
          <w:lang w:val="en-GB"/>
        </w:rPr>
        <w:t xml:space="preserve"> </w:t>
      </w:r>
      <w:r>
        <w:rPr>
          <w:rFonts w:ascii="Verdana" w:hAnsi="Verdana"/>
          <w:i/>
          <w:sz w:val="20"/>
          <w:szCs w:val="20"/>
          <w:lang w:val="en-GB"/>
        </w:rPr>
        <w:t>As part of the review of International Standard on Auditing ISA 540, I present the most significant parts that have been revised, as they relate to the assessment of the inherent risk factors that may lead to the risk of the material misstatement of the accounting estimates</w:t>
      </w:r>
    </w:p>
    <w:p w:rsidR="005C3F63" w:rsidRDefault="006536E7">
      <w:pPr>
        <w:spacing w:after="120"/>
        <w:rPr>
          <w:rFonts w:ascii="Verdana" w:hAnsi="Verdana"/>
          <w:i/>
          <w:sz w:val="20"/>
          <w:szCs w:val="20"/>
          <w:lang w:val="sk-SK"/>
        </w:rPr>
      </w:pPr>
      <w:r>
        <w:rPr>
          <w:rFonts w:ascii="Verdana" w:hAnsi="Verdana"/>
          <w:b/>
          <w:i/>
          <w:sz w:val="20"/>
          <w:szCs w:val="20"/>
          <w:lang w:val="sk-SK"/>
        </w:rPr>
        <w:t>Keywords:</w:t>
      </w:r>
      <w:r>
        <w:rPr>
          <w:rFonts w:ascii="Verdana" w:hAnsi="Verdana"/>
          <w:i/>
          <w:sz w:val="20"/>
          <w:szCs w:val="20"/>
          <w:lang w:val="sk-SK"/>
        </w:rPr>
        <w:t xml:space="preserve"> accounting estimation, audit, pandemic, globalization</w:t>
      </w:r>
    </w:p>
    <w:p w:rsidR="005C3F63" w:rsidRDefault="006536E7">
      <w:pPr>
        <w:pStyle w:val="04-Anotacijostekstas"/>
        <w:spacing w:before="0" w:after="120"/>
        <w:ind w:left="0" w:right="-284"/>
        <w:jc w:val="left"/>
        <w:rPr>
          <w:rFonts w:ascii="Verdana" w:hAnsi="Verdana"/>
          <w:i/>
          <w:lang w:val="sk-SK"/>
        </w:rPr>
      </w:pPr>
      <w:r>
        <w:rPr>
          <w:rFonts w:ascii="Verdana" w:hAnsi="Verdana"/>
          <w:i/>
          <w:lang w:val="sk-SK"/>
        </w:rPr>
        <w:t>JEL codes: M42</w:t>
      </w:r>
    </w:p>
    <w:p w:rsidR="005C3F63" w:rsidRDefault="006536E7">
      <w:pPr>
        <w:pStyle w:val="1"/>
        <w:jc w:val="left"/>
        <w:rPr>
          <w:sz w:val="22"/>
          <w:szCs w:val="22"/>
          <w:lang w:val="sk-SK"/>
        </w:rPr>
      </w:pPr>
      <w:bookmarkStart w:id="306" w:name="_Toc47951516"/>
      <w:r>
        <w:rPr>
          <w:rStyle w:val="KapitolaChar"/>
          <w:b/>
          <w:lang w:val="sk-SK"/>
        </w:rPr>
        <w:t>1 Úvod / Introduction</w:t>
      </w:r>
      <w:r>
        <w:rPr>
          <w:rStyle w:val="KapitolaChar"/>
          <w:lang w:val="sk-SK"/>
        </w:rPr>
        <w:t xml:space="preserve"> </w:t>
      </w:r>
    </w:p>
    <w:p w:rsidR="005C3F63" w:rsidRDefault="006536E7">
      <w:pPr>
        <w:spacing w:after="120"/>
        <w:rPr>
          <w:rFonts w:ascii="Verdana" w:hAnsi="Verdana"/>
          <w:sz w:val="20"/>
          <w:szCs w:val="20"/>
          <w:lang w:val="sk-SK"/>
        </w:rPr>
      </w:pPr>
      <w:r>
        <w:rPr>
          <w:rFonts w:ascii="Verdana" w:hAnsi="Verdana"/>
          <w:sz w:val="20"/>
          <w:szCs w:val="20"/>
          <w:lang w:val="sk-SK"/>
        </w:rPr>
        <w:t>Aktuálnou témou súčasnosti je COVID-19, ktorý významnou mierou zasiahol každú oblasť hospodárskeho prostredia. Výnimkou nie oblasť účtovníctva ani audítorstva, ktoré sa v dôsledku vývoja vytvorili ako kontroverzné povolania (</w:t>
      </w:r>
      <w:r>
        <w:rPr>
          <w:rFonts w:ascii="Verdana" w:hAnsi="Verdana"/>
          <w:sz w:val="20"/>
          <w:szCs w:val="20"/>
          <w:lang w:val="sk-SK" w:eastAsia="sk-SK"/>
        </w:rPr>
        <w:t>Nasir and </w:t>
      </w:r>
      <w:hyperlink r:id="rId104" w:tooltip="Find more records by this author" w:history="1">
        <w:r>
          <w:rPr>
            <w:rFonts w:ascii="Verdana" w:hAnsi="Verdana"/>
            <w:sz w:val="20"/>
            <w:szCs w:val="20"/>
            <w:lang w:val="sk-SK" w:eastAsia="sk-SK"/>
          </w:rPr>
          <w:t xml:space="preserve">Ali </w:t>
        </w:r>
      </w:hyperlink>
      <w:r>
        <w:rPr>
          <w:rFonts w:ascii="Verdana" w:hAnsi="Verdana"/>
          <w:sz w:val="20"/>
          <w:szCs w:val="20"/>
          <w:lang w:val="sk-SK"/>
        </w:rPr>
        <w:t xml:space="preserve">and </w:t>
      </w:r>
      <w:r>
        <w:rPr>
          <w:rFonts w:ascii="Verdana" w:hAnsi="Verdana"/>
          <w:sz w:val="20"/>
          <w:szCs w:val="20"/>
          <w:lang w:val="sk-SK" w:eastAsia="sk-SK"/>
        </w:rPr>
        <w:t>Ahmed, 2019)</w:t>
      </w:r>
      <w:r>
        <w:rPr>
          <w:rFonts w:ascii="Verdana" w:hAnsi="Verdana"/>
          <w:sz w:val="20"/>
          <w:szCs w:val="20"/>
          <w:lang w:val="sk-SK"/>
        </w:rPr>
        <w:t>. Účtovníctvo predstavuje ucelený systém, prostredníctvom ktorého sa zhromažďujú, zaznamenávajú, klasifikujú, sumarizujú a interpretujú účtovné informácie všetkým používateľom, na základe ktorých je možné rozhodovať o ďalšom rozvoji podnikania. Účtovníctvo prostredníctvom účtovnej závierky poskytuje rôznym používateľom, ktorí na základe nich prijímajú ekonomické rozhodnutia, informácie o finančnej situácii, ziskovosti (finančnej výkonnosti) a zmenách vo finančnej situácii účtovnej jednotky (Parajka, 2016) za určité časové obdobie (</w:t>
      </w:r>
      <w:r>
        <w:rPr>
          <w:rFonts w:ascii="Verdana" w:hAnsi="Verdana"/>
          <w:sz w:val="20"/>
          <w:szCs w:val="20"/>
          <w:shd w:val="clear" w:color="auto" w:fill="FFFFFF"/>
          <w:lang w:val="sk-SK"/>
        </w:rPr>
        <w:t>Kareš, 2008), (Krišková and Užík 2016), (</w:t>
      </w:r>
      <w:r>
        <w:rPr>
          <w:rFonts w:ascii="Verdana" w:hAnsi="Verdana"/>
          <w:sz w:val="20"/>
          <w:szCs w:val="20"/>
          <w:lang w:val="sk-SK"/>
        </w:rPr>
        <w:t>Lindie and Yaeesh and Irfaan 2018), (Máziková and Ondrušová, 2014), (</w:t>
      </w:r>
      <w:r>
        <w:rPr>
          <w:rFonts w:ascii="Verdana" w:eastAsia="MS Mincho" w:hAnsi="Verdana"/>
          <w:kern w:val="2"/>
          <w:sz w:val="20"/>
          <w:szCs w:val="20"/>
          <w:shd w:val="clear" w:color="auto" w:fill="FFFFFF"/>
          <w:lang w:val="sk-SK" w:eastAsia="ja-JP"/>
        </w:rPr>
        <w:t>Šlosárová and Blahušiaková, 2016).</w:t>
      </w:r>
      <w:r>
        <w:rPr>
          <w:rFonts w:ascii="Verdana" w:hAnsi="Verdana"/>
          <w:sz w:val="20"/>
          <w:szCs w:val="20"/>
          <w:lang w:val="sk-SK"/>
        </w:rPr>
        <w:t xml:space="preserve"> Informačné potreby jednotlivých skupín používateľov sú rôzne (</w:t>
      </w:r>
      <w:hyperlink r:id="rId105" w:tooltip="Find more records by this author" w:history="1">
        <w:r>
          <w:rPr>
            <w:rStyle w:val="af9"/>
            <w:rFonts w:ascii="Verdana" w:hAnsi="Verdana"/>
            <w:color w:val="auto"/>
            <w:sz w:val="20"/>
            <w:szCs w:val="20"/>
            <w:u w:val="none"/>
            <w:lang w:val="sk-SK"/>
          </w:rPr>
          <w:t xml:space="preserve">Green, </w:t>
        </w:r>
      </w:hyperlink>
      <w:r>
        <w:rPr>
          <w:rFonts w:ascii="Verdana" w:hAnsi="Verdana"/>
          <w:sz w:val="20"/>
          <w:szCs w:val="20"/>
          <w:lang w:val="sk-SK"/>
        </w:rPr>
        <w:t>2016); (</w:t>
      </w:r>
      <w:hyperlink r:id="rId106" w:tooltip="Find more records by this author" w:history="1">
        <w:r>
          <w:rPr>
            <w:rFonts w:ascii="Verdana" w:hAnsi="Verdana"/>
            <w:sz w:val="20"/>
            <w:szCs w:val="20"/>
            <w:lang w:val="sk-SK" w:eastAsia="sk-SK"/>
          </w:rPr>
          <w:t xml:space="preserve">Leidner </w:t>
        </w:r>
      </w:hyperlink>
      <w:r>
        <w:rPr>
          <w:rFonts w:ascii="Verdana" w:hAnsi="Verdana"/>
          <w:sz w:val="20"/>
          <w:szCs w:val="20"/>
          <w:lang w:val="sk-SK" w:eastAsia="sk-SK"/>
        </w:rPr>
        <w:t xml:space="preserve">and Lenz, </w:t>
      </w:r>
      <w:r>
        <w:rPr>
          <w:rFonts w:ascii="Verdana" w:hAnsi="Verdana"/>
          <w:sz w:val="20"/>
          <w:szCs w:val="20"/>
          <w:lang w:val="sk-SK"/>
        </w:rPr>
        <w:t>2017) a stále rastú a stávajú sa náročnejšími (Krišková and Užík, 2017). a často si navzájom odporujú (Tumpach, M. 2006), (Tumpach and Manová and Meluchová 2014). Preto je potrebné prezentovať všetky obchodné transakcie prostredníctvom účtovnej závierky (</w:t>
      </w:r>
      <w:r>
        <w:rPr>
          <w:rFonts w:ascii="Verdana" w:hAnsi="Verdana"/>
          <w:sz w:val="20"/>
          <w:szCs w:val="20"/>
          <w:lang w:val="sk-SK" w:eastAsia="sk-SK"/>
        </w:rPr>
        <w:t>Nasir and </w:t>
      </w:r>
      <w:hyperlink r:id="rId107" w:tooltip="Find more records by this author" w:history="1">
        <w:r>
          <w:rPr>
            <w:rFonts w:ascii="Verdana" w:hAnsi="Verdana"/>
            <w:sz w:val="20"/>
            <w:szCs w:val="20"/>
            <w:lang w:val="sk-SK" w:eastAsia="sk-SK"/>
          </w:rPr>
          <w:t>Ali</w:t>
        </w:r>
      </w:hyperlink>
      <w:r>
        <w:rPr>
          <w:rFonts w:ascii="Verdana" w:hAnsi="Verdana"/>
          <w:sz w:val="20"/>
          <w:szCs w:val="20"/>
          <w:lang w:val="sk-SK"/>
        </w:rPr>
        <w:t xml:space="preserve"> and </w:t>
      </w:r>
      <w:r>
        <w:rPr>
          <w:rFonts w:ascii="Verdana" w:hAnsi="Verdana"/>
          <w:sz w:val="20"/>
          <w:szCs w:val="20"/>
          <w:lang w:val="sk-SK" w:eastAsia="sk-SK"/>
        </w:rPr>
        <w:t>Ahmed, 2019)</w:t>
      </w:r>
      <w:r>
        <w:rPr>
          <w:rFonts w:ascii="Verdana" w:hAnsi="Verdana"/>
          <w:sz w:val="20"/>
          <w:szCs w:val="20"/>
          <w:lang w:val="sk-SK"/>
        </w:rPr>
        <w:t>. Niektoré účtovné jednotky majú povinnosť mať účtovnú závierku overenú audítorom. Primárne je táto povinnosť zakotvená v zákone č. 431/2002 Z. z. o účtovníctve v znení neskorších predpisov (ďalej len „zákon o účtovníctve“). Pri vykonaní auditu sa audítor riadi medzinárodnými audítorskými štandardmi, ktoré Rada IAASB v dôsledku globalizácie neustále reviduje a novelizuje. K mnohým zmenám v oblasti audítorských štandardov pristúpila Rada IAASB za účelom podpory skvalitnenia finančného vykazovania aj v takto náročnej situácií. Jedným z takto revidovaných medzinárodných audítorských štandardov je ISA 540, ktorý obsahuje podrobnejšie požiadavky a aplikačný materiál týkajúci sa metód (vrátane modelov), predpokladov a údajov a posudzovania rizikových faktorov, ktoré môžu viesť k rizikám významných nesprávností v účtovnom odhade.</w:t>
      </w:r>
      <w:r>
        <w:rPr>
          <w:lang w:val="sk-SK"/>
        </w:rPr>
        <w:t xml:space="preserve"> </w:t>
      </w:r>
      <w:r>
        <w:rPr>
          <w:rFonts w:ascii="Verdana" w:hAnsi="Verdana"/>
          <w:sz w:val="20"/>
          <w:szCs w:val="20"/>
          <w:lang w:val="sk-SK"/>
        </w:rPr>
        <w:t xml:space="preserve">Rada IAASB vydala publikáciu zameranú na zdôraznenie kľúčových oblastí v súčasnom prostredí pri vykonávaní audítorských postupov týkajúcich sa účtovných odhadov a súvisiacich </w:t>
      </w:r>
      <w:r>
        <w:rPr>
          <w:rFonts w:ascii="Verdana" w:hAnsi="Verdana"/>
          <w:sz w:val="20"/>
          <w:szCs w:val="20"/>
          <w:lang w:val="sk-SK"/>
        </w:rPr>
        <w:lastRenderedPageBreak/>
        <w:t>zverejnení v súlade s medzinárodnými audítorskými štandardmi (ISA). Táto publikácia je založená na požiadavkách a usmerneniach v ISA 540 (Revidované), ktoré sú účinné pre audity finančných výkazov začínajúcich 15. decembra 2019 alebo neskôr.</w:t>
      </w:r>
    </w:p>
    <w:p w:rsidR="005C3F63" w:rsidRDefault="005C3F63">
      <w:pPr>
        <w:spacing w:after="120"/>
        <w:rPr>
          <w:rFonts w:ascii="Verdana" w:hAnsi="Verdana"/>
          <w:sz w:val="20"/>
          <w:szCs w:val="20"/>
          <w:lang w:val="sk-SK"/>
        </w:rPr>
      </w:pPr>
    </w:p>
    <w:p w:rsidR="005C3F63" w:rsidRDefault="006536E7">
      <w:pPr>
        <w:spacing w:after="120"/>
        <w:rPr>
          <w:rFonts w:ascii="Verdana" w:hAnsi="Verdana"/>
          <w:sz w:val="20"/>
          <w:szCs w:val="20"/>
          <w:lang w:val="sk-SK"/>
        </w:rPr>
      </w:pPr>
      <w:r>
        <w:rPr>
          <w:rStyle w:val="KapitolaChar"/>
          <w:lang w:val="sk-SK"/>
        </w:rPr>
        <w:t>2 Metodológia a zdrojové údaje / Methodology and Data</w:t>
      </w:r>
    </w:p>
    <w:p w:rsidR="005C3F63" w:rsidRDefault="006536E7">
      <w:pPr>
        <w:pStyle w:val="Kapitola"/>
        <w:jc w:val="both"/>
        <w:rPr>
          <w:b w:val="0"/>
          <w:bCs w:val="0"/>
          <w:kern w:val="0"/>
          <w:sz w:val="20"/>
          <w:szCs w:val="20"/>
          <w:lang w:val="sk-SK" w:eastAsia="en-US" w:bidi="en-US"/>
        </w:rPr>
      </w:pPr>
      <w:r>
        <w:rPr>
          <w:b w:val="0"/>
          <w:bCs w:val="0"/>
          <w:kern w:val="0"/>
          <w:sz w:val="20"/>
          <w:szCs w:val="20"/>
          <w:lang w:val="sk-SK" w:eastAsia="en-US" w:bidi="en-US"/>
        </w:rPr>
        <w:t xml:space="preserve">Proces globalizácie vytvára priestor na zlepšenie a skvalitnenie správy a riadenia spoločností, pričom konečnú zodpovednosť za riadenie, rozvoj a prosperitu účtovnej jednotky má práve vedenie spoločnosti. Manažment nie vždy plne využije svoj potenciál (Kubaščíková and Pakšiová, 2015) a preto v konečnom dôsledku nemôže objektívne a správne vyhodnotiť operácie účtovnej jednotky. V tejto chvíli sa vykonáva audit, ktorý môže pomôcť efektívne vyriešiť túto situáciu. V dôsledku procesu globalizácie audit neustále prechádza významnými zmenami s cieľom dosiahnuť kvalitu finančného vykazovania a transparentnosť auditu na globálnej úrovni. Z tohto dôvodu sa právne predpisy v oblasti auditu účtovnej závierky  neustále sprísňujú. Významnými zmenami prechádzajú medzinárodné audítorské štandardy predstavujúce možný návod pre audítora pri výkone auditu. Objektom môjho skúmania je medzinárodný audítorsky štandard ISA 540. Hlavným cieľom tohto príspevku je prezentovať revidovaný štandard ISA 540, ktorý sa zaoberá účtovnými odhadmi a súvisiaci skutočnosťami s ich vykázaním v účtovnej závierke, pričom obsahuje aj požiadavky a návod týkajúci sa nesprávností účtovných odhadov a možnej zaujatosti manažmentu so zámerom prezentovať kľúčové oblasti pri vykonaní auditu účtovných odhadov. Pri naplnení hlavného cieľa boli uplatnené metódy vedeckého skúmania ako selekcia, dedukcia, abstrakcia za účelom prezentovania nových skutočností revidovaného ISA 540. Príspevok je spracovaný na základe podkladov v anglickom jazyku, nakoľko ide o novú revíziu ISA 540. </w:t>
      </w:r>
    </w:p>
    <w:p w:rsidR="005C3F63" w:rsidRDefault="006536E7">
      <w:pPr>
        <w:pStyle w:val="Kapitola"/>
        <w:rPr>
          <w:szCs w:val="22"/>
          <w:lang w:val="sk-SK"/>
        </w:rPr>
      </w:pPr>
      <w:r>
        <w:rPr>
          <w:szCs w:val="22"/>
          <w:lang w:val="sk-SK"/>
        </w:rPr>
        <w:t>3 Výsledky a diskusia / Results and Discussion</w:t>
      </w:r>
    </w:p>
    <w:p w:rsidR="005C3F63" w:rsidRDefault="005C3F63">
      <w:pPr>
        <w:pStyle w:val="Kapitola"/>
        <w:rPr>
          <w:szCs w:val="22"/>
          <w:lang w:val="sk-SK"/>
        </w:rPr>
      </w:pPr>
    </w:p>
    <w:p w:rsidR="005C3F63" w:rsidRDefault="006536E7">
      <w:pPr>
        <w:rPr>
          <w:rFonts w:ascii="Verdana" w:hAnsi="Verdana"/>
          <w:b/>
          <w:sz w:val="20"/>
          <w:szCs w:val="20"/>
          <w:lang w:val="sk-SK"/>
        </w:rPr>
      </w:pPr>
      <w:r>
        <w:rPr>
          <w:rFonts w:ascii="Verdana" w:hAnsi="Verdana"/>
          <w:b/>
          <w:sz w:val="20"/>
          <w:szCs w:val="20"/>
          <w:lang w:val="sk-SK"/>
        </w:rPr>
        <w:t>3.1 Účtovné odhady v kontexte medzinárodných audítorských štandardov</w:t>
      </w:r>
    </w:p>
    <w:p w:rsidR="005C3F63" w:rsidRDefault="005C3F63">
      <w:pPr>
        <w:rPr>
          <w:rFonts w:ascii="Verdana" w:hAnsi="Verdana"/>
          <w:sz w:val="20"/>
          <w:szCs w:val="20"/>
          <w:lang w:val="sk-SK"/>
        </w:rPr>
      </w:pPr>
    </w:p>
    <w:p w:rsidR="005C3F63" w:rsidRDefault="006536E7">
      <w:pPr>
        <w:autoSpaceDE w:val="0"/>
        <w:autoSpaceDN w:val="0"/>
        <w:adjustRightInd w:val="0"/>
        <w:rPr>
          <w:rFonts w:ascii="Verdana" w:hAnsi="Verdana"/>
          <w:sz w:val="20"/>
          <w:szCs w:val="20"/>
          <w:lang w:val="sk-SK"/>
        </w:rPr>
      </w:pPr>
      <w:r>
        <w:rPr>
          <w:rFonts w:ascii="Verdana" w:hAnsi="Verdana"/>
          <w:sz w:val="20"/>
          <w:szCs w:val="20"/>
          <w:lang w:val="sk-SK"/>
        </w:rPr>
        <w:t xml:space="preserve">Nie všetky položky prezentované vo finančných výkazoch sa dajú presne oceniť, dajú sa iba odhadnúť. Takéto položky sa nazývajú účtovné odhady, ktoré definuje </w:t>
      </w:r>
      <w:r>
        <w:rPr>
          <w:rFonts w:ascii="Verdana" w:hAnsi="Verdana"/>
          <w:i/>
          <w:sz w:val="20"/>
          <w:szCs w:val="20"/>
          <w:lang w:val="sk-SK"/>
        </w:rPr>
        <w:t xml:space="preserve">ISA 540 Audit účtovných odhadov vrátane účtovných odhadov reálnej hodnoty a súvisiace zverejnenia </w:t>
      </w:r>
      <w:r>
        <w:rPr>
          <w:rFonts w:ascii="Verdana" w:hAnsi="Verdana"/>
          <w:sz w:val="20"/>
          <w:szCs w:val="20"/>
          <w:lang w:val="sk-SK"/>
        </w:rPr>
        <w:t xml:space="preserve">(ďalej len „ISA 540“) ako </w:t>
      </w:r>
      <w:r>
        <w:rPr>
          <w:rFonts w:ascii="Verdana" w:hAnsi="Verdana"/>
          <w:i/>
          <w:sz w:val="20"/>
          <w:szCs w:val="20"/>
          <w:lang w:val="sk-SK"/>
        </w:rPr>
        <w:t>aproximácia peňažnej sumy v prípade, keď chýba presný nástroj na ocenenie.</w:t>
      </w:r>
      <w:r>
        <w:rPr>
          <w:rFonts w:ascii="Verdana" w:hAnsi="Verdana"/>
          <w:sz w:val="20"/>
          <w:szCs w:val="20"/>
          <w:lang w:val="sk-SK"/>
        </w:rPr>
        <w:t xml:space="preserve"> Za vykazovanie a oceňovanie účtovných odhadov a súvisiacich zverejnení v súlade s platným rámcom finančného vykazovania je zodpovedný manažment. Rámce finančného vykazovania často vyžadujú výhľadové informácie ako základ pre vykazovanie a oceňovanie alebo zverejňovanie v účtovnej závierke. Z tohto dôvodu sú účtovné odhady pre mnoho účtovných jednotiek zásadnou súčasťou účtovnej závierky. Vzhľadom na neistoty súvisiace s pandémiou COVID-19 bude pre vedenie pravdepodobne ťažšie určiť predpoklady a získať údaje použité na vypracovanie účtovných odhadov. Zodpovednosťou audítora je vykonať postupy na overenie účtovných odhadov vrátane súvisiacich zverejnení v súlade s ISA 540. Predmetné postupy vykonáva audítor s uplatnením profesionálneho skepticizmu a odborného úsudku ako základu pre formulovanie záverov audítora. V tejto súvislosti má audítor vykonať postupy na </w:t>
      </w:r>
      <w:r>
        <w:rPr>
          <w:rFonts w:ascii="Verdana" w:hAnsi="Verdana"/>
          <w:i/>
          <w:sz w:val="20"/>
          <w:szCs w:val="20"/>
          <w:lang w:val="sk-SK"/>
        </w:rPr>
        <w:t>posudzovanie rizika; identifikovať a vyhodnotiť riziká významných nesprávností; reagovať na vyhodnotené riziká významných nesprávností; zvážiť dôsledky pre správu audítora; a preskúmať zaujatosť vedenia a možný podvod.</w:t>
      </w:r>
      <w:r>
        <w:rPr>
          <w:rFonts w:ascii="Verdana" w:hAnsi="Verdana"/>
          <w:sz w:val="20"/>
          <w:szCs w:val="20"/>
          <w:lang w:val="sk-SK"/>
        </w:rPr>
        <w:t xml:space="preserve"> Audítor musí získať dostatočné a vhodné audítorské dôkazy o primeranosti účtovných odhadov vykázaných v účtovnej závierke, adekvátnosti súvisiacich zverejnení v účtovnej závierke z hľadiska platného rámca finančného vykazovania (IAASB, 2020).</w:t>
      </w:r>
    </w:p>
    <w:p w:rsidR="005C3F63" w:rsidRDefault="005C3F63">
      <w:pPr>
        <w:rPr>
          <w:rFonts w:ascii="Verdana" w:hAnsi="Verdana"/>
          <w:sz w:val="20"/>
          <w:szCs w:val="20"/>
          <w:lang w:val="sk-SK"/>
        </w:rPr>
      </w:pPr>
    </w:p>
    <w:p w:rsidR="005C3F63" w:rsidRDefault="005C3F63">
      <w:pPr>
        <w:rPr>
          <w:rFonts w:ascii="Verdana" w:hAnsi="Verdana"/>
          <w:sz w:val="20"/>
          <w:szCs w:val="20"/>
          <w:lang w:val="sk-SK"/>
        </w:rPr>
      </w:pPr>
    </w:p>
    <w:p w:rsidR="005C3F63" w:rsidRDefault="005C3F63">
      <w:pPr>
        <w:rPr>
          <w:rFonts w:ascii="Verdana" w:hAnsi="Verdana"/>
          <w:sz w:val="20"/>
          <w:szCs w:val="20"/>
          <w:lang w:val="sk-SK"/>
        </w:rPr>
      </w:pPr>
    </w:p>
    <w:p w:rsidR="005C3F63" w:rsidRDefault="006536E7">
      <w:pPr>
        <w:rPr>
          <w:rFonts w:ascii="Verdana" w:hAnsi="Verdana"/>
          <w:b/>
          <w:sz w:val="20"/>
          <w:szCs w:val="20"/>
          <w:lang w:val="sk-SK"/>
        </w:rPr>
      </w:pPr>
      <w:r>
        <w:rPr>
          <w:rFonts w:ascii="Verdana" w:hAnsi="Verdana"/>
          <w:b/>
          <w:sz w:val="20"/>
          <w:szCs w:val="20"/>
          <w:lang w:val="sk-SK"/>
        </w:rPr>
        <w:lastRenderedPageBreak/>
        <w:t>3.2 Postupy hodnotenia rizika a súvisiace činnosti</w:t>
      </w:r>
    </w:p>
    <w:p w:rsidR="005C3F63" w:rsidRDefault="005C3F63">
      <w:pPr>
        <w:rPr>
          <w:rFonts w:ascii="Verdana" w:hAnsi="Verdana"/>
          <w:sz w:val="20"/>
          <w:szCs w:val="20"/>
          <w:lang w:val="sk-SK"/>
        </w:rPr>
      </w:pPr>
    </w:p>
    <w:p w:rsidR="005C3F63" w:rsidRDefault="006536E7">
      <w:pPr>
        <w:autoSpaceDE w:val="0"/>
        <w:autoSpaceDN w:val="0"/>
        <w:adjustRightInd w:val="0"/>
        <w:rPr>
          <w:rFonts w:ascii="Verdana" w:hAnsi="Verdana"/>
          <w:sz w:val="20"/>
          <w:szCs w:val="20"/>
          <w:lang w:val="sk-SK"/>
        </w:rPr>
      </w:pPr>
      <w:r>
        <w:rPr>
          <w:rFonts w:ascii="Verdana" w:hAnsi="Verdana"/>
          <w:sz w:val="20"/>
          <w:szCs w:val="20"/>
          <w:lang w:val="sk-SK"/>
        </w:rPr>
        <w:t xml:space="preserve">Postupy používané na posúdenie rizika a súvisiace činnosti pomáhajú audítorovi získať predstavu o charaktere a type účtovných odhadov, ktoré sa v účtovnej závierke môžu vyskytovať. Na základe získaných poznatkov audítor posúdi riziká významných nesprávností a naplánuje charakter a rozsah ďalších audítorských postupov. Pri identifikácii a posudzovaní rizík významných nesprávností uplatňuje audítor medzinárodný audítorský štandard </w:t>
      </w:r>
      <w:r>
        <w:rPr>
          <w:rFonts w:ascii="Verdana" w:hAnsi="Verdana"/>
          <w:i/>
          <w:sz w:val="20"/>
          <w:szCs w:val="20"/>
          <w:lang w:val="sk-SK"/>
        </w:rPr>
        <w:t>ISA 315 Identifikácia a posúdenie rizika významnej nesprávnosti poznaním účtovnej jednotky a jej prostredia</w:t>
      </w:r>
      <w:r>
        <w:rPr>
          <w:rFonts w:ascii="Verdana" w:hAnsi="Verdana"/>
          <w:sz w:val="20"/>
          <w:szCs w:val="20"/>
          <w:lang w:val="sk-SK"/>
        </w:rPr>
        <w:t>, v kontexte ktorého audítor vyhodnotí stupeň neistoty súvisiacej s účtovným odhadom. Audítor uplatnením odborného úsudku rozhodne, či niektorý z účtovných odhadov, identifikovaných ako odhad s vysokou neistotou pri odhadovaní, nevedie k významným rizikám. Pri posudzovaní rizika a súvisiacich činností v súvislosti s účtovnými odhadmi by sa mal audítor oboznámiť s požiadavkami platného rámca finančného vykazovania, ktorý sa môže v dôsledku pandémie dočasne meniť a týmto zmenám vrátane ich vplyvu bude nutné porozumieť. Napríklad Európska centrálna banka dočasne zmiernila kapitálové požiadavky, aby banky mohli pomôcť trhom správne fungovať počas vypuknutia krízy COVID-19. Rámce finančného vykazovania poskytujú manažmentu usmernenie pri stanovení bodových odhadov v prípade, keď existujú viaceré alternatívy. Niektoré rámce finančného vykazovania vyžadujú zvoliť alternatívu, ktorá predstavuje najpravdepodobnejší výsledok. Rámce finančného vykazovania môžu požadovať zverejnenie informácií o významných predpokladoch, na ktoré je účtovných odhad citlivý. Audítor sa musí oboznámiť aj s metódami použitými pri tvorbe účtovných odhadov. V niektorých prípadoch môže platný rámec finančného vykazovania nariaďovať metódu oceňovania účtovného odhadu, napr. konkrétny model oceňovania, ktorý treba uplatniť pri oceňovaní odhadu reálnej hodnoty. V súčasnom prostredí je pravdepodobné, že audítori pravdepodobne budú musieť zvážiť, či manažment posúdil pokračujúce používanie predchádzajúcich metód, predpokladov a údajov, a ak nie, či použité metódy, predpoklady a údaje zostávajú primerané. Osobitú úlohu zohrávajú aj relevantné kontroly súvisiace so spôsobom, akým manažment rozhoduje o údajoch použitých pri tvorbe účtovných odhadov, s preverením a schválením účtovných odhadov vrátane vstupných údajov použitých na ich vypracovanie. Aj keď sa účtovné jednotky môžu prispôsobovať súčasnému prostrediu rôznymi spôsobmi, od audítora sa stále vyžaduje, aby získal dostatočné informácie o vnútornej kontrole relevantnej pre audit. Audítor vykonáva kontrolné činnosti účtovných odhadov v snahe zistiť, či napríklad boli vykonané zmeny v kontrolách týkajúcich sa kontroly a schvaľovania účtovných odhadov. Ak manažment navrhol nové kontroly alebo sa kontroly zmenili, ktoré sú relevantné pre audit, audítor je povinný vyhodnotiť ich návrh a určiť, či boli zavedené (IAASB, 2020).</w:t>
      </w:r>
    </w:p>
    <w:p w:rsidR="005C3F63" w:rsidRDefault="005C3F63">
      <w:pPr>
        <w:rPr>
          <w:rFonts w:ascii="Verdana" w:hAnsi="Verdana"/>
          <w:sz w:val="20"/>
          <w:szCs w:val="20"/>
          <w:lang w:val="sk-SK"/>
        </w:rPr>
      </w:pPr>
    </w:p>
    <w:p w:rsidR="005C3F63" w:rsidRDefault="006536E7">
      <w:pPr>
        <w:rPr>
          <w:rFonts w:ascii="Verdana" w:hAnsi="Verdana"/>
          <w:b/>
          <w:sz w:val="20"/>
          <w:szCs w:val="20"/>
          <w:lang w:val="sk-SK"/>
        </w:rPr>
      </w:pPr>
      <w:r>
        <w:rPr>
          <w:rFonts w:ascii="Verdana" w:hAnsi="Verdana"/>
          <w:b/>
          <w:sz w:val="20"/>
          <w:szCs w:val="20"/>
          <w:lang w:val="sk-SK"/>
        </w:rPr>
        <w:t>3.3 Identifikácia a hodnotenie rizík významných nesprávností</w:t>
      </w:r>
    </w:p>
    <w:p w:rsidR="005C3F63" w:rsidRDefault="005C3F63">
      <w:pPr>
        <w:rPr>
          <w:rFonts w:ascii="Verdana" w:hAnsi="Verdana"/>
          <w:b/>
          <w:sz w:val="20"/>
          <w:szCs w:val="20"/>
          <w:lang w:val="sk-SK"/>
        </w:rPr>
      </w:pPr>
    </w:p>
    <w:p w:rsidR="005C3F63" w:rsidRDefault="006536E7">
      <w:pPr>
        <w:rPr>
          <w:rFonts w:ascii="Verdana" w:hAnsi="Verdana"/>
          <w:sz w:val="20"/>
          <w:szCs w:val="20"/>
          <w:lang w:val="sk-SK"/>
        </w:rPr>
      </w:pPr>
      <w:r>
        <w:rPr>
          <w:rFonts w:ascii="Verdana" w:hAnsi="Verdana"/>
          <w:sz w:val="20"/>
          <w:szCs w:val="20"/>
          <w:lang w:val="sk-SK"/>
        </w:rPr>
        <w:t xml:space="preserve">Účtovné odhady sú spojené s istou mierou neistoty a rizika. Práve revidovaný ISA 540, v odseku 16 - 17 (IAASB, 2020) opisuje identifikáciu a hodnotenie rizík významných nesprávností týkajúcich sa účtovných odhadov, pričom odkazujú na ISA 315 , ktorý sa má uplatňovať vo vzťahu k účtovným odhadom, a v značnej miere ho rozširujú. V závislosti od povahy účtovného odhadu je pravdepodobné, že miera neistoty vo výsledkoch udalostí alebo podmienok, na ktorých sú založené významné predpoklady, a nedostatok dostupných pozorovateľných údajov, ovplyvní prácu audítora v súvislosti s účtovnými odhadmi. Revidovaný ISA 540 obsahuje základné inherentné rizikové faktory, ktoré pomáhajú audítorovi pri identifikácii a hodnotení rizík významných nesprávností. Rizikovými faktormi sú </w:t>
      </w:r>
      <w:r>
        <w:rPr>
          <w:rFonts w:ascii="Verdana" w:hAnsi="Verdana"/>
          <w:i/>
          <w:sz w:val="20"/>
          <w:szCs w:val="20"/>
          <w:lang w:val="sk-SK"/>
        </w:rPr>
        <w:t>neistota odhadu, zložitosť a subjektivita</w:t>
      </w:r>
      <w:r>
        <w:rPr>
          <w:rFonts w:ascii="Verdana" w:hAnsi="Verdana"/>
          <w:sz w:val="20"/>
          <w:szCs w:val="20"/>
          <w:lang w:val="sk-SK"/>
        </w:rPr>
        <w:t xml:space="preserve"> (IAASB, 2020). Uvedené rizikové faktory môžu jednotlivo alebo v kombinácii ovplyvniť účtovné odhady vo väčšej alebo menšej miere a môžu pomôcť audítorovi posúdiť inherentné riziko. Relevantnosť a významnosť rizikových faktorov sa môže v jednotlivých odhadoch líšiť. V súčasnom prostredí sa účinok rizikových faktorov môže zosilniť a môže viesť k tomu, že identifikované riziká sa vyhodnotia vyššie alebo na hornom konci spektra inherentného </w:t>
      </w:r>
      <w:r>
        <w:rPr>
          <w:rFonts w:ascii="Verdana" w:hAnsi="Verdana"/>
          <w:sz w:val="20"/>
          <w:szCs w:val="20"/>
          <w:lang w:val="sk-SK"/>
        </w:rPr>
        <w:lastRenderedPageBreak/>
        <w:t xml:space="preserve">rizika, čo zase ovplyvní presvedčivosť audítorských dôkazov potrebných na reagovanie na posudzované riziká. </w:t>
      </w:r>
    </w:p>
    <w:p w:rsidR="005C3F63" w:rsidRDefault="005C3F63">
      <w:pPr>
        <w:rPr>
          <w:rFonts w:ascii="Verdana" w:hAnsi="Verdana"/>
          <w:sz w:val="20"/>
          <w:szCs w:val="20"/>
          <w:lang w:val="sk-SK"/>
        </w:rPr>
      </w:pPr>
    </w:p>
    <w:p w:rsidR="005C3F63" w:rsidRDefault="006536E7">
      <w:pPr>
        <w:spacing w:after="120"/>
        <w:rPr>
          <w:rFonts w:ascii="Verdana" w:hAnsi="Verdana"/>
          <w:b/>
          <w:sz w:val="20"/>
          <w:szCs w:val="20"/>
          <w:lang w:val="sk-SK"/>
        </w:rPr>
      </w:pPr>
      <w:r>
        <w:rPr>
          <w:rFonts w:ascii="Verdana" w:hAnsi="Verdana"/>
          <w:b/>
          <w:sz w:val="20"/>
          <w:szCs w:val="20"/>
          <w:lang w:val="sk-SK"/>
        </w:rPr>
        <w:t>3.4 Reakcie na vyhodnotené riziká významných nesprávností</w:t>
      </w:r>
    </w:p>
    <w:p w:rsidR="005C3F63" w:rsidRDefault="006536E7">
      <w:pPr>
        <w:spacing w:before="120" w:after="120"/>
        <w:rPr>
          <w:rFonts w:ascii="Verdana" w:hAnsi="Verdana"/>
          <w:sz w:val="20"/>
          <w:szCs w:val="20"/>
          <w:lang w:val="sk-SK"/>
        </w:rPr>
      </w:pPr>
      <w:r>
        <w:rPr>
          <w:rFonts w:ascii="Verdana" w:hAnsi="Verdana"/>
          <w:sz w:val="20"/>
          <w:szCs w:val="20"/>
          <w:lang w:val="sk-SK"/>
        </w:rPr>
        <w:t>Revidovaný ISA 540 v odsekoch  18 – 30 (IAASB, 2020) popisuje reakcie audítora na vyhodnotené riziká významných nesprávností v účtovných odhadoch s odvolaním na uplatnenie ISA 330 Reakcie audítora na posúdené riziká (ďalej len ISA 330“). Audítor má v zmysle ISA 330 vypracovať a vykonať audítorské postupy, ktorých charakter, načasovanie a rozsah reagujú na posúdené riziká významných nesprávností v súvislosti s účtovnými odhadmi na úrovni účtovnej závierky aj úrovní tvrdení. Pri reakcii na posúdené riziká významných nesprávností, audítor (IAASB, 2020):</w:t>
      </w:r>
    </w:p>
    <w:p w:rsidR="005C3F63" w:rsidRDefault="006536E7">
      <w:pPr>
        <w:rPr>
          <w:rFonts w:ascii="Verdana" w:hAnsi="Verdana"/>
          <w:sz w:val="20"/>
          <w:szCs w:val="20"/>
          <w:lang w:val="sk-SK"/>
        </w:rPr>
      </w:pPr>
      <w:r>
        <w:rPr>
          <w:rFonts w:ascii="Verdana" w:hAnsi="Verdana"/>
          <w:sz w:val="20"/>
          <w:szCs w:val="20"/>
          <w:lang w:val="sk-SK"/>
        </w:rPr>
        <w:t>• získava audítorské dôkazy z udalostí, ktoré nastali do dátumu správy audítora;</w:t>
      </w:r>
    </w:p>
    <w:p w:rsidR="005C3F63" w:rsidRDefault="006536E7">
      <w:pPr>
        <w:rPr>
          <w:rFonts w:ascii="Verdana" w:hAnsi="Verdana"/>
          <w:sz w:val="20"/>
          <w:szCs w:val="20"/>
          <w:lang w:val="sk-SK"/>
        </w:rPr>
      </w:pPr>
      <w:r>
        <w:rPr>
          <w:rFonts w:ascii="Verdana" w:hAnsi="Verdana"/>
          <w:sz w:val="20"/>
          <w:szCs w:val="20"/>
          <w:lang w:val="sk-SK"/>
        </w:rPr>
        <w:t>• testuje spôsob, akým vedenie urobilo účtovný odhad; alebo</w:t>
      </w:r>
    </w:p>
    <w:p w:rsidR="005C3F63" w:rsidRDefault="006536E7">
      <w:pPr>
        <w:rPr>
          <w:rFonts w:ascii="Verdana" w:hAnsi="Verdana"/>
          <w:sz w:val="20"/>
          <w:szCs w:val="20"/>
          <w:lang w:val="sk-SK"/>
        </w:rPr>
      </w:pPr>
      <w:r>
        <w:rPr>
          <w:rFonts w:ascii="Verdana" w:hAnsi="Verdana"/>
          <w:sz w:val="20"/>
          <w:szCs w:val="20"/>
          <w:lang w:val="sk-SK"/>
        </w:rPr>
        <w:t>• vypracuje odhad alebo interval možných odhadov, ktoré môžu byť vhodnou reakciou, ak:</w:t>
      </w:r>
    </w:p>
    <w:p w:rsidR="005C3F63" w:rsidRDefault="006536E7">
      <w:pPr>
        <w:numPr>
          <w:ilvl w:val="0"/>
          <w:numId w:val="16"/>
        </w:numPr>
        <w:ind w:left="714" w:hanging="357"/>
        <w:rPr>
          <w:rFonts w:ascii="Verdana" w:hAnsi="Verdana"/>
          <w:sz w:val="20"/>
          <w:szCs w:val="20"/>
          <w:lang w:val="sk-SK"/>
        </w:rPr>
      </w:pPr>
      <w:r>
        <w:rPr>
          <w:rFonts w:ascii="Verdana" w:hAnsi="Verdana"/>
          <w:sz w:val="20"/>
          <w:szCs w:val="20"/>
          <w:lang w:val="sk-SK"/>
        </w:rPr>
        <w:t xml:space="preserve">účtovný odhad nevychádza z rutinne spracovaných údajov účtovným systémom, </w:t>
      </w:r>
    </w:p>
    <w:p w:rsidR="005C3F63" w:rsidRDefault="006536E7">
      <w:pPr>
        <w:numPr>
          <w:ilvl w:val="0"/>
          <w:numId w:val="16"/>
        </w:numPr>
        <w:ind w:left="714" w:hanging="357"/>
        <w:rPr>
          <w:rFonts w:ascii="Verdana" w:hAnsi="Verdana"/>
          <w:sz w:val="20"/>
          <w:szCs w:val="20"/>
          <w:lang w:val="sk-SK"/>
        </w:rPr>
      </w:pPr>
      <w:r>
        <w:rPr>
          <w:rFonts w:ascii="Verdana" w:hAnsi="Verdana"/>
          <w:sz w:val="20"/>
          <w:szCs w:val="20"/>
          <w:lang w:val="sk-SK"/>
        </w:rPr>
        <w:t>preverenie účtovných odhadov vo finančných výkazoch za predchádzajúce obdobie naznačuje, že proces manažmentu v bežnom období nie je účinný,</w:t>
      </w:r>
    </w:p>
    <w:p w:rsidR="005C3F63" w:rsidRDefault="006536E7">
      <w:pPr>
        <w:numPr>
          <w:ilvl w:val="0"/>
          <w:numId w:val="16"/>
        </w:numPr>
        <w:ind w:left="714" w:hanging="357"/>
        <w:rPr>
          <w:rFonts w:ascii="Verdana" w:hAnsi="Verdana"/>
          <w:sz w:val="20"/>
          <w:szCs w:val="20"/>
          <w:lang w:val="sk-SK"/>
        </w:rPr>
      </w:pPr>
      <w:r>
        <w:rPr>
          <w:rFonts w:ascii="Verdana" w:hAnsi="Verdana"/>
          <w:sz w:val="20"/>
          <w:szCs w:val="20"/>
          <w:lang w:val="sk-SK"/>
        </w:rPr>
        <w:t xml:space="preserve">kontroly na tvorbu účtovných odhadov nie sú dostatočne vypracované a správne realizované, </w:t>
      </w:r>
    </w:p>
    <w:p w:rsidR="005C3F63" w:rsidRDefault="006536E7">
      <w:pPr>
        <w:numPr>
          <w:ilvl w:val="0"/>
          <w:numId w:val="16"/>
        </w:numPr>
        <w:ind w:left="714" w:hanging="357"/>
        <w:rPr>
          <w:rFonts w:ascii="Verdana" w:hAnsi="Verdana"/>
          <w:sz w:val="20"/>
          <w:szCs w:val="20"/>
          <w:lang w:val="sk-SK"/>
        </w:rPr>
      </w:pPr>
      <w:r>
        <w:rPr>
          <w:rFonts w:ascii="Verdana" w:hAnsi="Verdana"/>
          <w:sz w:val="20"/>
          <w:szCs w:val="20"/>
          <w:lang w:val="sk-SK"/>
        </w:rPr>
        <w:t xml:space="preserve">audítor má k dispozícii alternatívne zdroje relevantných informácií nevyhnutných na tvorbu účtovných odhadov. </w:t>
      </w:r>
    </w:p>
    <w:p w:rsidR="005C3F63" w:rsidRDefault="006536E7">
      <w:pPr>
        <w:rPr>
          <w:rFonts w:ascii="Verdana" w:hAnsi="Verdana"/>
          <w:sz w:val="20"/>
          <w:szCs w:val="20"/>
          <w:lang w:val="sk-SK"/>
        </w:rPr>
      </w:pPr>
      <w:r>
        <w:rPr>
          <w:rFonts w:ascii="Verdana" w:hAnsi="Verdana"/>
          <w:sz w:val="20"/>
          <w:szCs w:val="20"/>
          <w:lang w:val="sk-SK"/>
        </w:rPr>
        <w:t xml:space="preserve">Ak audítor usúdi, že manažment nevyriešil primerane vplyv neistoty pri odhadovaní na účtovné odhady vedúce k vzniku významného rizika, vypracuje interval na základe ktorého vyhodnotí primeranosť účtovného odhadu.  Pre manažment môže byť vzhľadom na aktuálnu situáciu náročnejšie pochopiť a riešiť neistotu odhadu výberom vhodného bodového odhadu a vypracovaním súvisiacich zverejnení. Môže to tiež viesť k problémom pre audítorov, pretože ISA 540 (revidovaný) vyžaduje, aby ďalšie audítorské postupy riešili, či v súvislosti s platným rámcom finančného vykazovania manažment podnikol príslušné kroky na pochopenie a riešenie neistoty pri odhadovaní. </w:t>
      </w:r>
    </w:p>
    <w:p w:rsidR="005C3F63" w:rsidRDefault="005C3F63">
      <w:pPr>
        <w:rPr>
          <w:rFonts w:ascii="Verdana" w:hAnsi="Verdana"/>
          <w:sz w:val="20"/>
          <w:szCs w:val="20"/>
          <w:lang w:val="sk-SK"/>
        </w:rPr>
      </w:pPr>
    </w:p>
    <w:p w:rsidR="005C3F63" w:rsidRDefault="006536E7">
      <w:pPr>
        <w:spacing w:after="120"/>
        <w:rPr>
          <w:rFonts w:ascii="Verdana" w:hAnsi="Verdana"/>
          <w:b/>
          <w:sz w:val="20"/>
          <w:szCs w:val="20"/>
          <w:lang w:val="sk-SK"/>
        </w:rPr>
      </w:pPr>
      <w:r>
        <w:rPr>
          <w:rFonts w:ascii="Verdana" w:hAnsi="Verdana"/>
          <w:b/>
          <w:sz w:val="20"/>
          <w:szCs w:val="20"/>
          <w:lang w:val="sk-SK"/>
        </w:rPr>
        <w:t>3.4 Zverejnenia týkajúce sa účtovných odhadov</w:t>
      </w:r>
    </w:p>
    <w:p w:rsidR="005C3F63" w:rsidRDefault="006536E7">
      <w:pPr>
        <w:spacing w:before="120" w:after="120"/>
        <w:rPr>
          <w:rFonts w:ascii="Verdana" w:hAnsi="Verdana"/>
          <w:sz w:val="20"/>
          <w:szCs w:val="20"/>
          <w:lang w:val="sk-SK"/>
        </w:rPr>
      </w:pPr>
      <w:r>
        <w:rPr>
          <w:rFonts w:ascii="Verdana" w:hAnsi="Verdana"/>
          <w:sz w:val="20"/>
          <w:szCs w:val="20"/>
          <w:lang w:val="sk-SK"/>
        </w:rPr>
        <w:t xml:space="preserve">Audítor získa dostatočné a vhodné dôkazy o tom, či zverejnenia týkajúce sa účtovných odhadov vykázaných v účtovnej závierke sú v súlade s platným rámcom finančného vykazovania. Dôležitosť podrobných informácií o účtovných odhadoch v súčasnom prostredí nemožno dostatočne zdôrazniť. Zverejnenia pomôžu používateľom účtovnej závierky pochopiť povahu a rozsah volatility a odhadov neistoty v príslušných sumách.  Ak je rozsah audítorského rozsahu násobkom významnosti, audítorské hodnotenie primeranosti zverejnení o nejasnosti odhadu sa stáva čoraz dôležitejšie, najmä či takéto zverejnenia primerane vyjadrujú vysoký stupeň neistoty pri odhadovaní a rozsah možných výsledkov. Revidovaný ISA 540 (IAASB, 2020) zdôrazňuje, že za určitých okolností môžu byť potrebné ďalšie zverejnenia nad rámec tých, ktoré sa výslovne vyžadujú v rámci finančného vykazovania, aby sa dosiahla spravodlivá prezentácia. </w:t>
      </w:r>
    </w:p>
    <w:p w:rsidR="005C3F63" w:rsidRDefault="006536E7">
      <w:pPr>
        <w:spacing w:before="120" w:after="120"/>
        <w:rPr>
          <w:rFonts w:ascii="Verdana" w:hAnsi="Verdana"/>
          <w:b/>
          <w:sz w:val="20"/>
          <w:szCs w:val="20"/>
          <w:lang w:val="sk-SK"/>
        </w:rPr>
      </w:pPr>
      <w:r>
        <w:rPr>
          <w:rFonts w:ascii="Verdana" w:hAnsi="Verdana"/>
          <w:b/>
          <w:sz w:val="20"/>
          <w:szCs w:val="20"/>
          <w:lang w:val="sk-SK"/>
        </w:rPr>
        <w:t>3.5 Ukazovatele zaujatosti vedenia</w:t>
      </w:r>
    </w:p>
    <w:p w:rsidR="005C3F63" w:rsidRDefault="006536E7">
      <w:pPr>
        <w:spacing w:before="120" w:after="120"/>
        <w:rPr>
          <w:rFonts w:ascii="Verdana" w:hAnsi="Verdana"/>
          <w:sz w:val="20"/>
          <w:szCs w:val="20"/>
          <w:lang w:val="sk-SK"/>
        </w:rPr>
      </w:pPr>
      <w:r>
        <w:rPr>
          <w:rFonts w:ascii="Verdana" w:hAnsi="Verdana"/>
          <w:sz w:val="20"/>
          <w:szCs w:val="20"/>
          <w:lang w:val="sk-SK"/>
        </w:rPr>
        <w:t xml:space="preserve">Audítor preverí úsudky a rozhodnutia, ku ktorým dospel manažment pri tvorbe účtovných odhadov, aby zistil, či existujú  indikátory možnej zaujatosti manažmentu. Indikátory možnej zaujatosti manažmentu nepredstavujú nesprávnosť na účely záverov audítora týkajúcich sa primeranosti jednotlivých účtovných odhadov. Vzhľadom na pandémiu COVID-19 môže byť miera, v ktorej sú účtovné odhady ovplyvnené subjektívnosťou, vyššia, pretože existuje napríklad neistota o období pandémie a povahe a rozsahu dopadu pandémie. Preto môže byť hodnotenie potenciálnych ukazovateľov zaujatosti vedenia audítorom kritickejšie ako pred pandémiou. Pri hodnotení potenciálnych ukazovateľov zaujatosti vedenia môže audítor zvážiť, že zaujatosť vedenia sa môže líšiť od obdobia pred pandémiou. Napríklad predtým, ako mohla byť pandémia neúmyselne zaujatá, aby sa dosiahol požadovaný cieľ zisku. V súčasnom prostredí sa to mohlo </w:t>
      </w:r>
      <w:r>
        <w:rPr>
          <w:rFonts w:ascii="Verdana" w:hAnsi="Verdana"/>
          <w:sz w:val="20"/>
          <w:szCs w:val="20"/>
          <w:lang w:val="sk-SK"/>
        </w:rPr>
        <w:lastRenderedPageBreak/>
        <w:t>zmeniť, pretože napríklad riadenie môže byť neobjektívne (neúmyselne alebo úmyselne) potrebou kvalifikácie pre balíčky štátnej podpory (IAASB, 2020).</w:t>
      </w:r>
    </w:p>
    <w:p w:rsidR="005C3F63" w:rsidRDefault="006536E7">
      <w:pPr>
        <w:spacing w:after="120"/>
        <w:rPr>
          <w:rFonts w:ascii="Verdana" w:hAnsi="Verdana"/>
          <w:sz w:val="20"/>
          <w:szCs w:val="20"/>
          <w:lang w:val="sk-SK"/>
        </w:rPr>
      </w:pPr>
      <w:r>
        <w:rPr>
          <w:rFonts w:ascii="Verdana" w:hAnsi="Verdana"/>
          <w:sz w:val="20"/>
          <w:szCs w:val="20"/>
          <w:lang w:val="sk-SK"/>
        </w:rPr>
        <w:t>Indikátory možnej zaujatosti vedenia môžu byť tiež faktorom rizika podvodu a môžu spôsobiť, že audítor vykoná rôzne a spoľahlivejšie audítorské postupy. Podvodné finančné vykazovanie sa často dosahuje zámerným nesprávnym uvedením účtovných odhadov, čo môže zahŕňať úmyselné podhodnotenie alebo nadhodnotenie týchto odhadov alebo súvisiace predpoklady. Napríklad vedenie môže nadhodnotiť budúce peňažné toky, aby sa zabránilo znehodnoteniu aktív účtovnej jednotky. V súčasnom prostredí je pravdepodobné, že audítori sa budú musieť zamerať na výpočty zníženia hodnoty účtovnej jednotky, najmä na vstupy do týchto výpočtov, z dôvodu zvýšenej subjektivity spojenej s týmito vstupmi. Riziko významnej nesprávnosti v dôsledku podvodu môže byť tiež vyššie, pretože kontroly účtovnej jednotky nefungujú efektívne, napríklad preto, že zamestnanci môžu pracovať na diaľku a systém vnútornej kontroly nebol primerane prispôsobený zmenenému pracovnému prostrediu. Ak existuje zvýšené riziko významných nesprávností v dôsledku podvodu, audítor bude musieť zvážiť, či sú potrebné zmeny a možno bude potrebné vykonať rôzne a spoľahlivejšie audítorské postupy(IAASB, 2020).</w:t>
      </w:r>
    </w:p>
    <w:p w:rsidR="005C3F63" w:rsidRDefault="006536E7">
      <w:pPr>
        <w:pStyle w:val="Kapitola"/>
        <w:rPr>
          <w:lang w:val="sk-SK"/>
        </w:rPr>
      </w:pPr>
      <w:r>
        <w:rPr>
          <w:lang w:val="sk-SK"/>
        </w:rPr>
        <w:t>Záver / Conclusions</w:t>
      </w:r>
    </w:p>
    <w:p w:rsidR="005C3F63" w:rsidRDefault="006536E7">
      <w:pPr>
        <w:rPr>
          <w:rFonts w:ascii="Verdana" w:hAnsi="Verdana"/>
          <w:sz w:val="20"/>
          <w:szCs w:val="20"/>
          <w:lang w:val="sk-SK"/>
        </w:rPr>
      </w:pPr>
      <w:r>
        <w:rPr>
          <w:rFonts w:ascii="Verdana" w:hAnsi="Verdana"/>
          <w:sz w:val="20"/>
          <w:szCs w:val="20"/>
          <w:lang w:val="sk-SK"/>
        </w:rPr>
        <w:t xml:space="preserve">Objektom skúmania predkladaného článku bol medzinárodný audítorský štandard ISA 540, ktorý prešiel procesom revízie. Dôvodom procesu revízie bola snaha Rady IAASB vypracovať publikáciu zameranú na zdôraznenie kľúčových oblastí pri vykonávaní audítorských postupov týkajúcich sa účtovných odhadov a súvisiacich zverejnení v súlade s medzinárodnými audítorskými štandardmi v čase pandémie COVID-19. Predmetná publikácia môže byť užitočná pri porozumení zodpovednosti audítora v súvislosti s auditom účtovných odhadov a súvisiacich zverejnení. Pandémia COVID-19 v globálnom meradle vplýva na ekonomiky, trhy a podniky, čo spôsobuje značnú volatilitu a značnú neistotu. Za takýchto nepredvídateľných okolností sa audítori budú musieť pri audite účtovných odhadov zamerať na potenciálne vplyvy tejto nestability a neistoty. </w:t>
      </w:r>
      <w:bookmarkStart w:id="307" w:name="_Hlk47606879"/>
      <w:r>
        <w:rPr>
          <w:rFonts w:ascii="Verdana" w:hAnsi="Verdana"/>
          <w:sz w:val="20"/>
          <w:szCs w:val="20"/>
          <w:lang w:val="sk-SK"/>
        </w:rPr>
        <w:t>Revidovaný ISA 540 obsahuje podrobnejšie požiadavky a aplikačný materiál týkajúci sa metód, predpokladov a údajov a posudzovania inherentných rizikových faktorov, ktoré môžu viesť k rizikám významných nesprávností v účtovnom odhade.</w:t>
      </w:r>
    </w:p>
    <w:bookmarkEnd w:id="307"/>
    <w:p w:rsidR="005C3F63" w:rsidRDefault="006536E7">
      <w:pPr>
        <w:pStyle w:val="Kapitola"/>
        <w:rPr>
          <w:lang w:val="sk-SK"/>
        </w:rPr>
      </w:pPr>
      <w:r>
        <w:rPr>
          <w:lang w:val="sk-SK"/>
        </w:rPr>
        <w:t>Literárne zdroje a iné odkazy / References</w:t>
      </w:r>
    </w:p>
    <w:p w:rsidR="005C3F63" w:rsidRDefault="00085067">
      <w:pPr>
        <w:pStyle w:val="Default"/>
        <w:shd w:val="clear" w:color="auto" w:fill="FFFFFF"/>
        <w:ind w:left="66"/>
        <w:jc w:val="both"/>
        <w:rPr>
          <w:rFonts w:ascii="Verdana" w:hAnsi="Verdana"/>
          <w:color w:val="auto"/>
          <w:sz w:val="20"/>
          <w:szCs w:val="20"/>
        </w:rPr>
      </w:pPr>
      <w:hyperlink r:id="rId108" w:tooltip="Find more records by this author" w:history="1">
        <w:r w:rsidR="006536E7">
          <w:rPr>
            <w:rStyle w:val="af9"/>
            <w:rFonts w:ascii="Verdana" w:hAnsi="Verdana"/>
            <w:color w:val="auto"/>
            <w:sz w:val="20"/>
            <w:szCs w:val="20"/>
            <w:u w:val="none"/>
          </w:rPr>
          <w:t>Green, S. C.</w:t>
        </w:r>
      </w:hyperlink>
      <w:r w:rsidR="006536E7">
        <w:rPr>
          <w:rFonts w:ascii="Verdana" w:hAnsi="Verdana"/>
          <w:color w:val="auto"/>
          <w:sz w:val="20"/>
          <w:szCs w:val="20"/>
        </w:rPr>
        <w:t xml:space="preserve"> (2016). </w:t>
      </w:r>
      <w:hyperlink r:id="rId109" w:history="1">
        <w:r w:rsidR="006536E7">
          <w:rPr>
            <w:rStyle w:val="af9"/>
            <w:rFonts w:ascii="Verdana" w:hAnsi="Verdana"/>
            <w:bCs/>
            <w:color w:val="auto"/>
            <w:sz w:val="20"/>
            <w:szCs w:val="20"/>
            <w:u w:val="none"/>
          </w:rPr>
          <w:t> </w:t>
        </w:r>
        <w:r w:rsidR="006536E7">
          <w:rPr>
            <w:rStyle w:val="af9"/>
            <w:rFonts w:ascii="Verdana" w:hAnsi="Verdana"/>
            <w:bCs/>
            <w:i/>
            <w:color w:val="auto"/>
            <w:sz w:val="20"/>
            <w:szCs w:val="20"/>
            <w:u w:val="none"/>
          </w:rPr>
          <w:t>Risks associated with corporate social media communication - Time for internal auditing to step-up</w:t>
        </w:r>
      </w:hyperlink>
      <w:r w:rsidR="006536E7">
        <w:rPr>
          <w:rFonts w:ascii="Verdana" w:hAnsi="Verdana"/>
          <w:bCs/>
          <w:color w:val="auto"/>
          <w:sz w:val="20"/>
          <w:szCs w:val="20"/>
        </w:rPr>
        <w:t xml:space="preserve">. </w:t>
      </w:r>
      <w:r w:rsidR="006536E7">
        <w:rPr>
          <w:rFonts w:ascii="Verdana" w:hAnsi="Verdana"/>
          <w:color w:val="auto"/>
          <w:sz w:val="20"/>
          <w:szCs w:val="20"/>
        </w:rPr>
        <w:t>SOUTHERN AFRICAN JOURNAL OF ACCOUNTABILITY AND AUDITING RESEARCH-SAJAAR   </w:t>
      </w:r>
      <w:r w:rsidR="006536E7">
        <w:rPr>
          <w:rStyle w:val="label"/>
          <w:rFonts w:ascii="Verdana" w:hAnsi="Verdana"/>
          <w:color w:val="auto"/>
          <w:sz w:val="20"/>
          <w:szCs w:val="20"/>
        </w:rPr>
        <w:t>Volume: </w:t>
      </w:r>
      <w:r w:rsidR="006536E7">
        <w:rPr>
          <w:rStyle w:val="databold"/>
          <w:rFonts w:ascii="Verdana" w:hAnsi="Verdana"/>
          <w:color w:val="auto"/>
          <w:sz w:val="20"/>
          <w:szCs w:val="20"/>
        </w:rPr>
        <w:t>18 </w:t>
      </w:r>
      <w:r w:rsidR="006536E7">
        <w:rPr>
          <w:rFonts w:ascii="Verdana" w:hAnsi="Verdana"/>
          <w:color w:val="auto"/>
          <w:sz w:val="20"/>
          <w:szCs w:val="20"/>
        </w:rPr>
        <w:t>  </w:t>
      </w:r>
      <w:r w:rsidR="006536E7">
        <w:rPr>
          <w:rStyle w:val="label"/>
          <w:rFonts w:ascii="Verdana" w:hAnsi="Verdana"/>
          <w:color w:val="auto"/>
          <w:sz w:val="20"/>
          <w:szCs w:val="20"/>
        </w:rPr>
        <w:t>Issue: </w:t>
      </w:r>
      <w:r w:rsidR="006536E7">
        <w:rPr>
          <w:rStyle w:val="databold"/>
          <w:rFonts w:ascii="Verdana" w:hAnsi="Verdana"/>
          <w:color w:val="auto"/>
          <w:sz w:val="20"/>
          <w:szCs w:val="20"/>
        </w:rPr>
        <w:t>1 </w:t>
      </w:r>
      <w:r w:rsidR="006536E7">
        <w:rPr>
          <w:rFonts w:ascii="Verdana" w:hAnsi="Verdana"/>
          <w:color w:val="auto"/>
          <w:sz w:val="20"/>
          <w:szCs w:val="20"/>
        </w:rPr>
        <w:t>  </w:t>
      </w:r>
      <w:r w:rsidR="006536E7">
        <w:rPr>
          <w:rStyle w:val="label"/>
          <w:rFonts w:ascii="Verdana" w:hAnsi="Verdana"/>
          <w:color w:val="auto"/>
          <w:sz w:val="20"/>
          <w:szCs w:val="20"/>
        </w:rPr>
        <w:t>Pages: </w:t>
      </w:r>
      <w:r w:rsidR="006536E7">
        <w:rPr>
          <w:rStyle w:val="databold"/>
          <w:rFonts w:ascii="Verdana" w:hAnsi="Verdana"/>
          <w:color w:val="auto"/>
          <w:sz w:val="20"/>
          <w:szCs w:val="20"/>
        </w:rPr>
        <w:t>73-91</w:t>
      </w:r>
    </w:p>
    <w:p w:rsidR="005C3F63" w:rsidRDefault="006536E7">
      <w:pPr>
        <w:pStyle w:val="Default"/>
        <w:shd w:val="clear" w:color="auto" w:fill="FFFFFF"/>
        <w:ind w:left="66"/>
        <w:jc w:val="both"/>
        <w:rPr>
          <w:rFonts w:ascii="Verdana" w:hAnsi="Verdana"/>
          <w:color w:val="auto"/>
          <w:sz w:val="20"/>
          <w:szCs w:val="20"/>
        </w:rPr>
      </w:pPr>
      <w:r>
        <w:rPr>
          <w:rFonts w:ascii="Verdana" w:hAnsi="Verdana"/>
          <w:color w:val="auto"/>
          <w:sz w:val="20"/>
          <w:szCs w:val="20"/>
        </w:rPr>
        <w:t xml:space="preserve">IAASB (2020). Staff-Alert-Auditing-Accounting-Estimates-final. DOI: </w:t>
      </w:r>
      <w:hyperlink r:id="rId110" w:history="1">
        <w:r>
          <w:rPr>
            <w:rStyle w:val="af9"/>
            <w:rFonts w:ascii="Verdana" w:hAnsi="Verdana"/>
            <w:color w:val="000000"/>
            <w:sz w:val="20"/>
            <w:szCs w:val="20"/>
            <w:u w:val="none"/>
          </w:rPr>
          <w:t>https://www.ifac.org/system/files/publications/files/Staff-Alert-Auditing-Accounting-Estimates-final.pdf</w:t>
        </w:r>
      </w:hyperlink>
    </w:p>
    <w:p w:rsidR="005C3F63" w:rsidRDefault="006536E7">
      <w:pPr>
        <w:pStyle w:val="Default"/>
        <w:shd w:val="clear" w:color="auto" w:fill="FFFFFF"/>
        <w:ind w:left="66"/>
        <w:jc w:val="both"/>
        <w:rPr>
          <w:rFonts w:ascii="Verdana" w:hAnsi="Verdana"/>
          <w:color w:val="auto"/>
          <w:sz w:val="20"/>
          <w:szCs w:val="20"/>
        </w:rPr>
      </w:pPr>
      <w:r>
        <w:rPr>
          <w:rFonts w:ascii="Verdana" w:hAnsi="Verdana"/>
          <w:color w:val="auto"/>
          <w:sz w:val="20"/>
          <w:szCs w:val="20"/>
          <w:shd w:val="clear" w:color="auto" w:fill="FFFFFF"/>
        </w:rPr>
        <w:t>Kareš, L. (2008).</w:t>
      </w:r>
      <w:r>
        <w:rPr>
          <w:rStyle w:val="apple-converted-space"/>
          <w:rFonts w:ascii="Verdana" w:hAnsi="Verdana"/>
          <w:color w:val="auto"/>
          <w:sz w:val="20"/>
          <w:szCs w:val="20"/>
          <w:shd w:val="clear" w:color="auto" w:fill="FFFFFF"/>
        </w:rPr>
        <w:t> </w:t>
      </w:r>
      <w:r>
        <w:rPr>
          <w:rFonts w:ascii="Verdana" w:hAnsi="Verdana"/>
          <w:i/>
          <w:iCs/>
          <w:color w:val="auto"/>
          <w:sz w:val="20"/>
          <w:szCs w:val="20"/>
        </w:rPr>
        <w:t>Audítorstvo</w:t>
      </w:r>
      <w:r>
        <w:rPr>
          <w:rFonts w:ascii="Verdana" w:hAnsi="Verdana"/>
          <w:color w:val="auto"/>
          <w:sz w:val="20"/>
          <w:szCs w:val="20"/>
          <w:shd w:val="clear" w:color="auto" w:fill="FFFFFF"/>
        </w:rPr>
        <w:t>. Bratislava: Iura Edition, 2008. ISBN 978-80-8078-334-1.</w:t>
      </w:r>
      <w:r>
        <w:rPr>
          <w:rFonts w:ascii="Verdana" w:hAnsi="Verdana"/>
          <w:color w:val="auto"/>
          <w:sz w:val="20"/>
          <w:szCs w:val="20"/>
        </w:rPr>
        <w:t xml:space="preserve"> management of firms and financial institutions [elektronickýzdroj] : proceedings : 10th international scientific conference : 7th - 8th september 2015, Ostrava, Czech Republic: VŠB - Technical university of Ostrava, 2015. pp 783 - 790. </w:t>
      </w:r>
    </w:p>
    <w:p w:rsidR="005C3F63" w:rsidRDefault="006536E7">
      <w:pPr>
        <w:pStyle w:val="3"/>
        <w:autoSpaceDE w:val="0"/>
        <w:autoSpaceDN w:val="0"/>
        <w:spacing w:before="0"/>
        <w:ind w:left="66"/>
        <w:rPr>
          <w:rFonts w:ascii="Verdana" w:hAnsi="Verdana"/>
          <w:sz w:val="20"/>
          <w:szCs w:val="20"/>
          <w:lang w:val="sk-SK"/>
        </w:rPr>
      </w:pPr>
      <w:r>
        <w:rPr>
          <w:rFonts w:ascii="Verdana" w:hAnsi="Verdana"/>
          <w:sz w:val="20"/>
          <w:szCs w:val="20"/>
          <w:lang w:val="sk-SK"/>
        </w:rPr>
        <w:t xml:space="preserve">Krišková, P. and Užík, J. (2016). </w:t>
      </w:r>
      <w:r>
        <w:rPr>
          <w:rFonts w:ascii="Verdana" w:hAnsi="Verdana"/>
          <w:i/>
          <w:sz w:val="20"/>
          <w:szCs w:val="20"/>
          <w:lang w:val="sk-SK"/>
        </w:rPr>
        <w:t xml:space="preserve">The going concern within the overall perspective of the auditor on the financial statements. </w:t>
      </w:r>
      <w:r>
        <w:rPr>
          <w:rFonts w:ascii="Verdana" w:hAnsi="Verdana"/>
          <w:sz w:val="20"/>
          <w:szCs w:val="20"/>
          <w:lang w:val="sk-SK"/>
        </w:rPr>
        <w:t>Conference: International Scientific Conference on Accounting and Auditing in the Process of International Harmonization Location: Vranov nad Dyji, CZECH REPUBLIC Date: SEP 13-15, (2016)</w:t>
      </w:r>
    </w:p>
    <w:p w:rsidR="005C3F63" w:rsidRDefault="006536E7">
      <w:pPr>
        <w:pStyle w:val="aff"/>
        <w:ind w:left="66"/>
        <w:rPr>
          <w:rFonts w:ascii="Verdana" w:hAnsi="Verdana"/>
          <w:sz w:val="20"/>
          <w:szCs w:val="20"/>
          <w:lang w:val="sk-SK"/>
        </w:rPr>
      </w:pPr>
      <w:r>
        <w:rPr>
          <w:rFonts w:ascii="Verdana" w:hAnsi="Verdana"/>
          <w:sz w:val="20"/>
          <w:szCs w:val="20"/>
          <w:lang w:val="sk-SK"/>
        </w:rPr>
        <w:t xml:space="preserve">Krišková, P. and Užík, J. (2017). </w:t>
      </w:r>
      <w:r>
        <w:rPr>
          <w:rFonts w:ascii="Verdana" w:hAnsi="Verdana"/>
          <w:i/>
          <w:sz w:val="20"/>
          <w:szCs w:val="20"/>
          <w:lang w:val="sk-SK"/>
        </w:rPr>
        <w:t>Professional skepticism in statutory audit under conditions of increasing requiremetn on the relevance of accounting information</w:t>
      </w:r>
      <w:r>
        <w:rPr>
          <w:rFonts w:ascii="Verdana" w:hAnsi="Verdana"/>
          <w:sz w:val="20"/>
          <w:szCs w:val="20"/>
          <w:lang w:val="sk-SK"/>
        </w:rPr>
        <w:t>. Retriewed from: http://kuaa.sk/index?rok=2017&amp;kniha=13.</w:t>
      </w:r>
    </w:p>
    <w:p w:rsidR="005C3F63" w:rsidRDefault="006536E7">
      <w:pPr>
        <w:pStyle w:val="aff"/>
        <w:ind w:left="66"/>
        <w:rPr>
          <w:rFonts w:ascii="Verdana" w:hAnsi="Verdana"/>
          <w:sz w:val="20"/>
          <w:szCs w:val="20"/>
          <w:lang w:val="sk-SK"/>
        </w:rPr>
      </w:pPr>
      <w:r>
        <w:rPr>
          <w:rFonts w:ascii="Verdana" w:hAnsi="Verdana"/>
          <w:sz w:val="20"/>
          <w:szCs w:val="20"/>
          <w:lang w:val="sk-SK"/>
        </w:rPr>
        <w:t>Kubaš</w:t>
      </w:r>
      <w:r>
        <w:rPr>
          <w:rFonts w:ascii="Verdana" w:hAnsi="Verdana" w:cs="Cambria"/>
          <w:sz w:val="20"/>
          <w:szCs w:val="20"/>
          <w:lang w:val="sk-SK"/>
        </w:rPr>
        <w:t>č</w:t>
      </w:r>
      <w:r>
        <w:rPr>
          <w:rFonts w:ascii="Verdana" w:hAnsi="Verdana" w:cs="New York"/>
          <w:sz w:val="20"/>
          <w:szCs w:val="20"/>
          <w:lang w:val="sk-SK"/>
        </w:rPr>
        <w:t>í</w:t>
      </w:r>
      <w:r>
        <w:rPr>
          <w:rFonts w:ascii="Verdana" w:hAnsi="Verdana"/>
          <w:sz w:val="20"/>
          <w:szCs w:val="20"/>
          <w:lang w:val="sk-SK"/>
        </w:rPr>
        <w:t>kov</w:t>
      </w:r>
      <w:r>
        <w:rPr>
          <w:rFonts w:ascii="Verdana" w:hAnsi="Verdana" w:cs="New York"/>
          <w:sz w:val="20"/>
          <w:szCs w:val="20"/>
          <w:lang w:val="sk-SK"/>
        </w:rPr>
        <w:t>á</w:t>
      </w:r>
      <w:r>
        <w:rPr>
          <w:rFonts w:ascii="Verdana" w:hAnsi="Verdana"/>
          <w:sz w:val="20"/>
          <w:szCs w:val="20"/>
          <w:lang w:val="sk-SK"/>
        </w:rPr>
        <w:t>, Z. and Pak</w:t>
      </w:r>
      <w:r>
        <w:rPr>
          <w:rFonts w:ascii="Verdana" w:hAnsi="Verdana" w:cs="New York"/>
          <w:sz w:val="20"/>
          <w:szCs w:val="20"/>
          <w:lang w:val="sk-SK"/>
        </w:rPr>
        <w:t>š</w:t>
      </w:r>
      <w:r>
        <w:rPr>
          <w:rFonts w:ascii="Verdana" w:hAnsi="Verdana"/>
          <w:sz w:val="20"/>
          <w:szCs w:val="20"/>
          <w:lang w:val="sk-SK"/>
        </w:rPr>
        <w:t>iov</w:t>
      </w:r>
      <w:r>
        <w:rPr>
          <w:rFonts w:ascii="Verdana" w:hAnsi="Verdana" w:cs="New York"/>
          <w:sz w:val="20"/>
          <w:szCs w:val="20"/>
          <w:lang w:val="sk-SK"/>
        </w:rPr>
        <w:t>á</w:t>
      </w:r>
      <w:r>
        <w:rPr>
          <w:rFonts w:ascii="Verdana" w:hAnsi="Verdana"/>
          <w:sz w:val="20"/>
          <w:szCs w:val="20"/>
          <w:lang w:val="sk-SK"/>
        </w:rPr>
        <w:t xml:space="preserve">, R. (2015). </w:t>
      </w:r>
      <w:r>
        <w:rPr>
          <w:rFonts w:ascii="Verdana" w:hAnsi="Verdana"/>
          <w:i/>
          <w:sz w:val="20"/>
          <w:szCs w:val="20"/>
          <w:lang w:val="sk-SK"/>
        </w:rPr>
        <w:t>Impact of accounting standards on the results of financial analysis</w:t>
      </w:r>
      <w:r>
        <w:rPr>
          <w:rFonts w:ascii="Verdana" w:hAnsi="Verdana"/>
          <w:sz w:val="20"/>
          <w:szCs w:val="20"/>
          <w:lang w:val="sk-SK"/>
        </w:rPr>
        <w:t xml:space="preserve">. IFRS: global rules &amp; local use: proceedings of the 3rd international </w:t>
      </w:r>
      <w:r>
        <w:rPr>
          <w:rFonts w:ascii="Verdana" w:hAnsi="Verdana"/>
          <w:sz w:val="20"/>
          <w:szCs w:val="20"/>
          <w:lang w:val="sk-SK"/>
        </w:rPr>
        <w:lastRenderedPageBreak/>
        <w:t xml:space="preserve">scientific conference: Prague, october 8–9, 2015: Anglo-American University, Prague - Czech Republic. Prague: Anglo-American University, 2015, 150-155. </w:t>
      </w:r>
    </w:p>
    <w:p w:rsidR="005C3F63" w:rsidRDefault="00085067">
      <w:pPr>
        <w:pStyle w:val="afd"/>
        <w:spacing w:after="60"/>
        <w:ind w:left="66"/>
        <w:rPr>
          <w:rFonts w:ascii="Verdana" w:hAnsi="Verdana"/>
          <w:sz w:val="20"/>
          <w:szCs w:val="20"/>
          <w:lang w:val="sk-SK" w:eastAsia="sk-SK"/>
        </w:rPr>
      </w:pPr>
      <w:hyperlink r:id="rId111" w:tooltip="Find more records by this author" w:history="1">
        <w:r w:rsidR="006536E7">
          <w:rPr>
            <w:rFonts w:ascii="Verdana" w:hAnsi="Verdana"/>
            <w:sz w:val="20"/>
            <w:szCs w:val="20"/>
            <w:lang w:val="sk-SK" w:eastAsia="sk-SK"/>
          </w:rPr>
          <w:t xml:space="preserve">Leidner, J. </w:t>
        </w:r>
      </w:hyperlink>
      <w:r w:rsidR="006536E7">
        <w:rPr>
          <w:rFonts w:ascii="Verdana" w:hAnsi="Verdana"/>
          <w:sz w:val="20"/>
          <w:szCs w:val="20"/>
          <w:lang w:val="sk-SK" w:eastAsia="sk-SK"/>
        </w:rPr>
        <w:t xml:space="preserve">and </w:t>
      </w:r>
      <w:hyperlink r:id="rId112" w:tooltip="Find more records by this author" w:history="1">
        <w:r w:rsidR="006536E7">
          <w:rPr>
            <w:rFonts w:ascii="Verdana" w:hAnsi="Verdana"/>
            <w:sz w:val="20"/>
            <w:szCs w:val="20"/>
            <w:lang w:val="sk-SK" w:eastAsia="sk-SK"/>
          </w:rPr>
          <w:t xml:space="preserve">Lenz, H. </w:t>
        </w:r>
      </w:hyperlink>
      <w:r w:rsidR="006536E7">
        <w:rPr>
          <w:rFonts w:ascii="Verdana" w:hAnsi="Verdana"/>
          <w:sz w:val="20"/>
          <w:szCs w:val="20"/>
          <w:lang w:val="sk-SK"/>
        </w:rPr>
        <w:t xml:space="preserve">(2017). </w:t>
      </w:r>
      <w:hyperlink r:id="rId113" w:history="1">
        <w:r w:rsidR="006536E7">
          <w:rPr>
            <w:rFonts w:ascii="Verdana" w:hAnsi="Verdana"/>
            <w:bCs/>
            <w:i/>
            <w:sz w:val="20"/>
            <w:szCs w:val="20"/>
            <w:lang w:val="sk-SK" w:eastAsia="sk-SK"/>
          </w:rPr>
          <w:t>Client's business risk, public-interest entities, and audit fees: The case of German credit institutions</w:t>
        </w:r>
      </w:hyperlink>
      <w:r w:rsidR="006536E7">
        <w:rPr>
          <w:rFonts w:ascii="Verdana" w:hAnsi="Verdana"/>
          <w:bCs/>
          <w:i/>
          <w:sz w:val="20"/>
          <w:szCs w:val="20"/>
          <w:lang w:val="sk-SK" w:eastAsia="sk-SK"/>
        </w:rPr>
        <w:t xml:space="preserve">. In: </w:t>
      </w:r>
      <w:r w:rsidR="006536E7">
        <w:rPr>
          <w:rFonts w:ascii="Verdana" w:hAnsi="Verdana"/>
          <w:sz w:val="20"/>
          <w:szCs w:val="20"/>
          <w:lang w:val="sk-SK" w:eastAsia="sk-SK"/>
        </w:rPr>
        <w:t>INTERNATIONAL JOURNAL OF AUDITING  Volume: 21   Issue: 3   Pages: 324-338</w:t>
      </w:r>
    </w:p>
    <w:p w:rsidR="005C3F63" w:rsidRDefault="006536E7">
      <w:pPr>
        <w:pStyle w:val="aff"/>
        <w:ind w:left="66"/>
        <w:rPr>
          <w:rStyle w:val="intentcopyrighttext"/>
          <w:rFonts w:ascii="Verdana" w:hAnsi="Verdana"/>
          <w:sz w:val="20"/>
          <w:szCs w:val="20"/>
          <w:lang w:val="sk-SK"/>
        </w:rPr>
      </w:pPr>
      <w:r>
        <w:rPr>
          <w:rFonts w:ascii="Verdana" w:hAnsi="Verdana"/>
          <w:sz w:val="20"/>
          <w:szCs w:val="20"/>
          <w:lang w:val="sk-SK"/>
        </w:rPr>
        <w:t>Lindie E. and Yaeesh, Y. and Irfaan, O. (2018) "</w:t>
      </w:r>
      <w:r>
        <w:rPr>
          <w:rFonts w:ascii="Verdana" w:hAnsi="Verdana"/>
          <w:i/>
          <w:sz w:val="20"/>
          <w:szCs w:val="20"/>
          <w:lang w:val="sk-SK"/>
        </w:rPr>
        <w:t>The role of the internal audit function in integrated reporting: a developing economy perspective"</w:t>
      </w:r>
      <w:r>
        <w:rPr>
          <w:rFonts w:ascii="Verdana" w:hAnsi="Verdana"/>
          <w:sz w:val="20"/>
          <w:szCs w:val="20"/>
          <w:lang w:val="sk-SK"/>
        </w:rPr>
        <w:t>, </w:t>
      </w:r>
      <w:hyperlink r:id="rId114" w:history="1">
        <w:r>
          <w:rPr>
            <w:rStyle w:val="af9"/>
            <w:rFonts w:ascii="Verdana" w:hAnsi="Verdana"/>
            <w:color w:val="auto"/>
            <w:sz w:val="20"/>
            <w:szCs w:val="20"/>
            <w:u w:val="none"/>
            <w:lang w:val="sk-SK"/>
          </w:rPr>
          <w:t>Meditari Accountancy Research</w:t>
        </w:r>
      </w:hyperlink>
      <w:r>
        <w:rPr>
          <w:rFonts w:ascii="Verdana" w:hAnsi="Verdana"/>
          <w:sz w:val="20"/>
          <w:szCs w:val="20"/>
          <w:lang w:val="sk-SK"/>
        </w:rPr>
        <w:t>, Vol. 26 No. 4, pp. 657-674, DOI: </w:t>
      </w:r>
      <w:hyperlink r:id="rId115" w:tooltip="DOI: https://doi.org/10.1108/MEDAR-10-2017-0226." w:history="1">
        <w:r>
          <w:rPr>
            <w:rStyle w:val="intentdoilinktext"/>
            <w:rFonts w:ascii="Verdana" w:hAnsi="Verdana"/>
            <w:sz w:val="20"/>
            <w:szCs w:val="20"/>
            <w:lang w:val="sk-SK"/>
          </w:rPr>
          <w:t>https://doi.org/10.1108/MEDAR-10-2017-0226</w:t>
        </w:r>
      </w:hyperlink>
      <w:r>
        <w:rPr>
          <w:rFonts w:ascii="Verdana" w:hAnsi="Verdana"/>
          <w:sz w:val="20"/>
          <w:szCs w:val="20"/>
          <w:lang w:val="sk-SK"/>
        </w:rPr>
        <w:t>, Publisher: Emerald Publishing Limited, Copyright </w:t>
      </w:r>
      <w:r>
        <w:rPr>
          <w:rStyle w:val="intentcopyrighttext"/>
          <w:rFonts w:ascii="Verdana" w:hAnsi="Verdana"/>
          <w:sz w:val="20"/>
          <w:szCs w:val="20"/>
          <w:lang w:val="sk-SK"/>
        </w:rPr>
        <w:t>© 2018, Emerald Publishing Limited</w:t>
      </w:r>
    </w:p>
    <w:p w:rsidR="005C3F63" w:rsidRDefault="006536E7">
      <w:pPr>
        <w:pStyle w:val="aff"/>
        <w:ind w:left="66"/>
        <w:rPr>
          <w:rFonts w:ascii="Verdana" w:hAnsi="Verdana"/>
          <w:sz w:val="20"/>
          <w:szCs w:val="20"/>
          <w:lang w:val="sk-SK"/>
        </w:rPr>
      </w:pPr>
      <w:r>
        <w:rPr>
          <w:rFonts w:ascii="Verdana" w:hAnsi="Verdana"/>
          <w:sz w:val="20"/>
          <w:szCs w:val="20"/>
          <w:lang w:val="sk-SK"/>
        </w:rPr>
        <w:t xml:space="preserve">Máziková, K. and Ondrušová, L. (2014). </w:t>
      </w:r>
      <w:r>
        <w:rPr>
          <w:rFonts w:ascii="Verdana" w:hAnsi="Verdana"/>
          <w:i/>
          <w:sz w:val="20"/>
          <w:szCs w:val="20"/>
          <w:lang w:val="sk-SK"/>
        </w:rPr>
        <w:t xml:space="preserve">Valuation of transaction between related parties and ethical behavior of managers and investors. </w:t>
      </w:r>
      <w:r>
        <w:rPr>
          <w:rFonts w:ascii="Verdana" w:hAnsi="Verdana"/>
          <w:sz w:val="20"/>
          <w:szCs w:val="20"/>
          <w:lang w:val="sk-SK"/>
        </w:rPr>
        <w:t>Ethics as an essentioal condition for sustainable economic development</w:t>
      </w:r>
      <w:r>
        <w:rPr>
          <w:rFonts w:ascii="Verdana" w:hAnsi="Verdana"/>
          <w:i/>
          <w:sz w:val="20"/>
          <w:szCs w:val="20"/>
          <w:lang w:val="sk-SK"/>
        </w:rPr>
        <w:t xml:space="preserve"> : proceeding of scintific papers (pp. 51-56). </w:t>
      </w:r>
      <w:r>
        <w:rPr>
          <w:rFonts w:ascii="Verdana" w:hAnsi="Verdana"/>
          <w:sz w:val="20"/>
          <w:szCs w:val="20"/>
          <w:lang w:val="sk-SK"/>
        </w:rPr>
        <w:t>Bratislava: Vydavate</w:t>
      </w:r>
      <w:r>
        <w:rPr>
          <w:rFonts w:ascii="Verdana" w:hAnsi="Verdana" w:cs="Cambria"/>
          <w:sz w:val="20"/>
          <w:szCs w:val="20"/>
          <w:lang w:val="sk-SK"/>
        </w:rPr>
        <w:t>ľ</w:t>
      </w:r>
      <w:r>
        <w:rPr>
          <w:rFonts w:ascii="Verdana" w:hAnsi="Verdana"/>
          <w:sz w:val="20"/>
          <w:szCs w:val="20"/>
          <w:lang w:val="sk-SK"/>
        </w:rPr>
        <w:t>stvo EKON</w:t>
      </w:r>
      <w:r>
        <w:rPr>
          <w:rFonts w:ascii="Verdana" w:hAnsi="Verdana" w:cs="New York"/>
          <w:sz w:val="20"/>
          <w:szCs w:val="20"/>
          <w:lang w:val="sk-SK"/>
        </w:rPr>
        <w:t>Ó</w:t>
      </w:r>
      <w:r>
        <w:rPr>
          <w:rFonts w:ascii="Verdana" w:hAnsi="Verdana"/>
          <w:sz w:val="20"/>
          <w:szCs w:val="20"/>
          <w:lang w:val="sk-SK"/>
        </w:rPr>
        <w:t>M.</w:t>
      </w:r>
    </w:p>
    <w:p w:rsidR="005C3F63" w:rsidRDefault="00085067">
      <w:pPr>
        <w:pStyle w:val="afd"/>
        <w:spacing w:after="60"/>
        <w:ind w:left="0"/>
        <w:rPr>
          <w:rFonts w:ascii="Verdana" w:hAnsi="Verdana"/>
          <w:sz w:val="20"/>
          <w:szCs w:val="20"/>
          <w:lang w:val="sk-SK"/>
        </w:rPr>
      </w:pPr>
      <w:hyperlink r:id="rId116" w:tooltip="Find more records by this author" w:history="1">
        <w:r w:rsidR="006536E7">
          <w:rPr>
            <w:rFonts w:ascii="Verdana" w:hAnsi="Verdana"/>
            <w:sz w:val="20"/>
            <w:szCs w:val="20"/>
            <w:lang w:val="sk-SK" w:eastAsia="sk-SK"/>
          </w:rPr>
          <w:t>Nasir, N.</w:t>
        </w:r>
      </w:hyperlink>
      <w:r w:rsidR="006536E7">
        <w:rPr>
          <w:rFonts w:ascii="Verdana" w:hAnsi="Verdana"/>
          <w:sz w:val="20"/>
          <w:szCs w:val="20"/>
          <w:lang w:val="sk-SK" w:eastAsia="sk-SK"/>
        </w:rPr>
        <w:t xml:space="preserve"> and </w:t>
      </w:r>
      <w:hyperlink r:id="rId117" w:tooltip="Find more records by this author" w:history="1">
        <w:r w:rsidR="006536E7">
          <w:rPr>
            <w:rFonts w:ascii="Verdana" w:hAnsi="Verdana"/>
            <w:sz w:val="20"/>
            <w:szCs w:val="20"/>
            <w:lang w:val="sk-SK" w:eastAsia="sk-SK"/>
          </w:rPr>
          <w:t>Ali, M</w:t>
        </w:r>
      </w:hyperlink>
      <w:r w:rsidR="006536E7">
        <w:rPr>
          <w:rFonts w:ascii="Verdana" w:hAnsi="Verdana"/>
          <w:sz w:val="20"/>
          <w:szCs w:val="20"/>
          <w:lang w:val="sk-SK"/>
        </w:rPr>
        <w:t xml:space="preserve">. and </w:t>
      </w:r>
      <w:hyperlink r:id="rId118" w:tooltip="Find more records by this author" w:history="1">
        <w:r w:rsidR="006536E7">
          <w:rPr>
            <w:rFonts w:ascii="Verdana" w:hAnsi="Verdana"/>
            <w:sz w:val="20"/>
            <w:szCs w:val="20"/>
            <w:lang w:val="sk-SK" w:eastAsia="sk-SK"/>
          </w:rPr>
          <w:t xml:space="preserve">Ahmed, K. (2019). </w:t>
        </w:r>
      </w:hyperlink>
      <w:hyperlink r:id="rId119" w:history="1">
        <w:r w:rsidR="006536E7">
          <w:rPr>
            <w:rFonts w:ascii="Verdana" w:hAnsi="Verdana"/>
            <w:bCs/>
            <w:sz w:val="20"/>
            <w:szCs w:val="20"/>
            <w:lang w:val="sk-SK" w:eastAsia="sk-SK"/>
          </w:rPr>
          <w:t>Corporate governance, board ethnicity and financial statement fraud: evidence from Malaysia</w:t>
        </w:r>
      </w:hyperlink>
      <w:r w:rsidR="006536E7">
        <w:rPr>
          <w:rFonts w:ascii="Verdana" w:hAnsi="Verdana"/>
          <w:bCs/>
          <w:sz w:val="20"/>
          <w:szCs w:val="20"/>
          <w:lang w:val="sk-SK" w:eastAsia="sk-SK"/>
        </w:rPr>
        <w:t xml:space="preserve">. </w:t>
      </w:r>
      <w:r w:rsidR="006536E7">
        <w:rPr>
          <w:rFonts w:ascii="Verdana" w:hAnsi="Verdana"/>
          <w:sz w:val="20"/>
          <w:szCs w:val="20"/>
          <w:lang w:val="sk-SK" w:eastAsia="sk-SK"/>
        </w:rPr>
        <w:t>ACCOUNTING RESEARCH JOURNAL  Volume: 32   Issue: 3   Pages: 514-531</w:t>
      </w:r>
    </w:p>
    <w:p w:rsidR="005C3F63" w:rsidRDefault="006536E7">
      <w:pPr>
        <w:pStyle w:val="afd"/>
        <w:adjustRightInd w:val="0"/>
        <w:ind w:left="66"/>
        <w:rPr>
          <w:rFonts w:ascii="Verdana" w:eastAsia="Calibri" w:hAnsi="Verdana"/>
          <w:i/>
          <w:sz w:val="20"/>
          <w:szCs w:val="20"/>
          <w:lang w:val="sk-SK" w:eastAsia="sk-SK"/>
        </w:rPr>
      </w:pPr>
      <w:r>
        <w:rPr>
          <w:rFonts w:ascii="Verdana" w:hAnsi="Verdana"/>
          <w:sz w:val="20"/>
          <w:szCs w:val="20"/>
          <w:lang w:val="sk-SK"/>
        </w:rPr>
        <w:t>Parajka, B. (2016).</w:t>
      </w:r>
      <w:r>
        <w:rPr>
          <w:rFonts w:ascii="Verdana" w:eastAsia="Calibri" w:hAnsi="Verdana"/>
          <w:i/>
          <w:sz w:val="20"/>
          <w:szCs w:val="20"/>
          <w:lang w:val="sk-SK" w:eastAsia="sk-SK"/>
        </w:rPr>
        <w:t>Micro Accounting Entities in the Slovak Republic – A Year After an Introduction. In Strategic management, Vol. 21, No. 3.,  p. 45-48. (2016)</w:t>
      </w:r>
    </w:p>
    <w:p w:rsidR="005C3F63" w:rsidRDefault="006536E7">
      <w:pPr>
        <w:pStyle w:val="afd"/>
        <w:adjustRightInd w:val="0"/>
        <w:ind w:left="66"/>
        <w:rPr>
          <w:rFonts w:ascii="Verdana" w:eastAsia="Calibri" w:hAnsi="Verdana"/>
          <w:i/>
          <w:sz w:val="20"/>
          <w:szCs w:val="20"/>
          <w:lang w:val="sk-SK" w:eastAsia="sk-SK"/>
        </w:rPr>
      </w:pPr>
      <w:r>
        <w:rPr>
          <w:rFonts w:ascii="Verdana" w:eastAsia="MS Mincho" w:hAnsi="Verdana"/>
          <w:kern w:val="2"/>
          <w:sz w:val="20"/>
          <w:szCs w:val="20"/>
          <w:shd w:val="clear" w:color="auto" w:fill="FFFFFF"/>
          <w:lang w:val="sk-SK" w:eastAsia="ja-JP"/>
        </w:rPr>
        <w:t>Šlosárová, A. and Blahušiaková, M. (2016). Financial statement analysis. Bratislava: Wolters Kluwer.</w:t>
      </w:r>
    </w:p>
    <w:p w:rsidR="005C3F63" w:rsidRDefault="006536E7">
      <w:pPr>
        <w:pStyle w:val="afd"/>
        <w:adjustRightInd w:val="0"/>
        <w:ind w:left="66"/>
        <w:rPr>
          <w:rFonts w:ascii="Verdana" w:hAnsi="Verdana"/>
          <w:sz w:val="20"/>
          <w:szCs w:val="20"/>
          <w:lang w:val="sk-SK"/>
        </w:rPr>
      </w:pPr>
      <w:r>
        <w:rPr>
          <w:rFonts w:ascii="Verdana" w:hAnsi="Verdana"/>
          <w:sz w:val="20"/>
          <w:szCs w:val="20"/>
          <w:lang w:val="sk-SK"/>
        </w:rPr>
        <w:t xml:space="preserve">Tumpach, M. (2006). IFRS / IAS International Financial Reporting Standards. Bratislava: IURA EDITION. </w:t>
      </w:r>
    </w:p>
    <w:p w:rsidR="005C3F63" w:rsidRDefault="006536E7">
      <w:pPr>
        <w:pStyle w:val="Default"/>
        <w:shd w:val="clear" w:color="auto" w:fill="FFFFFF"/>
        <w:ind w:left="66"/>
        <w:jc w:val="both"/>
        <w:rPr>
          <w:color w:val="auto"/>
          <w:sz w:val="20"/>
          <w:szCs w:val="20"/>
        </w:rPr>
      </w:pPr>
      <w:r>
        <w:rPr>
          <w:rFonts w:ascii="Verdana" w:hAnsi="Verdana"/>
          <w:color w:val="auto"/>
          <w:sz w:val="20"/>
          <w:szCs w:val="20"/>
        </w:rPr>
        <w:t xml:space="preserve">Tumpach, M. and Manová, E. and Meluchová, J. (2014). Relevance of national corporate financial reporting in the Slovak Republic from the perspective of creditors as non-privileged users. Economic journal: journal for economic theory, economic policy, socio-economic forecasting = journal for economic theory, economic policy, social and economic forecasting. Bratislava: Institute of Economics SAS: Institute of Forecasting SAS, 2014, 62 (5), 495-507. </w:t>
      </w:r>
    </w:p>
    <w:p w:rsidR="005C3F63" w:rsidRDefault="006536E7">
      <w:pPr>
        <w:rPr>
          <w:szCs w:val="24"/>
        </w:rPr>
      </w:pPr>
      <w:r>
        <w:rPr>
          <w:szCs w:val="24"/>
        </w:rPr>
        <w:br w:type="page"/>
      </w:r>
    </w:p>
    <w:p w:rsidR="005C3F63" w:rsidRDefault="006536E7">
      <w:pPr>
        <w:pStyle w:val="1"/>
        <w:spacing w:before="0" w:after="240"/>
        <w:rPr>
          <w:b w:val="0"/>
          <w:bCs w:val="0"/>
          <w:szCs w:val="24"/>
        </w:rPr>
      </w:pPr>
      <w:r>
        <w:rPr>
          <w:szCs w:val="24"/>
        </w:rPr>
        <w:lastRenderedPageBreak/>
        <w:t xml:space="preserve">Institution of </w:t>
      </w:r>
      <w:r>
        <w:rPr>
          <w:szCs w:val="24"/>
          <w:lang w:val="sk-SK"/>
        </w:rPr>
        <w:t>B</w:t>
      </w:r>
      <w:r>
        <w:rPr>
          <w:szCs w:val="24"/>
        </w:rPr>
        <w:t xml:space="preserve">eneficent </w:t>
      </w:r>
      <w:r>
        <w:rPr>
          <w:szCs w:val="24"/>
          <w:lang w:val="sk-SK"/>
        </w:rPr>
        <w:t>L</w:t>
      </w:r>
      <w:r>
        <w:rPr>
          <w:szCs w:val="24"/>
        </w:rPr>
        <w:t>ottery</w:t>
      </w:r>
      <w:bookmarkEnd w:id="306"/>
    </w:p>
    <w:p w:rsidR="005C3F63" w:rsidRDefault="006536E7">
      <w:pPr>
        <w:spacing w:after="120"/>
        <w:jc w:val="center"/>
        <w:rPr>
          <w:rFonts w:ascii="Verdana" w:hAnsi="Verdana"/>
          <w:sz w:val="18"/>
          <w:szCs w:val="18"/>
        </w:rPr>
      </w:pPr>
      <w:bookmarkStart w:id="308" w:name="_Toc47443557"/>
      <w:bookmarkStart w:id="309" w:name="_Toc47447966"/>
      <w:bookmarkStart w:id="310" w:name="_Toc47948721"/>
      <w:bookmarkStart w:id="311" w:name="_Toc47443424"/>
      <w:bookmarkStart w:id="312" w:name="_Toc47444275"/>
      <w:bookmarkStart w:id="313" w:name="_Toc47446098"/>
      <w:bookmarkStart w:id="314" w:name="_Toc47949294"/>
      <w:bookmarkStart w:id="315" w:name="_Toc47440859"/>
      <w:bookmarkStart w:id="316" w:name="_Toc47948980"/>
      <w:bookmarkStart w:id="317" w:name="_Toc47444433"/>
      <w:bookmarkStart w:id="318" w:name="_Toc47443658"/>
      <w:bookmarkStart w:id="319" w:name="_Toc47447146"/>
      <w:bookmarkStart w:id="320" w:name="_Toc47448048"/>
      <w:bookmarkStart w:id="321" w:name="_Toc47439764"/>
      <w:bookmarkStart w:id="322" w:name="_Toc47446358"/>
      <w:bookmarkStart w:id="323" w:name="_Toc47448545"/>
      <w:bookmarkStart w:id="324" w:name="_Toc47435426"/>
      <w:bookmarkStart w:id="325" w:name="_Toc47438954"/>
      <w:bookmarkStart w:id="326" w:name="_Toc47448102"/>
      <w:bookmarkStart w:id="327" w:name="_Toc47448185"/>
      <w:bookmarkStart w:id="328" w:name="_Toc47442662"/>
      <w:bookmarkStart w:id="329" w:name="_Toc47440082"/>
      <w:bookmarkStart w:id="330" w:name="_Toc47441186"/>
      <w:bookmarkStart w:id="331" w:name="_Toc47441483"/>
      <w:bookmarkStart w:id="332" w:name="_Toc47433532"/>
      <w:bookmarkStart w:id="333" w:name="_Toc47451142"/>
      <w:bookmarkStart w:id="334" w:name="_Toc47445946"/>
      <w:bookmarkStart w:id="335" w:name="_Toc47448826"/>
      <w:bookmarkStart w:id="336" w:name="_Toc47448307"/>
      <w:bookmarkStart w:id="337" w:name="_Toc47444122"/>
      <w:bookmarkStart w:id="338" w:name="_Toc47441669"/>
      <w:bookmarkStart w:id="339" w:name="_Toc47951359"/>
      <w:bookmarkStart w:id="340" w:name="_Toc47445723"/>
      <w:bookmarkStart w:id="341" w:name="_Toc47441603"/>
      <w:bookmarkStart w:id="342" w:name="_Toc47446700"/>
      <w:bookmarkStart w:id="343" w:name="_Toc47444592"/>
      <w:bookmarkStart w:id="344" w:name="_Toc47449301"/>
      <w:bookmarkStart w:id="345" w:name="_Toc47447912"/>
      <w:bookmarkStart w:id="346" w:name="_Toc47951517"/>
      <w:bookmarkStart w:id="347" w:name="_Toc47448600"/>
      <w:bookmarkStart w:id="348" w:name="_Toc47948782"/>
      <w:bookmarkStart w:id="349" w:name="_Toc47951452"/>
      <w:r>
        <w:rPr>
          <w:rStyle w:val="AutorChar"/>
          <w:sz w:val="20"/>
          <w:szCs w:val="20"/>
        </w:rPr>
        <w:t>Alena Kordošová</w:t>
      </w:r>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Pr>
          <w:rFonts w:ascii="Verdana" w:hAnsi="Verdana"/>
          <w:b/>
          <w:sz w:val="20"/>
          <w:szCs w:val="20"/>
        </w:rPr>
        <w:br/>
      </w:r>
      <w:r>
        <w:rPr>
          <w:rFonts w:ascii="Verdana" w:hAnsi="Verdana"/>
          <w:sz w:val="18"/>
          <w:szCs w:val="18"/>
        </w:rPr>
        <w:t xml:space="preserve">University of Economics in Bratislava </w:t>
      </w:r>
    </w:p>
    <w:p w:rsidR="005C3F63" w:rsidRDefault="006536E7">
      <w:pPr>
        <w:jc w:val="center"/>
        <w:rPr>
          <w:rFonts w:ascii="Verdana" w:hAnsi="Verdana"/>
          <w:sz w:val="18"/>
          <w:szCs w:val="18"/>
        </w:rPr>
      </w:pPr>
      <w:r>
        <w:rPr>
          <w:rFonts w:ascii="Verdana" w:hAnsi="Verdana"/>
          <w:sz w:val="18"/>
          <w:szCs w:val="18"/>
        </w:rPr>
        <w:t>Faculty of Economic Informatics, Department of Accountancy and Auditing</w:t>
      </w:r>
    </w:p>
    <w:p w:rsidR="005C3F63" w:rsidRDefault="006536E7">
      <w:pPr>
        <w:jc w:val="center"/>
        <w:rPr>
          <w:rFonts w:ascii="Verdana" w:hAnsi="Verdana"/>
          <w:sz w:val="18"/>
          <w:szCs w:val="18"/>
        </w:rPr>
      </w:pPr>
      <w:r>
        <w:rPr>
          <w:rFonts w:ascii="Verdana" w:hAnsi="Verdana"/>
          <w:sz w:val="18"/>
          <w:szCs w:val="18"/>
        </w:rPr>
        <w:t>Dolnozemská cesta 1, 852 35 Bratislava, Slovak Republic</w:t>
      </w:r>
    </w:p>
    <w:p w:rsidR="005C3F63" w:rsidRDefault="006536E7">
      <w:pPr>
        <w:jc w:val="center"/>
        <w:rPr>
          <w:rFonts w:ascii="Verdana" w:hAnsi="Verdana"/>
          <w:sz w:val="18"/>
          <w:szCs w:val="18"/>
        </w:rPr>
      </w:pPr>
      <w:r>
        <w:rPr>
          <w:rFonts w:ascii="Verdana" w:hAnsi="Verdana"/>
          <w:sz w:val="18"/>
          <w:szCs w:val="18"/>
        </w:rPr>
        <w:t>E-mail: alena.kordosova@euba.sk</w:t>
      </w:r>
    </w:p>
    <w:p w:rsidR="005C3F63" w:rsidRDefault="005C3F63">
      <w:pPr>
        <w:jc w:val="center"/>
        <w:rPr>
          <w:rFonts w:ascii="Verdana" w:hAnsi="Verdana"/>
          <w:sz w:val="18"/>
          <w:szCs w:val="18"/>
          <w:lang w:val="en-GB"/>
        </w:rPr>
      </w:pPr>
    </w:p>
    <w:p w:rsidR="005C3F63" w:rsidRDefault="005C3F63">
      <w:pPr>
        <w:rPr>
          <w:rFonts w:ascii="Verdana" w:hAnsi="Verdana"/>
          <w:sz w:val="22"/>
          <w:lang w:val="en-GB"/>
        </w:rPr>
      </w:pPr>
    </w:p>
    <w:p w:rsidR="005C3F63" w:rsidRDefault="006536E7">
      <w:pPr>
        <w:tabs>
          <w:tab w:val="left" w:pos="426"/>
        </w:tabs>
        <w:rPr>
          <w:rFonts w:ascii="Verdana" w:hAnsi="Verdana"/>
          <w:b/>
          <w:i/>
          <w:sz w:val="20"/>
          <w:szCs w:val="20"/>
          <w:lang w:val="sk-SK"/>
        </w:rPr>
      </w:pPr>
      <w:r>
        <w:rPr>
          <w:rFonts w:ascii="Verdana" w:hAnsi="Verdana"/>
          <w:b/>
          <w:i/>
          <w:sz w:val="20"/>
          <w:szCs w:val="20"/>
          <w:lang w:val="sk-SK"/>
        </w:rPr>
        <w:t xml:space="preserve">Abstract: </w:t>
      </w:r>
      <w:r>
        <w:rPr>
          <w:rFonts w:ascii="Verdana" w:hAnsi="Verdana"/>
          <w:i/>
          <w:sz w:val="20"/>
          <w:szCs w:val="20"/>
          <w:lang w:val="en-GB"/>
        </w:rPr>
        <w:t xml:space="preserve">Beneficent lottery is a new institution for financing of non-profit accounting entities in the Slovak Republic and it is classified as the alternative source of financing. The paper is focused on examining institution of beneficent lottery in the conditions of non-profit accounting entities. </w:t>
      </w:r>
      <w:r>
        <w:rPr>
          <w:rStyle w:val="MTEquationSection"/>
          <w:rFonts w:ascii="Verdana" w:hAnsi="Verdana"/>
          <w:i/>
          <w:sz w:val="20"/>
          <w:szCs w:val="20"/>
          <w:lang w:val="en-GB"/>
        </w:rPr>
        <w:t xml:space="preserve"> </w:t>
      </w:r>
      <w:r>
        <w:rPr>
          <w:rFonts w:ascii="Verdana" w:hAnsi="Verdana"/>
          <w:i/>
          <w:sz w:val="20"/>
          <w:szCs w:val="20"/>
          <w:lang w:val="en-GB"/>
        </w:rPr>
        <w:t>Beneficent lottery is defined as a gambling game, which combines some features of lotteries and betting games.</w:t>
      </w:r>
      <w:r>
        <w:rPr>
          <w:lang w:val="en-GB"/>
        </w:rPr>
        <w:t xml:space="preserve"> </w:t>
      </w:r>
      <w:r>
        <w:rPr>
          <w:rStyle w:val="MTEquationSection"/>
          <w:rFonts w:ascii="Verdana" w:hAnsi="Verdana"/>
          <w:i/>
          <w:sz w:val="20"/>
          <w:szCs w:val="20"/>
          <w:lang w:val="en-GB"/>
        </w:rPr>
        <w:t xml:space="preserve"> </w:t>
      </w:r>
      <w:r>
        <w:rPr>
          <w:rFonts w:ascii="Verdana" w:hAnsi="Verdana"/>
          <w:i/>
          <w:sz w:val="20"/>
          <w:szCs w:val="20"/>
          <w:lang w:val="en-GB"/>
        </w:rPr>
        <w:t>The result of the examination of this new institute of financing is to point out the importance and the particularities of beneficent lottery in the conditions of non-profit accounting entities.</w:t>
      </w:r>
    </w:p>
    <w:p w:rsidR="005C3F63" w:rsidRDefault="005C3F63">
      <w:pPr>
        <w:tabs>
          <w:tab w:val="left" w:pos="426"/>
        </w:tabs>
        <w:rPr>
          <w:rFonts w:ascii="Verdana" w:hAnsi="Verdana"/>
          <w:b/>
          <w:i/>
          <w:sz w:val="20"/>
          <w:szCs w:val="20"/>
          <w:lang w:val="sk-SK"/>
        </w:rPr>
      </w:pPr>
    </w:p>
    <w:p w:rsidR="005C3F63" w:rsidRDefault="006536E7">
      <w:pPr>
        <w:rPr>
          <w:rFonts w:ascii="Verdana" w:hAnsi="Verdana"/>
          <w:sz w:val="20"/>
          <w:szCs w:val="20"/>
          <w:lang w:val="en-GB"/>
        </w:rPr>
      </w:pPr>
      <w:r>
        <w:rPr>
          <w:rFonts w:ascii="Verdana" w:hAnsi="Verdana"/>
          <w:b/>
          <w:i/>
          <w:sz w:val="20"/>
          <w:szCs w:val="20"/>
          <w:lang w:val="sk-SK"/>
        </w:rPr>
        <w:t>Keywords:</w:t>
      </w:r>
      <w:r>
        <w:rPr>
          <w:rFonts w:ascii="Verdana" w:hAnsi="Verdana"/>
          <w:i/>
          <w:sz w:val="20"/>
          <w:szCs w:val="20"/>
          <w:lang w:val="sk-SK"/>
        </w:rPr>
        <w:t xml:space="preserve"> </w:t>
      </w:r>
      <w:r>
        <w:rPr>
          <w:rFonts w:ascii="Verdana" w:hAnsi="Verdana"/>
          <w:sz w:val="20"/>
          <w:szCs w:val="20"/>
          <w:lang w:val="en-GB"/>
        </w:rPr>
        <w:t>beneficent lottery</w:t>
      </w:r>
      <w:r>
        <w:rPr>
          <w:rStyle w:val="alt-edited1"/>
          <w:sz w:val="20"/>
          <w:szCs w:val="20"/>
          <w:lang w:val="en-GB"/>
        </w:rPr>
        <w:t>,</w:t>
      </w:r>
      <w:r>
        <w:rPr>
          <w:rFonts w:ascii="Verdana" w:hAnsi="Verdana"/>
          <w:sz w:val="20"/>
          <w:szCs w:val="20"/>
          <w:lang w:val="en-GB"/>
        </w:rPr>
        <w:t xml:space="preserve"> non-profit accounting entities, source of financing</w:t>
      </w:r>
    </w:p>
    <w:p w:rsidR="005C3F63" w:rsidRDefault="006536E7">
      <w:pPr>
        <w:rPr>
          <w:rFonts w:ascii="Verdana" w:hAnsi="Verdana"/>
          <w:sz w:val="20"/>
          <w:szCs w:val="20"/>
          <w:lang w:val="en-GB"/>
        </w:rPr>
      </w:pPr>
      <w:r>
        <w:rPr>
          <w:rFonts w:ascii="Verdana" w:hAnsi="Verdana"/>
          <w:sz w:val="20"/>
          <w:szCs w:val="20"/>
          <w:lang w:val="en-GB"/>
        </w:rPr>
        <w:t xml:space="preserve"> </w:t>
      </w:r>
    </w:p>
    <w:p w:rsidR="005C3F63" w:rsidRDefault="006536E7">
      <w:pPr>
        <w:pStyle w:val="04-Anotacijostekstas"/>
        <w:spacing w:before="0" w:after="120"/>
        <w:ind w:left="0" w:right="-284"/>
        <w:jc w:val="left"/>
        <w:rPr>
          <w:rFonts w:ascii="Verdana" w:hAnsi="Verdana"/>
          <w:i/>
          <w:lang w:val="sk-SK"/>
        </w:rPr>
      </w:pPr>
      <w:r>
        <w:rPr>
          <w:rFonts w:ascii="Verdana" w:hAnsi="Verdana"/>
          <w:i/>
          <w:lang w:val="sk-SK"/>
        </w:rPr>
        <w:t>JEL codes: L30, L31</w:t>
      </w:r>
    </w:p>
    <w:p w:rsidR="005C3F63" w:rsidRDefault="006536E7">
      <w:pPr>
        <w:pStyle w:val="Kapitola"/>
        <w:rPr>
          <w:lang w:val="cs-CZ"/>
        </w:rPr>
      </w:pPr>
      <w:r>
        <w:rPr>
          <w:bCs w:val="0"/>
          <w:lang w:val="cs-CZ"/>
        </w:rPr>
        <w:t>1 Úvod / Introduction</w:t>
      </w:r>
    </w:p>
    <w:p w:rsidR="005C3F63" w:rsidRDefault="006536E7">
      <w:pPr>
        <w:pStyle w:val="Text"/>
        <w:spacing w:before="0" w:after="120"/>
        <w:rPr>
          <w:rFonts w:ascii="Verdana" w:hAnsi="Verdana"/>
          <w:sz w:val="20"/>
          <w:szCs w:val="20"/>
          <w:lang w:val="sk-SK"/>
        </w:rPr>
      </w:pPr>
      <w:r>
        <w:rPr>
          <w:rFonts w:ascii="Verdana" w:hAnsi="Verdana"/>
          <w:sz w:val="20"/>
          <w:szCs w:val="20"/>
          <w:lang w:val="sk-SK"/>
        </w:rPr>
        <w:t>Neziskové účtovné jednotky potrebujú viaceré rôznorodé zdroje financovania pre napĺňanie svojej hlavnej činnosti, nakoľko závislosť len na jednom, prípadne dvoch zdrojoch financovania by mohla významne ohroziť ich fungovanie, ak by nastala situácia, že tieto zdroje financovania začnú absentovať.</w:t>
      </w:r>
    </w:p>
    <w:p w:rsidR="005C3F63" w:rsidRDefault="006536E7">
      <w:pPr>
        <w:pStyle w:val="Text"/>
        <w:spacing w:before="0" w:after="120"/>
        <w:rPr>
          <w:rFonts w:ascii="Verdana" w:hAnsi="Verdana"/>
          <w:sz w:val="20"/>
          <w:szCs w:val="20"/>
          <w:lang w:val="sk-SK"/>
        </w:rPr>
      </w:pPr>
      <w:r>
        <w:rPr>
          <w:rFonts w:ascii="Verdana" w:hAnsi="Verdana"/>
          <w:sz w:val="20"/>
          <w:szCs w:val="20"/>
          <w:lang w:val="sk-SK"/>
        </w:rPr>
        <w:t>Charitatívna lotéria predstavuje alternatívny zdroj financovania vymedzených neziskových účtovných jednotiek v Slovenskej republike a zaraďuje sa medzi nové inštitúty financovania. Charitatívna lotéria je nástrojom zbližovania neziskového sektora s občianskou spoločnosťou a môžeme ju definovať ako hazardnú hru, v ktorej sa kombinujú niektoré znaky lotériových hier a stávkových hier.</w:t>
      </w:r>
    </w:p>
    <w:p w:rsidR="005C3F63" w:rsidRDefault="006536E7">
      <w:pPr>
        <w:pStyle w:val="Text"/>
        <w:spacing w:before="0" w:after="120"/>
        <w:rPr>
          <w:rFonts w:ascii="Verdana" w:hAnsi="Verdana"/>
          <w:sz w:val="20"/>
          <w:szCs w:val="20"/>
          <w:lang w:val="sk-SK"/>
        </w:rPr>
      </w:pPr>
      <w:r>
        <w:rPr>
          <w:rFonts w:ascii="Verdana" w:hAnsi="Verdana"/>
          <w:sz w:val="20"/>
          <w:szCs w:val="20"/>
          <w:lang w:val="sk-SK"/>
        </w:rPr>
        <w:t>Príspevok je zameraný na skúmanie inštitútu charitatívnej lotérie v podmienkach neziskových účtovných jednotiek v Európe a osobitne v Slovenskej republike. Cieľom skúmania tohto nového inštitútu financovania je poukázanie na význam a osobitosti charitatívnej lotérie v podmienkach neziskových účtovných jednotiek.</w:t>
      </w:r>
    </w:p>
    <w:p w:rsidR="005C3F63" w:rsidRDefault="006536E7">
      <w:pPr>
        <w:pStyle w:val="Text"/>
        <w:spacing w:after="120"/>
        <w:rPr>
          <w:rFonts w:ascii="Verdana" w:hAnsi="Verdana"/>
          <w:sz w:val="20"/>
          <w:szCs w:val="20"/>
          <w:lang w:val="sk-SK"/>
        </w:rPr>
      </w:pPr>
      <w:r>
        <w:rPr>
          <w:rFonts w:ascii="Verdana" w:hAnsi="Verdana"/>
          <w:sz w:val="20"/>
          <w:szCs w:val="20"/>
          <w:lang w:val="sk-SK"/>
        </w:rPr>
        <w:t>Charitatívna lotéria je hazardná hra, ktorá má niektoré znaky lotériových hier vrátane znakov číselnej lotérie a niektoré znaky stávkových hier vrátane znakov nešportovej stávkovej udalosti. (zákon o hazardných hrách, 2019)</w:t>
      </w:r>
    </w:p>
    <w:p w:rsidR="005C3F63" w:rsidRDefault="006536E7">
      <w:pPr>
        <w:pStyle w:val="Text"/>
        <w:spacing w:after="120"/>
        <w:rPr>
          <w:rFonts w:ascii="Verdana" w:hAnsi="Verdana"/>
          <w:sz w:val="20"/>
          <w:szCs w:val="20"/>
          <w:lang w:val="sk-SK"/>
        </w:rPr>
      </w:pPr>
      <w:r>
        <w:rPr>
          <w:rFonts w:ascii="Verdana" w:hAnsi="Verdana"/>
          <w:sz w:val="20"/>
          <w:szCs w:val="20"/>
          <w:lang w:val="sk-SK"/>
        </w:rPr>
        <w:t>Z neziskových účtovných jednotiek na Slovensku je možné udeliť individuálnu licenciu na prevádzkovanie charitatívnej lotérie len nadáciám alebo záujmovým združeniam nadácií, pričom tieto organizácie musia mať sídlo na území Slovenskej republiky.</w:t>
      </w:r>
    </w:p>
    <w:p w:rsidR="005C3F63" w:rsidRDefault="006536E7">
      <w:pPr>
        <w:spacing w:before="240" w:after="120"/>
        <w:jc w:val="left"/>
        <w:rPr>
          <w:rFonts w:ascii="Verdana" w:hAnsi="Verdana" w:cs="Arial"/>
          <w:bCs/>
          <w:kern w:val="32"/>
          <w:sz w:val="18"/>
          <w:szCs w:val="18"/>
          <w:lang w:val="sk-SK" w:eastAsia="cs-CZ" w:bidi="ar-SA"/>
        </w:rPr>
      </w:pPr>
      <w:r>
        <w:rPr>
          <w:rStyle w:val="KapitolaChar"/>
          <w:lang w:val="sk-SK"/>
        </w:rPr>
        <w:t>2 Metodológia a údaje / Methodology and Data</w:t>
      </w:r>
    </w:p>
    <w:p w:rsidR="005C3F63" w:rsidRDefault="006536E7">
      <w:pPr>
        <w:pStyle w:val="Text"/>
        <w:spacing w:before="0" w:after="120"/>
        <w:rPr>
          <w:rFonts w:ascii="Verdana" w:hAnsi="Verdana"/>
          <w:sz w:val="20"/>
          <w:szCs w:val="20"/>
          <w:lang w:val="sk-SK"/>
        </w:rPr>
      </w:pPr>
      <w:r>
        <w:rPr>
          <w:rFonts w:ascii="Verdana" w:hAnsi="Verdana"/>
          <w:sz w:val="20"/>
          <w:szCs w:val="20"/>
          <w:lang w:val="sk-SK"/>
        </w:rPr>
        <w:t>Objektom nášho skúmania je inštitút charitatívnej lotérie ako alternatívny zdroj financovania určený pre vymedzené právne formy neziskových účtovných jednotiek.</w:t>
      </w:r>
    </w:p>
    <w:p w:rsidR="005C3F63" w:rsidRDefault="006536E7">
      <w:pPr>
        <w:pStyle w:val="af3"/>
        <w:jc w:val="both"/>
        <w:rPr>
          <w:rFonts w:ascii="Verdana" w:hAnsi="Verdana"/>
          <w:sz w:val="20"/>
          <w:szCs w:val="20"/>
        </w:rPr>
      </w:pPr>
      <w:r>
        <w:rPr>
          <w:rFonts w:ascii="Verdana" w:hAnsi="Verdana"/>
          <w:sz w:val="20"/>
          <w:szCs w:val="20"/>
        </w:rPr>
        <w:t>Základom pre spracovanie príspevku boli rôznorodé literárne zdroje, okrem iných aj článok publikovaný vo vedeckom časopise (Subačien, Alver, Bruna, Hladika, Mokošová, Molín, 2018) a viaceré</w:t>
      </w:r>
      <w:r>
        <w:rPr>
          <w:rFonts w:ascii="Verdana" w:hAnsi="Verdana"/>
          <w:b/>
          <w:sz w:val="20"/>
          <w:szCs w:val="20"/>
        </w:rPr>
        <w:t xml:space="preserve"> </w:t>
      </w:r>
      <w:r>
        <w:rPr>
          <w:rFonts w:ascii="Verdana" w:hAnsi="Verdana"/>
          <w:sz w:val="20"/>
          <w:szCs w:val="20"/>
        </w:rPr>
        <w:t>príspevky publikované v zborníkoch z vedeckých konferencií (Hornická, 2016),</w:t>
      </w:r>
      <w:r>
        <w:rPr>
          <w:rFonts w:ascii="Verdana" w:hAnsi="Verdana" w:cs="Arial"/>
          <w:sz w:val="20"/>
          <w:szCs w:val="20"/>
        </w:rPr>
        <w:t xml:space="preserve"> (</w:t>
      </w:r>
      <w:hyperlink r:id="rId120" w:tooltip="Find more records by this author" w:history="1">
        <w:r>
          <w:rPr>
            <w:rStyle w:val="af9"/>
            <w:rFonts w:ascii="Verdana" w:hAnsi="Verdana" w:cs="Arial"/>
            <w:color w:val="auto"/>
            <w:sz w:val="20"/>
            <w:szCs w:val="20"/>
            <w:u w:val="none"/>
          </w:rPr>
          <w:t>Pakšiová,</w:t>
        </w:r>
      </w:hyperlink>
      <w:r>
        <w:rPr>
          <w:rFonts w:ascii="Verdana" w:hAnsi="Verdana" w:cs="Arial"/>
          <w:sz w:val="20"/>
          <w:szCs w:val="20"/>
        </w:rPr>
        <w:t xml:space="preserve"> </w:t>
      </w:r>
      <w:hyperlink r:id="rId121" w:tooltip="Find more records by this author" w:history="1">
        <w:r>
          <w:rPr>
            <w:rStyle w:val="af9"/>
            <w:rFonts w:ascii="Verdana" w:hAnsi="Verdana" w:cs="Arial"/>
            <w:color w:val="auto"/>
            <w:sz w:val="20"/>
            <w:szCs w:val="20"/>
            <w:u w:val="none"/>
          </w:rPr>
          <w:t>Kubaščíková,</w:t>
        </w:r>
      </w:hyperlink>
      <w:r>
        <w:rPr>
          <w:rFonts w:ascii="Verdana" w:hAnsi="Verdana" w:cs="Arial"/>
          <w:sz w:val="20"/>
          <w:szCs w:val="20"/>
        </w:rPr>
        <w:t> </w:t>
      </w:r>
      <w:hyperlink r:id="rId122" w:tooltip="Find more records by this author" w:history="1">
        <w:r>
          <w:rPr>
            <w:rStyle w:val="af9"/>
            <w:rFonts w:ascii="Verdana" w:hAnsi="Verdana" w:cs="Arial"/>
            <w:color w:val="auto"/>
            <w:sz w:val="20"/>
            <w:szCs w:val="20"/>
            <w:u w:val="none"/>
          </w:rPr>
          <w:t>Kršeková,</w:t>
        </w:r>
      </w:hyperlink>
      <w:r>
        <w:rPr>
          <w:rFonts w:ascii="Verdana" w:hAnsi="Verdana" w:cs="Arial"/>
          <w:sz w:val="20"/>
          <w:szCs w:val="20"/>
        </w:rPr>
        <w:t xml:space="preserve"> 2015)</w:t>
      </w:r>
      <w:r>
        <w:rPr>
          <w:rFonts w:ascii="Verdana" w:hAnsi="Verdana"/>
          <w:sz w:val="20"/>
          <w:szCs w:val="20"/>
        </w:rPr>
        <w:t>, (Vašeková, 2016).</w:t>
      </w:r>
    </w:p>
    <w:p w:rsidR="005C3F63" w:rsidRDefault="006536E7">
      <w:pPr>
        <w:pStyle w:val="Text"/>
        <w:spacing w:before="0" w:after="120"/>
        <w:rPr>
          <w:rFonts w:ascii="Verdana" w:hAnsi="Verdana"/>
          <w:sz w:val="20"/>
          <w:szCs w:val="20"/>
          <w:lang w:val="sk-SK" w:eastAsia="sk-SK"/>
        </w:rPr>
      </w:pPr>
      <w:r>
        <w:rPr>
          <w:rFonts w:ascii="Verdana" w:hAnsi="Verdana"/>
          <w:sz w:val="20"/>
          <w:szCs w:val="20"/>
          <w:lang w:val="sk-SK"/>
        </w:rPr>
        <w:t>V súčasnosti, od 1. marca 2019, je charitatívna lotéria v Slovenskej republike právne upravená z</w:t>
      </w:r>
      <w:r>
        <w:rPr>
          <w:rFonts w:ascii="Verdana" w:hAnsi="Verdana"/>
          <w:sz w:val="20"/>
          <w:szCs w:val="20"/>
          <w:lang w:val="sk-SK" w:eastAsia="sk-SK"/>
        </w:rPr>
        <w:t xml:space="preserve">ákonom č. 30/2019 Z. z. o hazardných hrách a o zmene a doplnení niektorých </w:t>
      </w:r>
      <w:r>
        <w:rPr>
          <w:rFonts w:ascii="Verdana" w:hAnsi="Verdana"/>
          <w:sz w:val="20"/>
          <w:szCs w:val="20"/>
          <w:lang w:val="sk-SK" w:eastAsia="sk-SK"/>
        </w:rPr>
        <w:lastRenderedPageBreak/>
        <w:t xml:space="preserve">zákonov v znení neskorších predpisov. Vytvorenie legislatívnych podmienok pre prevádzkovanie charitatívnej lotérie ako nového druhu hazardnej hry však nastalo 1. januára 2010, kedy nadobudol účinnosť </w:t>
      </w:r>
      <w:r>
        <w:rPr>
          <w:rFonts w:ascii="Verdana" w:hAnsi="Verdana"/>
          <w:sz w:val="20"/>
          <w:szCs w:val="20"/>
          <w:lang w:val="sk-SK"/>
        </w:rPr>
        <w:t>z</w:t>
      </w:r>
      <w:r>
        <w:rPr>
          <w:rFonts w:ascii="Verdana" w:hAnsi="Verdana"/>
          <w:sz w:val="20"/>
          <w:szCs w:val="20"/>
          <w:lang w:val="sk-SK" w:eastAsia="sk-SK"/>
        </w:rPr>
        <w:t>ákon č. 478/2009 Z. z., ktorým sa menil a dopĺňal zákon č. 171/2005 Z. z. o hazardných hrách a o zmene a doplnení niektorých zákonov v znení neskorších predpisov, ktorý mal platnosť do 28. februára 2019.</w:t>
      </w:r>
    </w:p>
    <w:p w:rsidR="005C3F63" w:rsidRDefault="006536E7">
      <w:pPr>
        <w:pStyle w:val="Text"/>
        <w:spacing w:before="0" w:after="120"/>
        <w:rPr>
          <w:rFonts w:ascii="Verdana" w:hAnsi="Verdana"/>
          <w:sz w:val="20"/>
          <w:szCs w:val="20"/>
          <w:lang w:val="sk-SK"/>
        </w:rPr>
      </w:pPr>
      <w:r>
        <w:rPr>
          <w:rFonts w:ascii="Verdana" w:hAnsi="Verdana"/>
          <w:sz w:val="20"/>
          <w:szCs w:val="20"/>
          <w:lang w:val="sk-SK"/>
        </w:rPr>
        <w:t>Na základe analýzy vývoja a súčasného právneho stavu inštitútu charitatívnej lotérie v podmienkach neziskových účtovných jednotiek a ďalšej vedeckej a odbornej literatúry vymedzujeme najprv pojem charitatívnej lotérie v zahraničí a v podmienkach Slovenskej republiky.</w:t>
      </w:r>
    </w:p>
    <w:p w:rsidR="005C3F63" w:rsidRDefault="006536E7">
      <w:pPr>
        <w:pStyle w:val="a1"/>
        <w:rPr>
          <w:rFonts w:ascii="Verdana" w:hAnsi="Verdana"/>
          <w:sz w:val="20"/>
          <w:szCs w:val="20"/>
          <w:lang w:val="sk-SK"/>
        </w:rPr>
      </w:pPr>
      <w:r>
        <w:rPr>
          <w:rFonts w:ascii="Verdana" w:hAnsi="Verdana"/>
          <w:sz w:val="20"/>
          <w:szCs w:val="20"/>
          <w:lang w:val="sk-SK"/>
        </w:rPr>
        <w:t>V rámci ďalšieho skúmania tohto nového inštitútu financovania v neziskových účtovných jednotkách, ktorý hlbšie analyzujeme na základe dlhoročného pozorovania procesu diskusie zástupcov tretieho sektora a Ministerstva financií SR sa zameriavame na tieto oblasti inštitútu charitatívnej lotérie:</w:t>
      </w:r>
    </w:p>
    <w:p w:rsidR="005C3F63" w:rsidRDefault="006536E7">
      <w:pPr>
        <w:pStyle w:val="a1"/>
        <w:numPr>
          <w:ilvl w:val="0"/>
          <w:numId w:val="17"/>
        </w:numPr>
        <w:ind w:left="714" w:hanging="357"/>
        <w:rPr>
          <w:rFonts w:ascii="Verdana" w:hAnsi="Verdana"/>
          <w:sz w:val="20"/>
          <w:szCs w:val="20"/>
          <w:lang w:val="sk-SK"/>
        </w:rPr>
      </w:pPr>
      <w:r>
        <w:rPr>
          <w:rFonts w:ascii="Verdana" w:hAnsi="Verdana"/>
          <w:sz w:val="20"/>
          <w:szCs w:val="20"/>
          <w:lang w:val="sk-SK"/>
        </w:rPr>
        <w:t>postavenie charitatívnej lotérie v Európe,</w:t>
      </w:r>
    </w:p>
    <w:p w:rsidR="005C3F63" w:rsidRDefault="006536E7">
      <w:pPr>
        <w:pStyle w:val="a1"/>
        <w:numPr>
          <w:ilvl w:val="0"/>
          <w:numId w:val="17"/>
        </w:numPr>
        <w:ind w:left="714" w:hanging="357"/>
        <w:rPr>
          <w:rFonts w:ascii="Verdana" w:hAnsi="Verdana"/>
          <w:sz w:val="20"/>
          <w:szCs w:val="20"/>
          <w:lang w:val="sk-SK"/>
        </w:rPr>
      </w:pPr>
      <w:r>
        <w:rPr>
          <w:rFonts w:ascii="Verdana" w:hAnsi="Verdana"/>
          <w:sz w:val="20"/>
          <w:szCs w:val="20"/>
          <w:lang w:val="sk-SK"/>
        </w:rPr>
        <w:t>postavenie charitatívnej lotérie v Slovenskej republike.</w:t>
      </w:r>
    </w:p>
    <w:p w:rsidR="005C3F63" w:rsidRDefault="006536E7">
      <w:pPr>
        <w:pStyle w:val="a1"/>
        <w:rPr>
          <w:rFonts w:ascii="Verdana" w:hAnsi="Verdana"/>
          <w:sz w:val="20"/>
          <w:szCs w:val="20"/>
          <w:lang w:val="sk-SK"/>
        </w:rPr>
      </w:pPr>
      <w:r>
        <w:rPr>
          <w:rFonts w:ascii="Verdana" w:hAnsi="Verdana"/>
          <w:sz w:val="20"/>
          <w:szCs w:val="20"/>
          <w:lang w:val="sk-SK"/>
        </w:rPr>
        <w:t>V príspevku sú použité viaceré vedecké metódy, najmä však analýza inštitútu charitatívnej lotérie v neziskových účtovných jednotkách s cieľom identifikovať osobitosti charitatívnej lotérie v jednotlivých skúmaných oblastiach s uvedením vlastných záverov a zhodnotení. Pri spracovaní príspevku postupujeme od všeobecného ku konkrétnemu, vo veľkej miere používame induktívno-deduktívny prístup a komparáciu. (Blahušiaková, 2016)</w:t>
      </w:r>
    </w:p>
    <w:p w:rsidR="005C3F63" w:rsidRDefault="006536E7">
      <w:pPr>
        <w:pStyle w:val="Kapitola"/>
        <w:rPr>
          <w:lang w:val="sk-SK"/>
        </w:rPr>
      </w:pPr>
      <w:r>
        <w:rPr>
          <w:szCs w:val="22"/>
          <w:lang w:val="sk-SK"/>
        </w:rPr>
        <w:t>3 Výsledky a diskusia / Results and Discussion</w:t>
      </w:r>
    </w:p>
    <w:p w:rsidR="005C3F63" w:rsidRDefault="006536E7">
      <w:pPr>
        <w:spacing w:after="120"/>
        <w:rPr>
          <w:rFonts w:ascii="Verdana" w:hAnsi="Verdana"/>
          <w:sz w:val="20"/>
          <w:szCs w:val="20"/>
          <w:lang w:val="sk-SK"/>
        </w:rPr>
      </w:pPr>
      <w:r>
        <w:rPr>
          <w:rFonts w:ascii="Verdana" w:hAnsi="Verdana"/>
          <w:sz w:val="20"/>
          <w:szCs w:val="20"/>
          <w:lang w:val="sk-SK"/>
        </w:rPr>
        <w:t>Charitatívna lotéria, ktorú Rada vlády pre mimovládne neziskové organizácie zaradila už v roku 2008 medzi jeden z piatich hlavných typov financovania mimovládnych neziskových organizácií, súvisí s aktivitami smerujúcimi ku komplexnej reforme v oblasti financovania aktivít mimovládnych neziskových organizácií za účelom udržateľnosti všeobecne prospešných aktivít neziskového sektora. Cieľ sa má dosiahnuť prostredníctvom zefektívnenia poskytovania verejných zdrojov a rozvoja súkromných zdrojov pre mimovládne neziskové organizácie. (Kušníriková, 2019)</w:t>
      </w:r>
    </w:p>
    <w:p w:rsidR="005C3F63" w:rsidRDefault="006536E7">
      <w:pPr>
        <w:spacing w:after="120"/>
        <w:rPr>
          <w:rFonts w:ascii="Verdana" w:hAnsi="Verdana"/>
          <w:sz w:val="20"/>
          <w:szCs w:val="20"/>
          <w:lang w:val="sk-SK"/>
        </w:rPr>
      </w:pPr>
      <w:r>
        <w:rPr>
          <w:rFonts w:ascii="Verdana" w:hAnsi="Verdana"/>
          <w:sz w:val="20"/>
          <w:szCs w:val="20"/>
          <w:lang w:val="sk-SK"/>
        </w:rPr>
        <w:t xml:space="preserve">Štátne alebo súkromné lotérie v rôznych krajinách darujú časť svojich dosiahnutých ziskov na verejnoprospešné účely. Ich výška je rôznorodá, od relatívne nízkych súm smerujúcich do jednej oblasti, napríklad do športu až po významné sumy smerujúce do rôznych oblastí verejného záujmu. </w:t>
      </w:r>
    </w:p>
    <w:p w:rsidR="005C3F63" w:rsidRDefault="006536E7">
      <w:pPr>
        <w:spacing w:after="120"/>
        <w:rPr>
          <w:rFonts w:ascii="Verdana" w:hAnsi="Verdana"/>
          <w:sz w:val="20"/>
          <w:szCs w:val="20"/>
          <w:lang w:val="sk-SK"/>
        </w:rPr>
      </w:pPr>
      <w:r>
        <w:rPr>
          <w:rFonts w:ascii="Verdana" w:hAnsi="Verdana"/>
          <w:sz w:val="20"/>
          <w:szCs w:val="20"/>
          <w:lang w:val="sk-SK"/>
        </w:rPr>
        <w:t>Charitatívna lotéria v porovnaní s komerčnou lotériou má svoje špecifické charakteristiky. O charitatívnej lotérii môžeme hovoriť, ak spĺňa nasledujúce charakteristiky:</w:t>
      </w:r>
    </w:p>
    <w:p w:rsidR="005C3F63" w:rsidRDefault="006536E7">
      <w:pPr>
        <w:numPr>
          <w:ilvl w:val="0"/>
          <w:numId w:val="18"/>
        </w:numPr>
        <w:spacing w:after="120"/>
        <w:rPr>
          <w:rFonts w:ascii="Verdana" w:hAnsi="Verdana"/>
          <w:sz w:val="20"/>
          <w:szCs w:val="20"/>
          <w:lang w:val="sk-SK"/>
        </w:rPr>
      </w:pPr>
      <w:r>
        <w:rPr>
          <w:rFonts w:ascii="Verdana" w:hAnsi="Verdana"/>
          <w:sz w:val="20"/>
          <w:szCs w:val="20"/>
          <w:lang w:val="sk-SK"/>
        </w:rPr>
        <w:t>charitatívna lotéria je prevádzkovaná súkromne, ale za podmienky udelenia licencie národnou vládou,</w:t>
      </w:r>
    </w:p>
    <w:p w:rsidR="005C3F63" w:rsidRDefault="006536E7">
      <w:pPr>
        <w:numPr>
          <w:ilvl w:val="0"/>
          <w:numId w:val="18"/>
        </w:numPr>
        <w:spacing w:after="120"/>
        <w:rPr>
          <w:rFonts w:ascii="Verdana" w:hAnsi="Verdana"/>
          <w:sz w:val="20"/>
          <w:szCs w:val="20"/>
          <w:lang w:val="sk-SK"/>
        </w:rPr>
      </w:pPr>
      <w:r>
        <w:rPr>
          <w:rFonts w:ascii="Verdana" w:hAnsi="Verdana"/>
          <w:sz w:val="20"/>
          <w:szCs w:val="20"/>
          <w:lang w:val="sk-SK"/>
        </w:rPr>
        <w:t>hlavným cieľom je získavať finančné prostriedky pre charitatívne organizácie, pričom by sa malo jednať o spoľahlivé a dlhodobé finančné podporovanie týchto organizácií,</w:t>
      </w:r>
    </w:p>
    <w:p w:rsidR="005C3F63" w:rsidRDefault="006536E7">
      <w:pPr>
        <w:numPr>
          <w:ilvl w:val="0"/>
          <w:numId w:val="18"/>
        </w:numPr>
        <w:rPr>
          <w:rFonts w:ascii="Verdana" w:hAnsi="Verdana"/>
          <w:sz w:val="20"/>
          <w:szCs w:val="20"/>
          <w:lang w:val="sk-SK"/>
        </w:rPr>
      </w:pPr>
      <w:r>
        <w:rPr>
          <w:rFonts w:ascii="Verdana" w:hAnsi="Verdana"/>
          <w:sz w:val="20"/>
          <w:szCs w:val="20"/>
          <w:lang w:val="sk-SK"/>
        </w:rPr>
        <w:t xml:space="preserve">charitatívna lotéria poskytuje inštitucionálnu podporu, kde príjemca sám rozhoduje o použití finančných prostriedkov. </w:t>
      </w:r>
    </w:p>
    <w:p w:rsidR="005C3F63" w:rsidRDefault="006536E7">
      <w:pPr>
        <w:spacing w:after="120"/>
        <w:rPr>
          <w:rFonts w:ascii="Verdana" w:hAnsi="Verdana"/>
          <w:sz w:val="20"/>
          <w:szCs w:val="20"/>
          <w:lang w:val="sk-SK"/>
        </w:rPr>
      </w:pPr>
      <w:r>
        <w:rPr>
          <w:rFonts w:ascii="Verdana" w:hAnsi="Verdana"/>
          <w:sz w:val="20"/>
          <w:szCs w:val="20"/>
          <w:lang w:val="sk-SK"/>
        </w:rPr>
        <w:t xml:space="preserve">          </w:t>
      </w:r>
      <w:r>
        <w:rPr>
          <w:rFonts w:ascii="Verdana" w:hAnsi="Verdana" w:cs="Arial"/>
          <w:sz w:val="20"/>
          <w:szCs w:val="20"/>
          <w:lang w:val="sk-SK"/>
        </w:rPr>
        <w:t>(</w:t>
      </w:r>
      <w:hyperlink r:id="rId123" w:history="1">
        <w:r>
          <w:rPr>
            <w:rStyle w:val="af9"/>
            <w:rFonts w:ascii="Verdana" w:hAnsi="Verdana"/>
            <w:color w:val="auto"/>
            <w:sz w:val="20"/>
            <w:szCs w:val="20"/>
            <w:lang w:val="sk-SK"/>
          </w:rPr>
          <w:t>https://www.acleu.eu/index.php/charity-lotteries</w:t>
        </w:r>
      </w:hyperlink>
      <w:r>
        <w:rPr>
          <w:rFonts w:ascii="Verdana" w:hAnsi="Verdana"/>
          <w:sz w:val="20"/>
          <w:szCs w:val="20"/>
          <w:lang w:val="sk-SK"/>
        </w:rPr>
        <w:t>)</w:t>
      </w:r>
    </w:p>
    <w:p w:rsidR="005C3F63" w:rsidRDefault="006536E7">
      <w:pPr>
        <w:spacing w:after="120"/>
        <w:rPr>
          <w:rFonts w:ascii="Verdana" w:hAnsi="Verdana"/>
          <w:sz w:val="20"/>
          <w:szCs w:val="20"/>
          <w:lang w:val="sk-SK"/>
        </w:rPr>
      </w:pPr>
      <w:r>
        <w:rPr>
          <w:rFonts w:ascii="Verdana" w:hAnsi="Verdana"/>
          <w:b/>
          <w:sz w:val="20"/>
          <w:szCs w:val="20"/>
          <w:lang w:val="sk-SK" w:eastAsia="sk-SK"/>
        </w:rPr>
        <w:t>Inštitút charitatívnej lotérie v Európe</w:t>
      </w:r>
    </w:p>
    <w:p w:rsidR="005C3F63" w:rsidRDefault="006536E7">
      <w:pPr>
        <w:spacing w:after="120"/>
        <w:rPr>
          <w:rFonts w:ascii="Verdana" w:hAnsi="Verdana"/>
          <w:sz w:val="20"/>
          <w:szCs w:val="20"/>
          <w:lang w:val="sk-SK"/>
        </w:rPr>
      </w:pPr>
      <w:r>
        <w:rPr>
          <w:rFonts w:ascii="Verdana" w:hAnsi="Verdana"/>
          <w:sz w:val="20"/>
          <w:szCs w:val="20"/>
          <w:lang w:val="sk-SK"/>
        </w:rPr>
        <w:t>V súčasnosti, podľa dostupných zdrojov, charitatívne lotérie v Európe existujú len v siedmich krajinách, a to v Dánsku, Holandsku, Írsku, Nemecku, Španielsku, Švédsku a Veľkej Británii.</w:t>
      </w:r>
    </w:p>
    <w:p w:rsidR="005C3F63" w:rsidRDefault="006536E7">
      <w:pPr>
        <w:rPr>
          <w:rFonts w:ascii="Verdana" w:hAnsi="Verdana" w:cs="Arial"/>
          <w:sz w:val="20"/>
          <w:szCs w:val="20"/>
          <w:lang w:val="sk-SK"/>
        </w:rPr>
      </w:pPr>
      <w:r>
        <w:rPr>
          <w:rFonts w:ascii="Verdana" w:hAnsi="Verdana"/>
          <w:sz w:val="20"/>
          <w:szCs w:val="20"/>
          <w:lang w:val="sk-SK"/>
        </w:rPr>
        <w:t xml:space="preserve">V Dánsku sú najdôležitejšími zákonmi dánskeho právneho rámca v oblasti hazardných hier zákon o zákaze lotérií, zákon o určitých hrách, lotériách a stávkach a zákon </w:t>
      </w:r>
      <w:r>
        <w:rPr>
          <w:rFonts w:ascii="Verdana" w:hAnsi="Verdana"/>
          <w:sz w:val="20"/>
          <w:szCs w:val="20"/>
          <w:lang w:val="sk-SK"/>
        </w:rPr>
        <w:lastRenderedPageBreak/>
        <w:t xml:space="preserve">o štátnych lotériách. Lotérie sú zakázané, pokiaľ ministerstvo spravodlivosti neudelí povolenie. Za charitatívnu lotériu v Dánsku je považovaná len jedna lotéria, ktoré spĺňa kritériá charitatívnej lotérie, a je ňou charitatívna lotéria </w:t>
      </w:r>
      <w:r>
        <w:rPr>
          <w:rFonts w:ascii="Verdana" w:hAnsi="Verdana" w:cs="Arial"/>
          <w:i/>
          <w:sz w:val="20"/>
          <w:szCs w:val="20"/>
          <w:lang w:val="sk-SK"/>
        </w:rPr>
        <w:t>Kræftens Bekæmpelse</w:t>
      </w:r>
      <w:r>
        <w:rPr>
          <w:rFonts w:ascii="Verdana" w:hAnsi="Verdana" w:cs="Arial"/>
          <w:sz w:val="20"/>
          <w:szCs w:val="20"/>
          <w:lang w:val="sk-SK"/>
        </w:rPr>
        <w:t>. Ide o Dánsku spoločnosť pre rakovinu, ktorá desaťkrát do roka organizuje lotériu a jej hlavnou činnosťou je predchádzanie šíreniu rakoviny, zvyšovanie možností pacientov na uzdravenie a obmedzovanie vedľajších účinkov rakoviny.</w:t>
      </w:r>
    </w:p>
    <w:p w:rsidR="005C3F63" w:rsidRDefault="006536E7">
      <w:pPr>
        <w:spacing w:after="120"/>
        <w:rPr>
          <w:rFonts w:ascii="Verdana" w:hAnsi="Verdana" w:cs="Arial"/>
          <w:sz w:val="20"/>
          <w:szCs w:val="20"/>
          <w:lang w:val="sk-SK"/>
        </w:rPr>
      </w:pPr>
      <w:r>
        <w:rPr>
          <w:rFonts w:ascii="Verdana" w:hAnsi="Verdana" w:cs="Arial"/>
          <w:sz w:val="20"/>
          <w:szCs w:val="20"/>
          <w:lang w:val="sk-SK"/>
        </w:rPr>
        <w:t>(</w:t>
      </w:r>
      <w:hyperlink r:id="rId124" w:history="1">
        <w:r>
          <w:rPr>
            <w:rStyle w:val="af9"/>
            <w:rFonts w:ascii="Verdana" w:hAnsi="Verdana"/>
            <w:color w:val="auto"/>
            <w:sz w:val="20"/>
            <w:szCs w:val="20"/>
            <w:lang w:val="sk-SK"/>
          </w:rPr>
          <w:t>https://www.acleu.eu/index.php/charity-lotteries/denmark</w:t>
        </w:r>
      </w:hyperlink>
      <w:r>
        <w:rPr>
          <w:rFonts w:ascii="Verdana" w:hAnsi="Verdana"/>
          <w:sz w:val="20"/>
          <w:szCs w:val="20"/>
          <w:lang w:val="sk-SK"/>
        </w:rPr>
        <w:t>)</w:t>
      </w:r>
    </w:p>
    <w:p w:rsidR="005C3F63" w:rsidRDefault="006536E7">
      <w:pPr>
        <w:spacing w:after="120"/>
        <w:rPr>
          <w:rFonts w:ascii="Verdana" w:hAnsi="Verdana" w:cs="Arial"/>
          <w:sz w:val="20"/>
          <w:szCs w:val="20"/>
          <w:lang w:val="sk-SK"/>
        </w:rPr>
      </w:pPr>
      <w:r>
        <w:rPr>
          <w:rFonts w:ascii="Verdana" w:hAnsi="Verdana"/>
          <w:sz w:val="20"/>
          <w:szCs w:val="20"/>
          <w:lang w:val="sk-SK"/>
        </w:rPr>
        <w:t>V Holandsku je zákonom o hazardných hrách z roku 1964 zakázané prevádzkovať verejné hry bez licencie. Licencie vydáva Úrad pre hazardné hry alebo aj obec, v ktorej sa hazardná hra realizuje, za presne stanovených podmienok. Na holandskom trhu existujú tri hlavné charitatívne lotérie a päť menších charitatívnych lotérií.</w:t>
      </w:r>
      <w:r>
        <w:rPr>
          <w:rFonts w:ascii="Verdana" w:hAnsi="Verdana" w:cs="Calibri"/>
          <w:sz w:val="20"/>
          <w:szCs w:val="20"/>
          <w:shd w:val="clear" w:color="auto" w:fill="FFFFFF"/>
          <w:lang w:val="sk-SK"/>
        </w:rPr>
        <w:t xml:space="preserve"> Hlavnými charitatívnymi lotériami sú </w:t>
      </w:r>
      <w:r>
        <w:rPr>
          <w:rFonts w:ascii="Verdana" w:hAnsi="Verdana" w:cs="Calibri"/>
          <w:i/>
          <w:sz w:val="20"/>
          <w:szCs w:val="20"/>
          <w:shd w:val="clear" w:color="auto" w:fill="FFFFFF"/>
          <w:lang w:val="sk-SK"/>
        </w:rPr>
        <w:t>Nationale PSČ Loterij</w:t>
      </w:r>
      <w:r>
        <w:rPr>
          <w:rFonts w:ascii="Verdana" w:hAnsi="Verdana" w:cs="Calibri"/>
          <w:sz w:val="20"/>
          <w:szCs w:val="20"/>
          <w:shd w:val="clear" w:color="auto" w:fill="FFFFFF"/>
          <w:lang w:val="sk-SK"/>
        </w:rPr>
        <w:t xml:space="preserve">, </w:t>
      </w:r>
      <w:r>
        <w:rPr>
          <w:rFonts w:ascii="Verdana" w:hAnsi="Verdana" w:cs="Calibri"/>
          <w:i/>
          <w:sz w:val="20"/>
          <w:szCs w:val="20"/>
          <w:shd w:val="clear" w:color="auto" w:fill="FFFFFF"/>
          <w:lang w:val="sk-SK"/>
        </w:rPr>
        <w:t>VriendenLoterij</w:t>
      </w:r>
      <w:r>
        <w:rPr>
          <w:rFonts w:ascii="Verdana" w:hAnsi="Verdana" w:cs="Calibri"/>
          <w:sz w:val="20"/>
          <w:szCs w:val="20"/>
          <w:shd w:val="clear" w:color="auto" w:fill="FFFFFF"/>
          <w:lang w:val="sk-SK"/>
        </w:rPr>
        <w:t xml:space="preserve"> a </w:t>
      </w:r>
      <w:r>
        <w:rPr>
          <w:rFonts w:ascii="Verdana" w:hAnsi="Verdana" w:cs="Calibri"/>
          <w:i/>
          <w:sz w:val="20"/>
          <w:szCs w:val="20"/>
          <w:shd w:val="clear" w:color="auto" w:fill="FFFFFF"/>
          <w:lang w:val="sk-SK"/>
        </w:rPr>
        <w:t>BankGiro Loterij</w:t>
      </w:r>
      <w:r>
        <w:rPr>
          <w:rFonts w:ascii="Verdana" w:hAnsi="Verdana" w:cs="Calibri"/>
          <w:sz w:val="20"/>
          <w:szCs w:val="20"/>
          <w:shd w:val="clear" w:color="auto" w:fill="FFFFFF"/>
          <w:lang w:val="sk-SK"/>
        </w:rPr>
        <w:t xml:space="preserve">, ktoré sú spolu začlenené do národného charitatívneho lotériového holdingu. </w:t>
      </w:r>
      <w:r>
        <w:rPr>
          <w:rFonts w:ascii="Verdana" w:hAnsi="Verdana" w:cs="Calibri"/>
          <w:i/>
          <w:sz w:val="20"/>
          <w:szCs w:val="20"/>
          <w:shd w:val="clear" w:color="auto" w:fill="FFFFFF"/>
          <w:lang w:val="sk-SK"/>
        </w:rPr>
        <w:t xml:space="preserve">Nationale PSČ Loterij </w:t>
      </w:r>
      <w:r>
        <w:rPr>
          <w:rFonts w:ascii="Verdana" w:hAnsi="Verdana" w:cs="Calibri"/>
          <w:sz w:val="20"/>
          <w:szCs w:val="20"/>
          <w:shd w:val="clear" w:color="auto" w:fill="FFFFFF"/>
          <w:lang w:val="sk-SK"/>
        </w:rPr>
        <w:t>je prvou založenou charitatívnou lotériou a je zameraná na oblasť prírody a životného prostredia, rozvojovej spolupráce, ľudských práv a sociálnej súdržnosti.</w:t>
      </w:r>
      <w:r>
        <w:rPr>
          <w:rFonts w:ascii="Verdana" w:hAnsi="Verdana" w:cs="Calibri"/>
          <w:i/>
          <w:sz w:val="20"/>
          <w:szCs w:val="20"/>
          <w:shd w:val="clear" w:color="auto" w:fill="FFFFFF"/>
          <w:lang w:val="sk-SK"/>
        </w:rPr>
        <w:t xml:space="preserve"> </w:t>
      </w:r>
      <w:r>
        <w:rPr>
          <w:rFonts w:ascii="Verdana" w:hAnsi="Verdana" w:cs="Calibri"/>
          <w:sz w:val="20"/>
          <w:szCs w:val="20"/>
          <w:shd w:val="clear" w:color="auto" w:fill="FFFFFF"/>
          <w:lang w:val="sk-SK"/>
        </w:rPr>
        <w:t>Druhou charitatívnou lotériou je</w:t>
      </w:r>
      <w:r>
        <w:rPr>
          <w:rFonts w:ascii="Verdana" w:hAnsi="Verdana" w:cs="Calibri"/>
          <w:i/>
          <w:sz w:val="20"/>
          <w:szCs w:val="20"/>
          <w:shd w:val="clear" w:color="auto" w:fill="FFFFFF"/>
          <w:lang w:val="sk-SK"/>
        </w:rPr>
        <w:t xml:space="preserve"> VriendenLoterij</w:t>
      </w:r>
      <w:r>
        <w:rPr>
          <w:rFonts w:ascii="Verdana" w:hAnsi="Verdana" w:cs="Calibri"/>
          <w:sz w:val="20"/>
          <w:szCs w:val="20"/>
          <w:shd w:val="clear" w:color="auto" w:fill="FFFFFF"/>
          <w:lang w:val="sk-SK"/>
        </w:rPr>
        <w:t>, ktorá podporuje oblasť zdravia a blaha. Treťou hlavnou charitatívnou lotériou je</w:t>
      </w:r>
      <w:r>
        <w:rPr>
          <w:rFonts w:ascii="Verdana" w:hAnsi="Verdana" w:cs="Calibri"/>
          <w:i/>
          <w:sz w:val="20"/>
          <w:szCs w:val="20"/>
          <w:shd w:val="clear" w:color="auto" w:fill="FFFFFF"/>
          <w:lang w:val="sk-SK"/>
        </w:rPr>
        <w:t xml:space="preserve"> BankGiro Loterij</w:t>
      </w:r>
      <w:r>
        <w:rPr>
          <w:rFonts w:ascii="Verdana" w:hAnsi="Verdana" w:cs="Calibri"/>
          <w:sz w:val="20"/>
          <w:szCs w:val="20"/>
          <w:shd w:val="clear" w:color="auto" w:fill="FFFFFF"/>
          <w:lang w:val="sk-SK"/>
        </w:rPr>
        <w:t xml:space="preserve"> a je určená na podporu kultúrnych zariadení.</w:t>
      </w:r>
      <w:r>
        <w:rPr>
          <w:rFonts w:ascii="Verdana" w:hAnsi="Verdana" w:cs="Arial"/>
          <w:sz w:val="20"/>
          <w:szCs w:val="20"/>
          <w:lang w:val="sk-SK"/>
        </w:rPr>
        <w:t xml:space="preserve"> (</w:t>
      </w:r>
      <w:hyperlink r:id="rId125" w:history="1">
        <w:r>
          <w:rPr>
            <w:rStyle w:val="af9"/>
            <w:rFonts w:ascii="Verdana" w:hAnsi="Verdana"/>
            <w:color w:val="auto"/>
            <w:sz w:val="20"/>
            <w:szCs w:val="20"/>
            <w:lang w:val="sk-SK"/>
          </w:rPr>
          <w:t>https://www.acleu.eu/index.php/charity-lotteries/netherlands</w:t>
        </w:r>
      </w:hyperlink>
      <w:r>
        <w:rPr>
          <w:rFonts w:ascii="Verdana" w:hAnsi="Verdana"/>
          <w:sz w:val="20"/>
          <w:szCs w:val="20"/>
          <w:lang w:val="sk-SK"/>
        </w:rPr>
        <w:t>)</w:t>
      </w:r>
    </w:p>
    <w:p w:rsidR="005C3F63" w:rsidRDefault="006536E7">
      <w:pPr>
        <w:spacing w:after="120"/>
        <w:rPr>
          <w:rFonts w:ascii="Verdana" w:hAnsi="Verdana" w:cs="Arial"/>
          <w:sz w:val="20"/>
          <w:szCs w:val="20"/>
          <w:lang w:val="sk-SK"/>
        </w:rPr>
      </w:pPr>
      <w:r>
        <w:rPr>
          <w:rFonts w:ascii="Verdana" w:hAnsi="Verdana" w:cs="Calibri"/>
          <w:sz w:val="20"/>
          <w:szCs w:val="20"/>
          <w:shd w:val="clear" w:color="auto" w:fill="FFFFFF"/>
          <w:lang w:val="sk-SK"/>
        </w:rPr>
        <w:t xml:space="preserve">V Írsku tvoria právny rámec k prevádzkovaniu hazardných hier dva zákony, a to zákon o hazardných hrách a lotériách z roku 1956 a zákon o národných lotériách z roku 1986. Na ich prevádzkovanie je potrebná v prípade veľkých lotérií licencia okresného súdu a v prípade malých lotérií povolenie od vedúceho írskej polície. Existencia lotériových hier, ktoré využívali charitatívne organizácie na získavanie finančných prostriedkov siaha až do 40. rokov 20. storočia. V súčasnosti má hlavné postavenie v rámci charitatívnej lotérie </w:t>
      </w:r>
      <w:r>
        <w:rPr>
          <w:rFonts w:ascii="Verdana" w:hAnsi="Verdana" w:cs="Calibri"/>
          <w:i/>
          <w:sz w:val="20"/>
          <w:szCs w:val="20"/>
          <w:shd w:val="clear" w:color="auto" w:fill="FFFFFF"/>
          <w:lang w:val="sk-SK"/>
        </w:rPr>
        <w:t>Rehab Lotteries</w:t>
      </w:r>
      <w:r>
        <w:rPr>
          <w:rFonts w:ascii="Verdana" w:hAnsi="Verdana" w:cs="Calibri"/>
          <w:sz w:val="20"/>
          <w:szCs w:val="20"/>
          <w:shd w:val="clear" w:color="auto" w:fill="FFFFFF"/>
          <w:lang w:val="sk-SK"/>
        </w:rPr>
        <w:t xml:space="preserve"> ako nezisková organizácia poskytujúca odbornú prípravu, zdravotnú a sociálnu starostlivosť aj pre ľudí so zdravotným postihnutím a sociálne vylúčených ľudí. Charitatívne lotérie však prevádzkujú aj iné neziskové</w:t>
      </w:r>
      <w:r>
        <w:rPr>
          <w:rFonts w:ascii="Verdana" w:hAnsi="Verdana" w:cs="Arial"/>
          <w:sz w:val="20"/>
          <w:szCs w:val="20"/>
          <w:shd w:val="clear" w:color="auto" w:fill="FFFFFF"/>
          <w:lang w:val="sk-SK"/>
        </w:rPr>
        <w:t xml:space="preserve"> organizácie v menšom rozsahu, ako je Írska spoločnosť pre astmu, Gael Linn, Írska onkologická spoločnosť, Írske spoločenstvo detskej obrny, Írska spoločnosť pre prevenciu týrania detí a Írska nadácia pľúc. Uvedené neziskové organizácie však nenapĺňajú v plnom rozsahu princípy charitatívnej lotérie.</w:t>
      </w:r>
      <w:r>
        <w:rPr>
          <w:rFonts w:ascii="Verdana" w:hAnsi="Verdana" w:cs="Arial"/>
          <w:sz w:val="20"/>
          <w:szCs w:val="20"/>
          <w:lang w:val="sk-SK"/>
        </w:rPr>
        <w:t xml:space="preserve"> (</w:t>
      </w:r>
      <w:hyperlink r:id="rId126" w:history="1">
        <w:r>
          <w:rPr>
            <w:rStyle w:val="af9"/>
            <w:rFonts w:ascii="Verdana" w:hAnsi="Verdana"/>
            <w:color w:val="auto"/>
            <w:sz w:val="20"/>
            <w:szCs w:val="20"/>
            <w:lang w:val="sk-SK"/>
          </w:rPr>
          <w:t>https://www.acleu.eu/index.php/charity-lotteries/ireland</w:t>
        </w:r>
      </w:hyperlink>
      <w:r>
        <w:rPr>
          <w:rFonts w:ascii="Verdana" w:hAnsi="Verdana"/>
          <w:sz w:val="20"/>
          <w:szCs w:val="20"/>
          <w:lang w:val="sk-SK"/>
        </w:rPr>
        <w:t>)</w:t>
      </w:r>
    </w:p>
    <w:p w:rsidR="005C3F63" w:rsidRDefault="006536E7">
      <w:pPr>
        <w:spacing w:after="120"/>
        <w:rPr>
          <w:rFonts w:ascii="Verdana" w:hAnsi="Verdana" w:cs="Arial"/>
          <w:sz w:val="20"/>
          <w:szCs w:val="20"/>
          <w:lang w:val="sk-SK"/>
        </w:rPr>
      </w:pPr>
      <w:r>
        <w:rPr>
          <w:rFonts w:ascii="Verdana" w:hAnsi="Verdana" w:cs="Calibri"/>
          <w:sz w:val="20"/>
          <w:szCs w:val="20"/>
          <w:shd w:val="clear" w:color="auto" w:fill="FFFFFF"/>
          <w:lang w:val="sk-SK"/>
        </w:rPr>
        <w:t xml:space="preserve">V Nemecku sa hazardné hry riadia štátnou zmluvou podpísanou 16 regiónmi, spolkovými krajinami. V jednotlivých spolkových krajinách sú vytvorené regionálne právne rámce, ktoré upravujú prevádzkovanie lotérií. V Nemecku pôsobia dve celoštátne charitatívne televízne lotérie. Prvou je </w:t>
      </w:r>
      <w:r>
        <w:rPr>
          <w:rFonts w:ascii="Verdana" w:hAnsi="Verdana" w:cs="Calibri"/>
          <w:i/>
          <w:sz w:val="20"/>
          <w:szCs w:val="20"/>
          <w:shd w:val="clear" w:color="auto" w:fill="FFFFFF"/>
          <w:lang w:val="sk-SK"/>
        </w:rPr>
        <w:t>Fehrnsehlotterie</w:t>
      </w:r>
      <w:r>
        <w:rPr>
          <w:rFonts w:ascii="Verdana" w:hAnsi="Verdana" w:cs="Calibri"/>
          <w:sz w:val="20"/>
          <w:szCs w:val="20"/>
          <w:shd w:val="clear" w:color="auto" w:fill="FFFFFF"/>
          <w:lang w:val="sk-SK"/>
        </w:rPr>
        <w:t xml:space="preserve"> nemeckého televízneho kanála ARD, ktorá financuje sociálne projekty a druhou je </w:t>
      </w:r>
      <w:r>
        <w:rPr>
          <w:rFonts w:ascii="Verdana" w:hAnsi="Verdana" w:cs="Calibri"/>
          <w:i/>
          <w:sz w:val="20"/>
          <w:szCs w:val="20"/>
          <w:shd w:val="clear" w:color="auto" w:fill="FFFFFF"/>
          <w:lang w:val="sk-SK"/>
        </w:rPr>
        <w:t>Akton Mensch</w:t>
      </w:r>
      <w:r>
        <w:rPr>
          <w:rFonts w:ascii="Verdana" w:hAnsi="Verdana" w:cs="Calibri"/>
          <w:sz w:val="20"/>
          <w:szCs w:val="20"/>
          <w:shd w:val="clear" w:color="auto" w:fill="FFFFFF"/>
          <w:lang w:val="sk-SK"/>
        </w:rPr>
        <w:t xml:space="preserve"> nemeckého televízneho kanála ZDF, ktorá sa snaží o zlepšenie životných podmienok osôb so zdravotným postihnutím a osôb žijúcich v osobitných spoločenských životných podmienkach.</w:t>
      </w:r>
      <w:r>
        <w:rPr>
          <w:rFonts w:ascii="Verdana" w:hAnsi="Verdana" w:cs="Arial"/>
          <w:sz w:val="20"/>
          <w:szCs w:val="20"/>
          <w:lang w:val="sk-SK"/>
        </w:rPr>
        <w:t xml:space="preserve"> (</w:t>
      </w:r>
      <w:hyperlink r:id="rId127" w:history="1">
        <w:r>
          <w:rPr>
            <w:rStyle w:val="af9"/>
            <w:rFonts w:ascii="Verdana" w:hAnsi="Verdana"/>
            <w:color w:val="auto"/>
            <w:sz w:val="20"/>
            <w:szCs w:val="20"/>
            <w:lang w:val="sk-SK"/>
          </w:rPr>
          <w:t>https://www.acleu.eu/index.php/charity-lotteries/germany</w:t>
        </w:r>
      </w:hyperlink>
      <w:r>
        <w:rPr>
          <w:rFonts w:ascii="Verdana" w:hAnsi="Verdana"/>
          <w:sz w:val="20"/>
          <w:szCs w:val="20"/>
          <w:lang w:val="sk-SK"/>
        </w:rPr>
        <w:t>)</w:t>
      </w:r>
    </w:p>
    <w:p w:rsidR="005C3F63" w:rsidRDefault="006536E7">
      <w:pPr>
        <w:pStyle w:val="afd"/>
        <w:spacing w:after="120"/>
        <w:ind w:left="0"/>
        <w:contextualSpacing w:val="0"/>
        <w:rPr>
          <w:rFonts w:ascii="Verdana" w:hAnsi="Verdana" w:cs="Calibri"/>
          <w:sz w:val="20"/>
          <w:szCs w:val="20"/>
          <w:shd w:val="clear" w:color="auto" w:fill="FFFFFF"/>
          <w:lang w:val="sk-SK"/>
        </w:rPr>
      </w:pPr>
      <w:r>
        <w:rPr>
          <w:rFonts w:ascii="Verdana" w:hAnsi="Verdana" w:cs="Calibri"/>
          <w:sz w:val="20"/>
          <w:szCs w:val="20"/>
          <w:shd w:val="clear" w:color="auto" w:fill="FFFFFF"/>
          <w:lang w:val="sk-SK"/>
        </w:rPr>
        <w:t xml:space="preserve">V Španielsku sa v posledných desaťročiach zmenil systém prevádzkovania hazardných hier z centralizovaného systému na decentralizovaný systém s regionálnymi právnymi predpismi. Proces decentralizácie sa začal v roku 1982 a ukončil sa v roku 1998, kedy mali povolené zákonodarstvo a kontrolu hazardných hier na svojom vlastnom území jednotlivé autonómne spoločenstvá. V Španielsku existuje jedna charitatívna lotéria organizovaná </w:t>
      </w:r>
      <w:r>
        <w:rPr>
          <w:rFonts w:ascii="Verdana" w:hAnsi="Verdana" w:cs="Calibri"/>
          <w:i/>
          <w:sz w:val="20"/>
          <w:szCs w:val="20"/>
          <w:shd w:val="clear" w:color="auto" w:fill="FFFFFF"/>
          <w:lang w:val="sk-SK"/>
        </w:rPr>
        <w:t>Organización Nacional de Ciegos Espa</w:t>
      </w:r>
      <w:r>
        <w:rPr>
          <w:rFonts w:ascii="Verdana" w:hAnsi="Verdana" w:cs="Arial"/>
          <w:i/>
          <w:sz w:val="20"/>
          <w:szCs w:val="20"/>
          <w:lang w:val="sk-SK"/>
        </w:rPr>
        <w:t>ñoles</w:t>
      </w:r>
      <w:r>
        <w:rPr>
          <w:rFonts w:ascii="Verdana" w:hAnsi="Verdana" w:cs="Arial"/>
          <w:sz w:val="20"/>
          <w:szCs w:val="20"/>
          <w:lang w:val="sk-SK"/>
        </w:rPr>
        <w:t xml:space="preserve"> (ONCE), ktorá má dvojaký inštitucionálny charakter. Čiastočne je poverená plnením niektorých verejných funkcií štátu a čiastočne plní úlohy ako spoločnosť založená na členstve. Zameriava sa predovšetkým na financovanie sociálnych služieb pre nevidiacich a slabozrakých ľudí, ale aj pre osoby s iným zdravotným postihnutím. (</w:t>
      </w:r>
      <w:hyperlink r:id="rId128" w:history="1">
        <w:r>
          <w:rPr>
            <w:rStyle w:val="af9"/>
            <w:rFonts w:ascii="Verdana" w:hAnsi="Verdana"/>
            <w:color w:val="auto"/>
            <w:sz w:val="20"/>
            <w:szCs w:val="20"/>
            <w:lang w:val="sk-SK"/>
          </w:rPr>
          <w:t>https://www.acleu.eu/index.php/charity-lotteries/spain</w:t>
        </w:r>
      </w:hyperlink>
      <w:r>
        <w:rPr>
          <w:rFonts w:ascii="Verdana" w:hAnsi="Verdana"/>
          <w:sz w:val="20"/>
          <w:szCs w:val="20"/>
          <w:lang w:val="sk-SK"/>
        </w:rPr>
        <w:t>)</w:t>
      </w:r>
    </w:p>
    <w:p w:rsidR="005C3F63" w:rsidRDefault="006536E7">
      <w:pPr>
        <w:pStyle w:val="Kapitola"/>
        <w:spacing w:before="0"/>
        <w:jc w:val="both"/>
        <w:rPr>
          <w:b w:val="0"/>
          <w:sz w:val="20"/>
          <w:szCs w:val="20"/>
          <w:lang w:val="sk-SK"/>
        </w:rPr>
      </w:pPr>
      <w:r>
        <w:rPr>
          <w:b w:val="0"/>
          <w:sz w:val="20"/>
          <w:szCs w:val="20"/>
          <w:lang w:val="sk-SK"/>
        </w:rPr>
        <w:t xml:space="preserve">Vo Švédsku sú hazardné hry upravené zákonom o lotériách z roku 1994. Na realizáciu všetkých hazardných hier vrátane lotérií je potrebné mať povolenie, ktoré podlieha vládnej kontrole a dozorným úradom je Úrad pre hazardné hry. Vo Švédsku existuje päť charitatívnych lotérií. Sú nimi:  </w:t>
      </w:r>
      <w:r>
        <w:rPr>
          <w:b w:val="0"/>
          <w:i/>
          <w:sz w:val="20"/>
          <w:szCs w:val="20"/>
          <w:lang w:val="sk-SK"/>
        </w:rPr>
        <w:t xml:space="preserve">Svenska Medaljlotteriet, Svenska PostkodLotteriet Folkspel, Miljonlotteriet </w:t>
      </w:r>
      <w:r>
        <w:rPr>
          <w:b w:val="0"/>
          <w:sz w:val="20"/>
          <w:szCs w:val="20"/>
          <w:lang w:val="sk-SK"/>
        </w:rPr>
        <w:t>a</w:t>
      </w:r>
      <w:r>
        <w:rPr>
          <w:b w:val="0"/>
          <w:i/>
          <w:sz w:val="20"/>
          <w:szCs w:val="20"/>
          <w:lang w:val="sk-SK"/>
        </w:rPr>
        <w:t xml:space="preserve"> Kombispel. Svenska Medaljlotteriet </w:t>
      </w:r>
      <w:r>
        <w:rPr>
          <w:b w:val="0"/>
          <w:sz w:val="20"/>
          <w:szCs w:val="20"/>
          <w:lang w:val="sk-SK"/>
        </w:rPr>
        <w:t xml:space="preserve">je najmladšou charitatívnou </w:t>
      </w:r>
      <w:r>
        <w:rPr>
          <w:b w:val="0"/>
          <w:sz w:val="20"/>
          <w:szCs w:val="20"/>
          <w:lang w:val="sk-SK"/>
        </w:rPr>
        <w:lastRenderedPageBreak/>
        <w:t>lotériou a jej účelom je získať finančné prostriedky pre švédsky olympijský výbor, švédsku lyžiarsku asociáciu a švédsku asociáciu plachtenia. Ostatné charitatívne lotérie sú určené na rôzne charitatívne účely.</w:t>
      </w:r>
      <w:r>
        <w:rPr>
          <w:sz w:val="20"/>
          <w:szCs w:val="20"/>
          <w:lang w:val="sk-SK"/>
        </w:rPr>
        <w:t xml:space="preserve"> </w:t>
      </w:r>
      <w:r>
        <w:rPr>
          <w:b w:val="0"/>
          <w:sz w:val="20"/>
          <w:szCs w:val="20"/>
          <w:lang w:val="sk-SK"/>
        </w:rPr>
        <w:t>(</w:t>
      </w:r>
      <w:hyperlink r:id="rId129" w:history="1">
        <w:r>
          <w:rPr>
            <w:rStyle w:val="af9"/>
            <w:b w:val="0"/>
            <w:color w:val="auto"/>
            <w:sz w:val="20"/>
            <w:szCs w:val="20"/>
            <w:lang w:val="sk-SK"/>
          </w:rPr>
          <w:t>https://www.acleu.eu/index.php/charity-lotteries/sweden</w:t>
        </w:r>
      </w:hyperlink>
      <w:r>
        <w:rPr>
          <w:b w:val="0"/>
          <w:sz w:val="20"/>
          <w:szCs w:val="20"/>
          <w:lang w:val="sk-SK"/>
        </w:rPr>
        <w:t>)</w:t>
      </w:r>
    </w:p>
    <w:p w:rsidR="005C3F63" w:rsidRDefault="006536E7">
      <w:pPr>
        <w:pStyle w:val="Kapitola"/>
        <w:spacing w:before="0"/>
        <w:jc w:val="both"/>
        <w:rPr>
          <w:b w:val="0"/>
          <w:sz w:val="20"/>
          <w:szCs w:val="20"/>
          <w:lang w:val="sk-SK"/>
        </w:rPr>
      </w:pPr>
      <w:r>
        <w:rPr>
          <w:b w:val="0"/>
          <w:sz w:val="20"/>
          <w:szCs w:val="20"/>
          <w:lang w:val="sk-SK"/>
        </w:rPr>
        <w:t xml:space="preserve">Vo Veľkej Británii právny rámec hazardných hier tvorí zákon o národnej lotérii z roku 1993 (revidovaný v roku 1998) a zákon o hazardných hrách prijatý v roku 2005 a implementovaný v septembri 2007. V roku  2013 bol do parlamentu daný nový zákon o hazardných hrách. Licencie vydáva Komisia pre hazardné hry alebo miestny licenčný úrad. Vo Veľkej Británii pôsobia tieto štyri charitatívne lotérie: </w:t>
      </w:r>
      <w:r>
        <w:rPr>
          <w:b w:val="0"/>
          <w:i/>
          <w:sz w:val="20"/>
          <w:szCs w:val="20"/>
          <w:shd w:val="clear" w:color="auto" w:fill="FFFFFF"/>
        </w:rPr>
        <w:t>The </w:t>
      </w:r>
      <w:r>
        <w:rPr>
          <w:b w:val="0"/>
          <w:i/>
          <w:iCs/>
          <w:sz w:val="20"/>
          <w:szCs w:val="20"/>
          <w:shd w:val="clear" w:color="auto" w:fill="FFFFFF"/>
        </w:rPr>
        <w:t xml:space="preserve">People’s Postcode </w:t>
      </w:r>
      <w:r>
        <w:rPr>
          <w:b w:val="0"/>
          <w:i/>
          <w:iCs/>
          <w:sz w:val="20"/>
          <w:szCs w:val="20"/>
          <w:shd w:val="clear" w:color="auto" w:fill="FFFFFF"/>
          <w:lang w:val="sk-SK"/>
        </w:rPr>
        <w:t>Lottery, </w:t>
      </w:r>
      <w:r>
        <w:rPr>
          <w:b w:val="0"/>
          <w:i/>
          <w:sz w:val="20"/>
          <w:szCs w:val="20"/>
          <w:shd w:val="clear" w:color="auto" w:fill="FFFFFF"/>
          <w:lang w:val="sk-SK"/>
        </w:rPr>
        <w:t>The Health Lottery, The Unity Lottery</w:t>
      </w:r>
      <w:r>
        <w:rPr>
          <w:b w:val="0"/>
          <w:sz w:val="20"/>
          <w:szCs w:val="20"/>
          <w:shd w:val="clear" w:color="auto" w:fill="FFFFFF"/>
          <w:lang w:val="sk-SK"/>
        </w:rPr>
        <w:t xml:space="preserve"> a</w:t>
      </w:r>
      <w:r>
        <w:rPr>
          <w:b w:val="0"/>
          <w:i/>
          <w:sz w:val="20"/>
          <w:szCs w:val="20"/>
          <w:shd w:val="clear" w:color="auto" w:fill="FFFFFF"/>
          <w:lang w:val="sk-SK"/>
        </w:rPr>
        <w:t xml:space="preserve"> Pembrokeshire Lottery</w:t>
      </w:r>
      <w:r>
        <w:rPr>
          <w:b w:val="0"/>
          <w:sz w:val="20"/>
          <w:szCs w:val="20"/>
          <w:shd w:val="clear" w:color="auto" w:fill="FFFFFF"/>
          <w:lang w:val="sk-SK"/>
        </w:rPr>
        <w:t>.</w:t>
      </w:r>
      <w:r>
        <w:rPr>
          <w:b w:val="0"/>
          <w:i/>
          <w:sz w:val="20"/>
          <w:szCs w:val="20"/>
          <w:shd w:val="clear" w:color="auto" w:fill="FFFFFF"/>
          <w:lang w:val="sk-SK"/>
        </w:rPr>
        <w:t xml:space="preserve"> </w:t>
      </w:r>
      <w:r>
        <w:rPr>
          <w:b w:val="0"/>
          <w:sz w:val="20"/>
          <w:szCs w:val="20"/>
          <w:shd w:val="clear" w:color="auto" w:fill="FFFFFF"/>
          <w:lang w:val="sk-SK"/>
        </w:rPr>
        <w:t>Jednotlivé charitatívne lotérie sú určené na financovanie rôznych charitatívnych účelov a komunitných projektov, sú zamerané napríklad na oblasti zdravia, terapeutiky, športu.</w:t>
      </w:r>
      <w:r>
        <w:rPr>
          <w:b w:val="0"/>
          <w:i/>
          <w:sz w:val="20"/>
          <w:szCs w:val="20"/>
          <w:shd w:val="clear" w:color="auto" w:fill="FFFFFF"/>
          <w:lang w:val="sk-SK"/>
        </w:rPr>
        <w:t xml:space="preserve"> </w:t>
      </w:r>
      <w:r>
        <w:rPr>
          <w:b w:val="0"/>
          <w:sz w:val="20"/>
          <w:szCs w:val="20"/>
          <w:lang w:val="sk-SK"/>
        </w:rPr>
        <w:t>(</w:t>
      </w:r>
      <w:hyperlink r:id="rId130" w:history="1">
        <w:r>
          <w:rPr>
            <w:rStyle w:val="af9"/>
            <w:b w:val="0"/>
            <w:color w:val="auto"/>
            <w:sz w:val="20"/>
            <w:szCs w:val="20"/>
            <w:lang w:val="sk-SK"/>
          </w:rPr>
          <w:t>https://www.acleu.eu/index.php/charity-lotteries/</w:t>
        </w:r>
      </w:hyperlink>
      <w:r>
        <w:rPr>
          <w:b w:val="0"/>
          <w:sz w:val="20"/>
          <w:szCs w:val="20"/>
          <w:lang w:val="sk-SK"/>
        </w:rPr>
        <w:t>united-kingdom)</w:t>
      </w:r>
    </w:p>
    <w:p w:rsidR="005C3F63" w:rsidRDefault="006536E7">
      <w:pPr>
        <w:spacing w:after="120"/>
        <w:rPr>
          <w:rFonts w:ascii="Verdana" w:hAnsi="Verdana"/>
          <w:sz w:val="20"/>
          <w:szCs w:val="20"/>
          <w:lang w:val="sk-SK"/>
        </w:rPr>
      </w:pPr>
      <w:r>
        <w:rPr>
          <w:rFonts w:ascii="Verdana" w:hAnsi="Verdana"/>
          <w:b/>
          <w:sz w:val="20"/>
          <w:szCs w:val="20"/>
          <w:lang w:val="sk-SK" w:eastAsia="sk-SK"/>
        </w:rPr>
        <w:t>Inštitút charitatívnej lotérie v Slovenskej republike</w:t>
      </w:r>
    </w:p>
    <w:p w:rsidR="005C3F63" w:rsidRDefault="006536E7">
      <w:pPr>
        <w:spacing w:after="120"/>
        <w:rPr>
          <w:rFonts w:ascii="Segoe UI" w:hAnsi="Segoe UI" w:cs="Segoe UI"/>
          <w:color w:val="494949"/>
          <w:sz w:val="21"/>
          <w:szCs w:val="21"/>
          <w:shd w:val="clear" w:color="auto" w:fill="FFFFFF"/>
          <w:lang w:val="sk-SK"/>
        </w:rPr>
      </w:pPr>
      <w:r>
        <w:rPr>
          <w:rFonts w:ascii="Verdana" w:hAnsi="Verdana"/>
          <w:sz w:val="20"/>
          <w:szCs w:val="20"/>
          <w:lang w:val="sk-SK" w:eastAsia="sk-SK"/>
        </w:rPr>
        <w:t>V Slovenskej republike sa žiadosť o udelenie licencie na prevádzkovanie charitatívnej lotérie podáva Úradu pre reguláciu hazardných hier. Individuálnu licenciu možno udeliť najviac na päť rokov.</w:t>
      </w:r>
      <w:r>
        <w:rPr>
          <w:rFonts w:ascii="Segoe UI" w:hAnsi="Segoe UI" w:cs="Segoe UI"/>
          <w:color w:val="494949"/>
          <w:sz w:val="21"/>
          <w:szCs w:val="21"/>
          <w:shd w:val="clear" w:color="auto" w:fill="FFFFFF"/>
          <w:lang w:val="sk-SK"/>
        </w:rPr>
        <w:t xml:space="preserve"> </w:t>
      </w:r>
    </w:p>
    <w:p w:rsidR="005C3F63" w:rsidRDefault="006536E7">
      <w:pPr>
        <w:pStyle w:val="Text"/>
        <w:spacing w:before="0" w:after="120"/>
        <w:rPr>
          <w:rFonts w:ascii="Verdana" w:hAnsi="Verdana"/>
          <w:sz w:val="20"/>
          <w:szCs w:val="20"/>
          <w:lang w:val="sk-SK"/>
        </w:rPr>
      </w:pPr>
      <w:r>
        <w:rPr>
          <w:rFonts w:ascii="Verdana" w:hAnsi="Verdana"/>
          <w:sz w:val="20"/>
          <w:szCs w:val="20"/>
          <w:lang w:val="sk-SK"/>
        </w:rPr>
        <w:t xml:space="preserve">Nadácie alebo záujmové združenia nadácií na podanie žiadosti o udelenie </w:t>
      </w:r>
      <w:r>
        <w:rPr>
          <w:rFonts w:ascii="Verdana" w:hAnsi="Verdana"/>
          <w:sz w:val="20"/>
          <w:szCs w:val="20"/>
          <w:lang w:val="sk-SK" w:eastAsia="sk-SK"/>
        </w:rPr>
        <w:t>individuálnej licencie na prevádzkovanie charitatívnej lotérie musia splniť tieto po</w:t>
      </w:r>
      <w:r>
        <w:rPr>
          <w:rFonts w:ascii="Verdana" w:hAnsi="Verdana"/>
          <w:sz w:val="20"/>
          <w:szCs w:val="20"/>
          <w:lang w:val="sk-SK"/>
        </w:rPr>
        <w:t>dmienky:</w:t>
      </w:r>
    </w:p>
    <w:p w:rsidR="005C3F63" w:rsidRDefault="006536E7">
      <w:pPr>
        <w:pStyle w:val="afd"/>
        <w:numPr>
          <w:ilvl w:val="0"/>
          <w:numId w:val="19"/>
        </w:numPr>
        <w:spacing w:after="120"/>
        <w:ind w:left="0" w:hanging="284"/>
        <w:rPr>
          <w:rFonts w:ascii="Verdana" w:hAnsi="Verdana"/>
          <w:sz w:val="20"/>
          <w:szCs w:val="20"/>
          <w:lang w:val="sk-SK" w:eastAsia="sk-SK"/>
        </w:rPr>
      </w:pPr>
      <w:r>
        <w:rPr>
          <w:rFonts w:ascii="Verdana" w:hAnsi="Verdana"/>
          <w:sz w:val="20"/>
          <w:szCs w:val="20"/>
          <w:lang w:val="sk-SK" w:eastAsia="sk-SK"/>
        </w:rPr>
        <w:t>nadačné imanie nadácie je najmenej 166 000 eur alebo takúto výšku dosahuje súčet nadačných imaní všetkých členov záujmového združenia nadácií,</w:t>
      </w:r>
    </w:p>
    <w:p w:rsidR="005C3F63" w:rsidRDefault="006536E7">
      <w:pPr>
        <w:pStyle w:val="afd"/>
        <w:numPr>
          <w:ilvl w:val="0"/>
          <w:numId w:val="19"/>
        </w:numPr>
        <w:spacing w:after="120"/>
        <w:ind w:left="0" w:hanging="284"/>
        <w:rPr>
          <w:rFonts w:ascii="Verdana" w:hAnsi="Verdana"/>
          <w:sz w:val="20"/>
          <w:szCs w:val="20"/>
          <w:lang w:val="sk-SK" w:eastAsia="sk-SK"/>
        </w:rPr>
      </w:pPr>
      <w:r>
        <w:rPr>
          <w:rFonts w:ascii="Verdana" w:hAnsi="Verdana"/>
          <w:sz w:val="20"/>
          <w:szCs w:val="20"/>
          <w:lang w:val="sk-SK" w:eastAsia="sk-SK"/>
        </w:rPr>
        <w:t>za posledných päť rokov poskytla nadácia alebo členovia záujmového združenia nadácií spoločne na verejnoprospešné účely občianskym združeniam, neziskovým organizáciám poskytujúcim všeobecne prospešné služby alebo iným nadáciám najmenej 5 000 000 eur, pričom každý rok poskytla najmenej 830 000 eur pre najmenej 100 občianskych združení, neziskových organizácií poskytujúcich všeobecne prospešné služby alebo iných nadácií,</w:t>
      </w:r>
    </w:p>
    <w:p w:rsidR="005C3F63" w:rsidRDefault="006536E7">
      <w:pPr>
        <w:pStyle w:val="afd"/>
        <w:numPr>
          <w:ilvl w:val="0"/>
          <w:numId w:val="19"/>
        </w:numPr>
        <w:spacing w:after="120"/>
        <w:ind w:left="0" w:hanging="284"/>
        <w:rPr>
          <w:rFonts w:ascii="Verdana" w:hAnsi="Verdana" w:cs="Helvetica"/>
          <w:color w:val="494949"/>
          <w:sz w:val="20"/>
          <w:szCs w:val="20"/>
          <w:lang w:val="sk-SK" w:eastAsia="sk-SK"/>
        </w:rPr>
      </w:pPr>
      <w:r>
        <w:rPr>
          <w:rFonts w:ascii="Verdana" w:hAnsi="Verdana"/>
          <w:sz w:val="20"/>
          <w:szCs w:val="20"/>
          <w:lang w:val="sk-SK" w:eastAsia="sk-SK"/>
        </w:rPr>
        <w:t xml:space="preserve">za posledných päť rokov v každom roku nadácia alebo členovia záujmového združenia nadácií uložili správu audítora v registri účtovných závierok. </w:t>
      </w:r>
      <w:r>
        <w:rPr>
          <w:rFonts w:ascii="Verdana" w:hAnsi="Verdana"/>
          <w:sz w:val="20"/>
          <w:szCs w:val="20"/>
          <w:lang w:val="sk-SK"/>
        </w:rPr>
        <w:t>(zákon o hazardných hrách, 2019)</w:t>
      </w:r>
    </w:p>
    <w:p w:rsidR="005C3F63" w:rsidRDefault="006536E7">
      <w:pPr>
        <w:spacing w:after="120"/>
        <w:rPr>
          <w:rFonts w:ascii="Verdana" w:hAnsi="Verdana"/>
          <w:sz w:val="20"/>
          <w:szCs w:val="20"/>
          <w:lang w:val="sk-SK" w:eastAsia="sk-SK"/>
        </w:rPr>
      </w:pPr>
      <w:r>
        <w:rPr>
          <w:rFonts w:ascii="Verdana" w:hAnsi="Verdana"/>
          <w:sz w:val="20"/>
          <w:szCs w:val="20"/>
          <w:lang w:val="sk-SK" w:eastAsia="sk-SK"/>
        </w:rPr>
        <w:t>V rámci rozhodnutia o udelení licencie sa schvaľuje aj herný plán, určuje sa začiatok prevádzkovania charitatívnej lotérie, lehota, na ktorú sa licencia udeľuje a určujú sa prevádzkovateľovi prípadné ďalšie podmienky. Zároveň nadácia alebo záujmové združenie nadácií sú povinné realizovať odvod do štátneho rozpočtu, ktorého výška je pri charitatívnej lotérii 3 % z výťažku (</w:t>
      </w:r>
      <w:r>
        <w:rPr>
          <w:rFonts w:ascii="Verdana" w:hAnsi="Verdana"/>
          <w:sz w:val="20"/>
          <w:szCs w:val="20"/>
          <w:lang w:val="sk-SK"/>
        </w:rPr>
        <w:t>zákon o hazardných hrách, 2019), pričom výťažkom sa</w:t>
      </w:r>
      <w:r>
        <w:rPr>
          <w:rFonts w:ascii="Verdana" w:hAnsi="Verdana"/>
          <w:sz w:val="20"/>
          <w:szCs w:val="20"/>
          <w:lang w:val="sk-SK" w:eastAsia="sk-SK"/>
        </w:rPr>
        <w:t xml:space="preserve"> rozumie rozdiel medzi stávkami hráčov a vyplatenými výhrami hráčov. </w:t>
      </w:r>
    </w:p>
    <w:p w:rsidR="005C3F63" w:rsidRDefault="006536E7">
      <w:pPr>
        <w:spacing w:after="120"/>
        <w:rPr>
          <w:rFonts w:ascii="Verdana" w:hAnsi="Verdana"/>
          <w:sz w:val="20"/>
          <w:szCs w:val="20"/>
          <w:lang w:val="sk-SK" w:eastAsia="sk-SK"/>
        </w:rPr>
      </w:pPr>
      <w:r>
        <w:rPr>
          <w:rFonts w:ascii="Verdana" w:hAnsi="Verdana"/>
          <w:sz w:val="20"/>
          <w:szCs w:val="20"/>
          <w:lang w:val="sk-SK" w:eastAsia="sk-SK"/>
        </w:rPr>
        <w:t>Začiatkom decembra 2018 Rada vlády SR pre mimovládne neziskové organizácie odsúhlasila rozbeh charitatívnej lotérie a zároveň odporučila ministrovi financií schváliť rozhodnutie jediného akcionára spoločnosti TIPOS, a. s. „o súhlase s darovacou zmluvou medzi spoločnosťou TIPOS a nadáciou TIPOS o poskytnutí účelovo viazaného peňažného daru vo výške 7 miliónov eur, ktorý bude použitý v súlade s darovacou zmluvou medzi nadáciou TIPOS a združením nadácií LOTKA na rozbeh charitatívnej lotérie.“ (Uznesenie Rady vlády SR pre mimovládne neziskové organizácie, 2018) Napriek uvedeným skutočnostiam, zatiaľ inštitút charitatívnej lotérie v Slovenskej republike doteraz nebol zavedený do praxe, hoci k jeho legislatívnej úprave došlo už v roku 2010.</w:t>
      </w:r>
    </w:p>
    <w:p w:rsidR="005C3F63" w:rsidRDefault="006536E7">
      <w:pPr>
        <w:pStyle w:val="Kapitola"/>
        <w:rPr>
          <w:lang w:val="sk-SK"/>
        </w:rPr>
      </w:pPr>
      <w:r>
        <w:rPr>
          <w:lang w:val="sk-SK"/>
        </w:rPr>
        <w:t>Záver / Conclusions</w:t>
      </w:r>
    </w:p>
    <w:p w:rsidR="005C3F63" w:rsidRDefault="006536E7">
      <w:pPr>
        <w:spacing w:after="120"/>
        <w:rPr>
          <w:rFonts w:ascii="Verdana" w:hAnsi="Verdana"/>
          <w:sz w:val="20"/>
          <w:szCs w:val="20"/>
          <w:shd w:val="clear" w:color="auto" w:fill="FFFFFF"/>
          <w:lang w:val="sk-SK"/>
        </w:rPr>
      </w:pPr>
      <w:r>
        <w:rPr>
          <w:rFonts w:ascii="Verdana" w:hAnsi="Verdana"/>
          <w:sz w:val="20"/>
          <w:szCs w:val="20"/>
          <w:lang w:val="sk-SK"/>
        </w:rPr>
        <w:t xml:space="preserve">Legislatívna úprava hazardných hier vrátane lotérií v Európe a rovnako aj v Slovenskej republike prechádza neustálym vývojom. Právny rámec hazardných hier je v jednotlivých európskych krajinách tvorený rôznymi zákonmi a inými záväznými predpismi. Odlišuje sa počtom aj rozsahom pôsobnosti v rámci jednej krajiny. Lotérií, ktoré spĺňajú kritériá charitatívnej lotérie je nepomerne menej ako komerčných lotérií. V súčasnosti sú prevádzkované charitatívne lotérie len v siedmich európskych krajinách. Inštitút </w:t>
      </w:r>
      <w:r>
        <w:rPr>
          <w:rFonts w:ascii="Verdana" w:hAnsi="Verdana"/>
          <w:sz w:val="20"/>
          <w:szCs w:val="20"/>
          <w:lang w:val="sk-SK"/>
        </w:rPr>
        <w:lastRenderedPageBreak/>
        <w:t xml:space="preserve">charitatívnej lotérie prechádza vo svojom vývoji viacerými etapami. V zahraničí má charitatívna lotéria dlhoročnú tradíciu a jej skúsenosti je vhodné aplikovať aj v podmienkach Slovenskej republiky. </w:t>
      </w:r>
      <w:r>
        <w:rPr>
          <w:rFonts w:ascii="Verdana" w:hAnsi="Verdana" w:cs="Calibri"/>
          <w:sz w:val="20"/>
          <w:szCs w:val="20"/>
          <w:lang w:val="sk-SK"/>
        </w:rPr>
        <w:t>Napriek tomu, že</w:t>
      </w:r>
      <w:r>
        <w:rPr>
          <w:lang w:val="sk-SK"/>
        </w:rPr>
        <w:t xml:space="preserve"> </w:t>
      </w:r>
      <w:r>
        <w:rPr>
          <w:rFonts w:ascii="Verdana" w:hAnsi="Verdana"/>
          <w:sz w:val="20"/>
          <w:szCs w:val="20"/>
          <w:lang w:val="sk-SK" w:eastAsia="sk-SK"/>
        </w:rPr>
        <w:t xml:space="preserve">legislatívne podmienky pre prevádzkovanie charitatívnej lotérie v nadáciách a záujmových združeniach nadácií sú vytvorené, v súčasnosti v Slovenskej republike nie je ešte táto forma financovania reálne zavedená aj do praxe. </w:t>
      </w:r>
      <w:r>
        <w:rPr>
          <w:rFonts w:ascii="Verdana" w:hAnsi="Verdana"/>
          <w:sz w:val="20"/>
          <w:szCs w:val="20"/>
          <w:lang w:val="sk-SK"/>
        </w:rPr>
        <w:t xml:space="preserve">Výsledky charitatívnych lotérií však potvrdzujú, že práve tento alternatívny zdroj financovania je vhodným nástrojom dlhodobého a pravidelného získavania finančných prostriedkov a výrazne podporuje individuálne darcovstvo. Považujeme ho za významný posun vo viaczdrojovom financovaní nadácií a ich záujmových združení, ktoré svojim poslaním sú tak pre verejný sektor ako aj občiansku spoločnosť prínosom. Inštitút charitatívnej lotérie umožní aj jednotlivcom zlepšiť svoje okolie a realizovať pomoc tam, kde je to potrebné a zároveň aj vyhrať. Spustením charitatívnej lotérie v Slovenskej republike by došlo k výraznej podpore verejnoprospešných aktivít, akými sú napríklad </w:t>
      </w:r>
      <w:r>
        <w:rPr>
          <w:rFonts w:ascii="Verdana" w:hAnsi="Verdana"/>
          <w:sz w:val="20"/>
          <w:szCs w:val="20"/>
          <w:shd w:val="clear" w:color="auto" w:fill="FFFFFF"/>
          <w:lang w:val="sk-SK"/>
        </w:rPr>
        <w:t>rozvoj a ochrana duchovných a kultúrnych hodnôt, rozvoj vzdelania a športu, ochrana a tvorba životného prostredia, realizácia a ochrana zdravia, ochrana práv detí a mládeže,</w:t>
      </w:r>
      <w:r>
        <w:rPr>
          <w:rFonts w:ascii="Verdana" w:hAnsi="Verdana"/>
          <w:sz w:val="20"/>
          <w:szCs w:val="20"/>
          <w:lang w:val="sk-SK"/>
        </w:rPr>
        <w:t xml:space="preserve"> </w:t>
      </w:r>
      <w:r>
        <w:rPr>
          <w:rFonts w:ascii="Verdana" w:hAnsi="Verdana"/>
          <w:sz w:val="20"/>
          <w:szCs w:val="20"/>
          <w:shd w:val="clear" w:color="auto" w:fill="FFFFFF"/>
          <w:lang w:val="sk-SK"/>
        </w:rPr>
        <w:t xml:space="preserve">ochrana ľudských práv alebo iných humanitných </w:t>
      </w:r>
      <w:r>
        <w:rPr>
          <w:rFonts w:ascii="Verdana" w:hAnsi="Verdana" w:cs="Calibri"/>
          <w:sz w:val="20"/>
          <w:szCs w:val="20"/>
          <w:shd w:val="clear" w:color="auto" w:fill="FFFFFF"/>
          <w:lang w:val="sk-SK"/>
        </w:rPr>
        <w:t>cieľov.</w:t>
      </w:r>
      <w:r>
        <w:rPr>
          <w:rFonts w:ascii="Verdana" w:hAnsi="Verdana" w:cs="Calibri"/>
          <w:sz w:val="20"/>
          <w:szCs w:val="20"/>
          <w:lang w:val="sk-SK"/>
        </w:rPr>
        <w:t xml:space="preserve"> </w:t>
      </w:r>
    </w:p>
    <w:p w:rsidR="005C3F63" w:rsidRDefault="006536E7">
      <w:pPr>
        <w:pStyle w:val="Kapitola"/>
        <w:rPr>
          <w:lang w:val="sk-SK"/>
        </w:rPr>
      </w:pPr>
      <w:r>
        <w:rPr>
          <w:lang w:val="sk-SK"/>
        </w:rPr>
        <w:t>Literárne zdroje a iné odkazy / References</w:t>
      </w:r>
    </w:p>
    <w:p w:rsidR="005C3F63" w:rsidRDefault="006536E7">
      <w:pPr>
        <w:pStyle w:val="Text"/>
        <w:spacing w:before="0"/>
        <w:rPr>
          <w:rFonts w:ascii="Verdana" w:hAnsi="Verdana"/>
          <w:sz w:val="20"/>
          <w:szCs w:val="20"/>
          <w:lang w:val="sk-SK"/>
        </w:rPr>
      </w:pPr>
      <w:r>
        <w:rPr>
          <w:rFonts w:ascii="Verdana" w:hAnsi="Verdana"/>
          <w:sz w:val="20"/>
          <w:szCs w:val="20"/>
          <w:lang w:val="sk-SK"/>
        </w:rPr>
        <w:t>Blahušiaková, M. (2016). Application of Present Value at Calculation of the Sum of Value Adjustments to Long Term Receivables and Long Term Loans. In: Sborník z mezinárodní vědecké konference Účetníctví a auditing v procesu světové harmonizace. Praha: Vysoká škola ekonomická v Praze, Nakladatelství Oeconomica, pp. 28-35.</w:t>
      </w:r>
    </w:p>
    <w:p w:rsidR="005C3F63" w:rsidRDefault="006536E7">
      <w:pPr>
        <w:pStyle w:val="Text"/>
        <w:spacing w:before="0"/>
        <w:rPr>
          <w:rFonts w:ascii="Verdana" w:hAnsi="Verdana"/>
          <w:sz w:val="20"/>
          <w:szCs w:val="20"/>
          <w:lang w:val="sk-SK"/>
        </w:rPr>
      </w:pPr>
      <w:r>
        <w:rPr>
          <w:rFonts w:ascii="Verdana" w:hAnsi="Verdana"/>
          <w:sz w:val="20"/>
          <w:szCs w:val="20"/>
          <w:lang w:val="sk-SK"/>
        </w:rPr>
        <w:t>Hornická, R. (2016). Accounting view of accruals and deferrals in particular categories of business entities. In: Sborník z mezinárodní vědecké konference Účetníctví a auditing v procesu světové harmonizace. Praha: Vysoká škola ekonomická v Praze, Nakladatelství Oeconomica, pp. 52-58.</w:t>
      </w:r>
    </w:p>
    <w:p w:rsidR="005C3F63" w:rsidRDefault="00085067">
      <w:pPr>
        <w:rPr>
          <w:rFonts w:ascii="Verdana" w:hAnsi="Verdana"/>
          <w:sz w:val="20"/>
          <w:szCs w:val="20"/>
          <w:lang w:val="sk-SK"/>
        </w:rPr>
      </w:pPr>
      <w:hyperlink r:id="rId131" w:history="1">
        <w:r w:rsidR="006536E7">
          <w:rPr>
            <w:rStyle w:val="af9"/>
            <w:rFonts w:ascii="Verdana" w:hAnsi="Verdana"/>
            <w:color w:val="auto"/>
            <w:sz w:val="20"/>
            <w:szCs w:val="20"/>
            <w:lang w:val="sk-SK"/>
          </w:rPr>
          <w:t>https://www.acleu.eu/index.php/charity-lotteries</w:t>
        </w:r>
      </w:hyperlink>
      <w:r w:rsidR="006536E7">
        <w:rPr>
          <w:rFonts w:ascii="Verdana" w:hAnsi="Verdana"/>
          <w:sz w:val="20"/>
          <w:szCs w:val="20"/>
          <w:lang w:val="sk-SK"/>
        </w:rPr>
        <w:t>.</w:t>
      </w:r>
    </w:p>
    <w:p w:rsidR="005C3F63" w:rsidRDefault="00085067">
      <w:pPr>
        <w:rPr>
          <w:rFonts w:ascii="Verdana" w:hAnsi="Verdana" w:cs="Arial"/>
          <w:sz w:val="20"/>
          <w:szCs w:val="20"/>
          <w:lang w:val="sk-SK"/>
        </w:rPr>
      </w:pPr>
      <w:hyperlink r:id="rId132" w:history="1">
        <w:r w:rsidR="006536E7">
          <w:rPr>
            <w:rStyle w:val="af9"/>
            <w:rFonts w:ascii="Verdana" w:hAnsi="Verdana"/>
            <w:color w:val="auto"/>
            <w:sz w:val="20"/>
            <w:szCs w:val="20"/>
            <w:lang w:val="sk-SK"/>
          </w:rPr>
          <w:t>https://www.acleu.eu/index.php/charity-lotteries/denmark</w:t>
        </w:r>
      </w:hyperlink>
      <w:r w:rsidR="006536E7">
        <w:rPr>
          <w:rFonts w:ascii="Verdana" w:hAnsi="Verdana"/>
          <w:sz w:val="20"/>
          <w:szCs w:val="20"/>
          <w:lang w:val="sk-SK"/>
        </w:rPr>
        <w:t>.</w:t>
      </w:r>
    </w:p>
    <w:p w:rsidR="005C3F63" w:rsidRDefault="00085067">
      <w:pPr>
        <w:rPr>
          <w:rFonts w:ascii="Verdana" w:hAnsi="Verdana"/>
          <w:sz w:val="20"/>
          <w:szCs w:val="20"/>
          <w:lang w:val="sk-SK"/>
        </w:rPr>
      </w:pPr>
      <w:hyperlink r:id="rId133" w:history="1">
        <w:r w:rsidR="006536E7">
          <w:rPr>
            <w:rStyle w:val="af9"/>
            <w:rFonts w:ascii="Verdana" w:hAnsi="Verdana"/>
            <w:color w:val="auto"/>
            <w:sz w:val="20"/>
            <w:szCs w:val="20"/>
            <w:lang w:val="sk-SK"/>
          </w:rPr>
          <w:t>https://www.acleu.eu/index.php/charity-lotteries/germany</w:t>
        </w:r>
      </w:hyperlink>
      <w:r w:rsidR="006536E7">
        <w:rPr>
          <w:rFonts w:ascii="Verdana" w:hAnsi="Verdana"/>
          <w:sz w:val="20"/>
          <w:szCs w:val="20"/>
          <w:lang w:val="sk-SK"/>
        </w:rPr>
        <w:t>.</w:t>
      </w:r>
    </w:p>
    <w:p w:rsidR="005C3F63" w:rsidRDefault="00085067">
      <w:pPr>
        <w:rPr>
          <w:rFonts w:ascii="Verdana" w:hAnsi="Verdana"/>
          <w:sz w:val="20"/>
          <w:szCs w:val="20"/>
          <w:lang w:val="sk-SK"/>
        </w:rPr>
      </w:pPr>
      <w:hyperlink r:id="rId134" w:history="1">
        <w:r w:rsidR="006536E7">
          <w:rPr>
            <w:rStyle w:val="af9"/>
            <w:rFonts w:ascii="Verdana" w:hAnsi="Verdana"/>
            <w:color w:val="auto"/>
            <w:sz w:val="20"/>
            <w:szCs w:val="20"/>
            <w:lang w:val="sk-SK"/>
          </w:rPr>
          <w:t>https://www.acleu.eu/index.php/charity-lotteries/ireland</w:t>
        </w:r>
      </w:hyperlink>
      <w:r w:rsidR="006536E7">
        <w:rPr>
          <w:rFonts w:ascii="Verdana" w:hAnsi="Verdana"/>
          <w:sz w:val="20"/>
          <w:szCs w:val="20"/>
          <w:lang w:val="sk-SK"/>
        </w:rPr>
        <w:t>.</w:t>
      </w:r>
    </w:p>
    <w:p w:rsidR="005C3F63" w:rsidRDefault="00085067">
      <w:pPr>
        <w:rPr>
          <w:rFonts w:ascii="Verdana" w:hAnsi="Verdana"/>
          <w:sz w:val="20"/>
          <w:szCs w:val="20"/>
          <w:lang w:val="sk-SK"/>
        </w:rPr>
      </w:pPr>
      <w:hyperlink r:id="rId135" w:history="1">
        <w:r w:rsidR="006536E7">
          <w:rPr>
            <w:rStyle w:val="af9"/>
            <w:rFonts w:ascii="Verdana" w:hAnsi="Verdana"/>
            <w:color w:val="auto"/>
            <w:sz w:val="20"/>
            <w:szCs w:val="20"/>
            <w:lang w:val="sk-SK"/>
          </w:rPr>
          <w:t>https://www.acleu.eu/index.php/charity-lotteries/netherlands</w:t>
        </w:r>
      </w:hyperlink>
      <w:r w:rsidR="006536E7">
        <w:rPr>
          <w:rFonts w:ascii="Verdana" w:hAnsi="Verdana"/>
          <w:sz w:val="20"/>
          <w:szCs w:val="20"/>
          <w:lang w:val="sk-SK"/>
        </w:rPr>
        <w:t>.</w:t>
      </w:r>
    </w:p>
    <w:p w:rsidR="005C3F63" w:rsidRDefault="00085067">
      <w:pPr>
        <w:pStyle w:val="afd"/>
        <w:ind w:left="0"/>
        <w:contextualSpacing w:val="0"/>
        <w:rPr>
          <w:rFonts w:ascii="Verdana" w:hAnsi="Verdana"/>
          <w:sz w:val="20"/>
          <w:szCs w:val="20"/>
          <w:lang w:val="sk-SK"/>
        </w:rPr>
      </w:pPr>
      <w:hyperlink r:id="rId136" w:history="1">
        <w:r w:rsidR="006536E7">
          <w:rPr>
            <w:rStyle w:val="af9"/>
            <w:rFonts w:ascii="Verdana" w:hAnsi="Verdana"/>
            <w:color w:val="auto"/>
            <w:sz w:val="20"/>
            <w:szCs w:val="20"/>
            <w:lang w:val="sk-SK"/>
          </w:rPr>
          <w:t>https://www.acleu.eu/index.php/charity-lotteries/spain</w:t>
        </w:r>
      </w:hyperlink>
      <w:r w:rsidR="006536E7">
        <w:rPr>
          <w:rFonts w:ascii="Verdana" w:hAnsi="Verdana"/>
          <w:sz w:val="20"/>
          <w:szCs w:val="20"/>
          <w:lang w:val="sk-SK"/>
        </w:rPr>
        <w:t>.</w:t>
      </w:r>
    </w:p>
    <w:p w:rsidR="005C3F63" w:rsidRDefault="00085067">
      <w:pPr>
        <w:pStyle w:val="Kapitola"/>
        <w:spacing w:before="0" w:after="0"/>
        <w:jc w:val="both"/>
        <w:rPr>
          <w:b w:val="0"/>
          <w:sz w:val="20"/>
          <w:szCs w:val="20"/>
          <w:lang w:val="sk-SK"/>
        </w:rPr>
      </w:pPr>
      <w:hyperlink r:id="rId137" w:history="1">
        <w:r w:rsidR="006536E7">
          <w:rPr>
            <w:rStyle w:val="af9"/>
            <w:b w:val="0"/>
            <w:color w:val="auto"/>
            <w:sz w:val="20"/>
            <w:szCs w:val="20"/>
            <w:lang w:val="sk-SK"/>
          </w:rPr>
          <w:t>https://www.acleu.eu/index.php/charity-lotteries/sweden</w:t>
        </w:r>
      </w:hyperlink>
      <w:r w:rsidR="006536E7">
        <w:rPr>
          <w:b w:val="0"/>
          <w:sz w:val="20"/>
          <w:szCs w:val="20"/>
          <w:lang w:val="sk-SK"/>
        </w:rPr>
        <w:t>.</w:t>
      </w:r>
    </w:p>
    <w:p w:rsidR="005C3F63" w:rsidRDefault="00085067">
      <w:pPr>
        <w:pStyle w:val="Kapitola"/>
        <w:spacing w:before="0" w:after="0"/>
        <w:jc w:val="both"/>
        <w:rPr>
          <w:b w:val="0"/>
          <w:sz w:val="20"/>
          <w:szCs w:val="20"/>
          <w:lang w:val="sk-SK"/>
        </w:rPr>
      </w:pPr>
      <w:hyperlink r:id="rId138" w:history="1">
        <w:r w:rsidR="006536E7">
          <w:rPr>
            <w:rStyle w:val="af9"/>
            <w:b w:val="0"/>
            <w:color w:val="auto"/>
            <w:sz w:val="20"/>
            <w:szCs w:val="20"/>
            <w:lang w:val="sk-SK"/>
          </w:rPr>
          <w:t>https://www.acleu.eu/index.php/charity-lotteries/</w:t>
        </w:r>
      </w:hyperlink>
      <w:r w:rsidR="006536E7">
        <w:rPr>
          <w:b w:val="0"/>
          <w:sz w:val="20"/>
          <w:szCs w:val="20"/>
          <w:lang w:val="sk-SK"/>
        </w:rPr>
        <w:t>united-kingdom.</w:t>
      </w:r>
    </w:p>
    <w:p w:rsidR="005C3F63" w:rsidRDefault="006536E7">
      <w:pPr>
        <w:pStyle w:val="Text"/>
        <w:spacing w:before="0"/>
        <w:rPr>
          <w:rFonts w:ascii="Verdana" w:hAnsi="Verdana"/>
          <w:sz w:val="20"/>
          <w:szCs w:val="20"/>
          <w:lang w:val="sk-SK"/>
        </w:rPr>
      </w:pPr>
      <w:r>
        <w:rPr>
          <w:rFonts w:ascii="Verdana" w:hAnsi="Verdana"/>
          <w:sz w:val="20"/>
          <w:szCs w:val="20"/>
          <w:lang w:val="sk-SK"/>
        </w:rPr>
        <w:t xml:space="preserve">Kušníriková, M. (2019). Inštitútu charitatívnej lotérie v právnom poriadku SR. Dostupné na: </w:t>
      </w:r>
      <w:hyperlink r:id="rId139" w:history="1">
        <w:r>
          <w:rPr>
            <w:rStyle w:val="af9"/>
            <w:rFonts w:ascii="Verdana" w:hAnsi="Verdana"/>
            <w:color w:val="auto"/>
            <w:sz w:val="20"/>
            <w:szCs w:val="20"/>
            <w:lang w:val="sk-SK"/>
          </w:rPr>
          <w:t>http://itretisektor.sk/clanok-0-605/1228_Charitativna_loteria.html.</w:t>
        </w:r>
      </w:hyperlink>
    </w:p>
    <w:p w:rsidR="005C3F63" w:rsidRDefault="00085067">
      <w:pPr>
        <w:pStyle w:val="Text"/>
        <w:spacing w:before="0"/>
        <w:rPr>
          <w:rFonts w:ascii="Verdana" w:hAnsi="Verdana"/>
          <w:sz w:val="20"/>
          <w:szCs w:val="20"/>
          <w:lang w:val="sk-SK"/>
        </w:rPr>
      </w:pPr>
      <w:hyperlink r:id="rId140" w:tooltip="Find more records by this author" w:history="1">
        <w:r w:rsidR="006536E7">
          <w:rPr>
            <w:rStyle w:val="af9"/>
            <w:rFonts w:ascii="Verdana" w:hAnsi="Verdana"/>
            <w:color w:val="auto"/>
            <w:sz w:val="20"/>
            <w:szCs w:val="20"/>
            <w:u w:val="none"/>
            <w:lang w:val="sk-SK"/>
          </w:rPr>
          <w:t>Pakšiová, R.,</w:t>
        </w:r>
      </w:hyperlink>
      <w:r w:rsidR="006536E7">
        <w:rPr>
          <w:rFonts w:ascii="Verdana" w:hAnsi="Verdana"/>
          <w:sz w:val="20"/>
          <w:szCs w:val="20"/>
          <w:lang w:val="sk-SK"/>
        </w:rPr>
        <w:t xml:space="preserve"> </w:t>
      </w:r>
      <w:hyperlink r:id="rId141" w:tooltip="Find more records by this author" w:history="1">
        <w:r w:rsidR="006536E7">
          <w:rPr>
            <w:rStyle w:val="af9"/>
            <w:rFonts w:ascii="Verdana" w:hAnsi="Verdana"/>
            <w:color w:val="auto"/>
            <w:sz w:val="20"/>
            <w:szCs w:val="20"/>
            <w:u w:val="none"/>
            <w:lang w:val="sk-SK"/>
          </w:rPr>
          <w:t>Kubaščíková, Z.</w:t>
        </w:r>
      </w:hyperlink>
      <w:r w:rsidR="006536E7">
        <w:rPr>
          <w:rFonts w:ascii="Verdana" w:hAnsi="Verdana"/>
          <w:sz w:val="20"/>
          <w:szCs w:val="20"/>
          <w:lang w:val="sk-SK"/>
        </w:rPr>
        <w:t>, </w:t>
      </w:r>
      <w:hyperlink r:id="rId142" w:tooltip="Find more records by this author" w:history="1">
        <w:r w:rsidR="006536E7">
          <w:rPr>
            <w:rStyle w:val="af9"/>
            <w:rFonts w:ascii="Verdana" w:hAnsi="Verdana"/>
            <w:color w:val="auto"/>
            <w:sz w:val="20"/>
            <w:szCs w:val="20"/>
            <w:u w:val="none"/>
            <w:lang w:val="sk-SK"/>
          </w:rPr>
          <w:t>Kršeková, M.</w:t>
        </w:r>
      </w:hyperlink>
      <w:r w:rsidR="006536E7">
        <w:rPr>
          <w:rFonts w:ascii="Verdana" w:hAnsi="Verdana"/>
          <w:sz w:val="20"/>
          <w:szCs w:val="20"/>
          <w:lang w:val="sk-SK"/>
        </w:rPr>
        <w:t xml:space="preserve"> (2015). </w:t>
      </w:r>
      <w:hyperlink r:id="rId143" w:history="1">
        <w:r w:rsidR="006536E7">
          <w:rPr>
            <w:rStyle w:val="af9"/>
            <w:rFonts w:ascii="Verdana" w:hAnsi="Verdana"/>
            <w:color w:val="auto"/>
            <w:sz w:val="20"/>
            <w:szCs w:val="20"/>
            <w:u w:val="none"/>
            <w:lang w:val="sk-SK"/>
          </w:rPr>
          <w:t>Valuation of all Fungible Items' Assets Reduction and its Influence on Measuring Company's Performance</w:t>
        </w:r>
      </w:hyperlink>
      <w:r w:rsidR="006536E7">
        <w:rPr>
          <w:rFonts w:ascii="Verdana" w:hAnsi="Verdana"/>
          <w:sz w:val="20"/>
          <w:szCs w:val="20"/>
          <w:lang w:val="sk-SK"/>
        </w:rPr>
        <w:t xml:space="preserve">. In: </w:t>
      </w:r>
      <w:r w:rsidR="006536E7">
        <w:rPr>
          <w:rStyle w:val="databold"/>
          <w:rFonts w:ascii="Verdana" w:hAnsi="Verdana"/>
          <w:sz w:val="20"/>
          <w:szCs w:val="20"/>
          <w:lang w:val="sk-SK"/>
        </w:rPr>
        <w:t>10th International Scientific Conference on Financial Management of Firms and Financial Institutions.</w:t>
      </w:r>
      <w:r w:rsidR="006536E7">
        <w:rPr>
          <w:rStyle w:val="label"/>
          <w:rFonts w:ascii="Verdana" w:hAnsi="Verdana"/>
          <w:sz w:val="20"/>
          <w:szCs w:val="20"/>
          <w:lang w:val="sk-SK"/>
        </w:rPr>
        <w:t> </w:t>
      </w:r>
      <w:r w:rsidR="006536E7">
        <w:rPr>
          <w:rStyle w:val="databold"/>
          <w:rFonts w:ascii="Verdana" w:hAnsi="Verdana"/>
          <w:sz w:val="20"/>
          <w:szCs w:val="20"/>
          <w:lang w:val="sk-SK"/>
        </w:rPr>
        <w:t>Ostrava, pp. 921-928.</w:t>
      </w:r>
    </w:p>
    <w:p w:rsidR="005C3F63" w:rsidRDefault="006536E7">
      <w:pPr>
        <w:pStyle w:val="Text"/>
        <w:spacing w:before="0"/>
        <w:rPr>
          <w:rFonts w:ascii="Verdana" w:hAnsi="Verdana"/>
          <w:sz w:val="20"/>
          <w:szCs w:val="20"/>
          <w:lang w:val="sk-SK"/>
        </w:rPr>
      </w:pPr>
      <w:r>
        <w:rPr>
          <w:rFonts w:ascii="Verdana" w:hAnsi="Verdana"/>
          <w:sz w:val="20"/>
          <w:szCs w:val="20"/>
          <w:lang w:val="sk-SK"/>
        </w:rPr>
        <w:t>Subačiene R., Alver L., Bruna I., Hladika M., Mokošová D., Molín J. (2018). Evaluation of Accounting Regulation Evolution in Selected Coutries. Entrepreneurship and sustainability issues. vol. 6, p.p. 139-175.</w:t>
      </w:r>
    </w:p>
    <w:p w:rsidR="005C3F63" w:rsidRDefault="006536E7">
      <w:pPr>
        <w:pStyle w:val="Text"/>
        <w:spacing w:before="0"/>
        <w:rPr>
          <w:rFonts w:ascii="Verdana" w:hAnsi="Verdana"/>
          <w:sz w:val="20"/>
          <w:szCs w:val="20"/>
          <w:lang w:val="sk-SK"/>
        </w:rPr>
      </w:pPr>
      <w:r>
        <w:rPr>
          <w:rFonts w:ascii="Verdana" w:hAnsi="Verdana"/>
          <w:sz w:val="20"/>
          <w:szCs w:val="20"/>
          <w:lang w:val="sk-SK" w:eastAsia="sk-SK"/>
        </w:rPr>
        <w:t xml:space="preserve">Uznesenie Rady vlády SR pre mimovládne neziskové organizácie č. 7 </w:t>
      </w:r>
      <w:r>
        <w:rPr>
          <w:rFonts w:ascii="Verdana" w:hAnsi="Verdana"/>
          <w:i/>
          <w:sz w:val="20"/>
          <w:szCs w:val="20"/>
          <w:lang w:val="sk-SK" w:eastAsia="sk-SK"/>
        </w:rPr>
        <w:t>k zavedeniu a prevádzkovaniu charitatívnej lotérie</w:t>
      </w:r>
      <w:r>
        <w:rPr>
          <w:rFonts w:ascii="Verdana" w:hAnsi="Verdana"/>
          <w:sz w:val="20"/>
          <w:szCs w:val="20"/>
          <w:lang w:val="sk-SK" w:eastAsia="sk-SK"/>
        </w:rPr>
        <w:t xml:space="preserve">, 2018. </w:t>
      </w:r>
    </w:p>
    <w:p w:rsidR="005C3F63" w:rsidRDefault="006536E7">
      <w:pPr>
        <w:pStyle w:val="Text"/>
        <w:spacing w:before="0"/>
        <w:rPr>
          <w:rFonts w:ascii="Verdana" w:hAnsi="Verdana"/>
          <w:sz w:val="20"/>
          <w:szCs w:val="20"/>
          <w:lang w:val="sk-SK"/>
        </w:rPr>
      </w:pPr>
      <w:r>
        <w:rPr>
          <w:rFonts w:ascii="Verdana" w:hAnsi="Verdana"/>
          <w:sz w:val="20"/>
          <w:szCs w:val="20"/>
          <w:lang w:val="sk-SK"/>
        </w:rPr>
        <w:t>Vašeková, M. (2016). Contributions to capital and loans from shareholders in terms of commercial law, accounting and tax legislation in Slovakia. In: Sborník z mezinárodní vědecké konference Účetníctví a auditing v procesu světové harmonizace. Praha: Vysoká škola ekonomická v Praze, Nakladatelství Oeconomica, pp. 195-199</w:t>
      </w:r>
    </w:p>
    <w:p w:rsidR="005C3F63" w:rsidRDefault="006536E7">
      <w:pPr>
        <w:pStyle w:val="afd"/>
        <w:ind w:left="0"/>
        <w:rPr>
          <w:rFonts w:ascii="Verdana" w:hAnsi="Verdana"/>
          <w:sz w:val="20"/>
          <w:szCs w:val="20"/>
          <w:lang w:val="sk-SK" w:eastAsia="sk-SK"/>
        </w:rPr>
      </w:pPr>
      <w:r>
        <w:rPr>
          <w:rFonts w:ascii="Verdana" w:hAnsi="Verdana"/>
          <w:sz w:val="20"/>
          <w:szCs w:val="20"/>
          <w:lang w:val="sk-SK"/>
        </w:rPr>
        <w:t xml:space="preserve">Zákon č. </w:t>
      </w:r>
      <w:r>
        <w:rPr>
          <w:rFonts w:ascii="Verdana" w:hAnsi="Verdana"/>
          <w:sz w:val="20"/>
          <w:szCs w:val="20"/>
          <w:lang w:val="sk-SK" w:eastAsia="sk-SK"/>
        </w:rPr>
        <w:t>171/2005 Z. z. o hazardných hrách a o zmene a doplnení niektorých zákonov v znení neskorších predpisov.</w:t>
      </w:r>
    </w:p>
    <w:p w:rsidR="005C3F63" w:rsidRDefault="006536E7">
      <w:pPr>
        <w:pStyle w:val="afd"/>
        <w:ind w:left="0"/>
        <w:rPr>
          <w:rFonts w:ascii="Verdana" w:hAnsi="Verdana"/>
          <w:sz w:val="20"/>
          <w:szCs w:val="20"/>
          <w:lang w:val="sk-SK" w:eastAsia="sk-SK"/>
        </w:rPr>
      </w:pPr>
      <w:r>
        <w:rPr>
          <w:rFonts w:ascii="Verdana" w:hAnsi="Verdana"/>
          <w:sz w:val="20"/>
          <w:szCs w:val="20"/>
          <w:lang w:val="sk-SK"/>
        </w:rPr>
        <w:t xml:space="preserve">Zákon č. </w:t>
      </w:r>
      <w:r>
        <w:rPr>
          <w:rFonts w:ascii="Verdana" w:hAnsi="Verdana"/>
          <w:sz w:val="20"/>
          <w:szCs w:val="20"/>
          <w:lang w:val="sk-SK" w:eastAsia="sk-SK"/>
        </w:rPr>
        <w:t>30/2019 Z. z. o hazardných hrách a o zmene a doplnení niektorých zákonov v znení neskorších predpisov.</w:t>
      </w:r>
    </w:p>
    <w:p w:rsidR="005C3F63" w:rsidRDefault="006536E7">
      <w:pPr>
        <w:jc w:val="left"/>
        <w:rPr>
          <w:rFonts w:ascii="Verdana" w:hAnsi="Verdana"/>
          <w:sz w:val="20"/>
          <w:szCs w:val="20"/>
          <w:lang w:val="sk-SK" w:eastAsia="sk-SK"/>
        </w:rPr>
      </w:pPr>
      <w:r>
        <w:rPr>
          <w:rFonts w:ascii="Verdana" w:hAnsi="Verdana"/>
          <w:sz w:val="20"/>
          <w:szCs w:val="20"/>
          <w:lang w:val="sk-SK" w:eastAsia="sk-SK"/>
        </w:rPr>
        <w:br w:type="page"/>
      </w:r>
    </w:p>
    <w:p w:rsidR="005C3F63" w:rsidRDefault="006536E7">
      <w:pPr>
        <w:pStyle w:val="1"/>
      </w:pPr>
      <w:bookmarkStart w:id="350" w:name="_Toc47951518"/>
      <w:r>
        <w:rPr>
          <w:rStyle w:val="tlid-translation"/>
        </w:rPr>
        <w:lastRenderedPageBreak/>
        <w:t xml:space="preserve">Trading enterprises’ accounting provision of controlling </w:t>
      </w:r>
      <w:r>
        <w:t>in the digitalization era</w:t>
      </w:r>
      <w:bookmarkEnd w:id="350"/>
    </w:p>
    <w:p w:rsidR="005C3F63" w:rsidRDefault="006536E7">
      <w:pPr>
        <w:pStyle w:val="Autor"/>
        <w:rPr>
          <w:lang w:val="de-DE"/>
        </w:rPr>
      </w:pPr>
      <w:bookmarkStart w:id="351" w:name="_Toc47448547"/>
      <w:bookmarkStart w:id="352" w:name="_Toc47948982"/>
      <w:bookmarkStart w:id="353" w:name="_Toc47448602"/>
      <w:bookmarkStart w:id="354" w:name="_Toc47448187"/>
      <w:bookmarkStart w:id="355" w:name="_Toc47451144"/>
      <w:bookmarkStart w:id="356" w:name="_Toc47948784"/>
      <w:bookmarkStart w:id="357" w:name="_Toc47447968"/>
      <w:bookmarkStart w:id="358" w:name="_Toc47951361"/>
      <w:bookmarkStart w:id="359" w:name="_Toc47951519"/>
      <w:bookmarkStart w:id="360" w:name="_Toc47447148"/>
      <w:bookmarkStart w:id="361" w:name="_Toc47449303"/>
      <w:bookmarkStart w:id="362" w:name="_Toc47448309"/>
      <w:bookmarkStart w:id="363" w:name="_Toc47448828"/>
      <w:bookmarkStart w:id="364" w:name="_Toc47448104"/>
      <w:bookmarkStart w:id="365" w:name="_Toc47448050"/>
      <w:bookmarkStart w:id="366" w:name="_Toc47949296"/>
      <w:bookmarkStart w:id="367" w:name="_Toc47447914"/>
      <w:bookmarkStart w:id="368" w:name="_Toc47948723"/>
      <w:bookmarkStart w:id="369" w:name="_Toc47951454"/>
      <w:r>
        <w:rPr>
          <w:lang w:val="de-DE"/>
        </w:rPr>
        <w:t>Valentyna Kostyuchenko¹, Anastasiia Kamil², Serhii Holov</w:t>
      </w:r>
      <w:r>
        <w:rPr>
          <w:vertAlign w:val="superscript"/>
          <w:lang w:val="de-DE"/>
        </w:rPr>
        <w:t>3</w:t>
      </w:r>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p>
    <w:p w:rsidR="005C3F63" w:rsidRDefault="006536E7">
      <w:pPr>
        <w:pStyle w:val="af3"/>
        <w:shd w:val="clear" w:color="auto" w:fill="FFFFFF"/>
        <w:spacing w:before="0" w:beforeAutospacing="0" w:after="0" w:afterAutospacing="0"/>
        <w:jc w:val="center"/>
        <w:rPr>
          <w:rFonts w:ascii="Verdana" w:hAnsi="Verdana"/>
          <w:color w:val="000000" w:themeColor="text1"/>
          <w:sz w:val="18"/>
          <w:szCs w:val="18"/>
        </w:rPr>
      </w:pPr>
      <w:r>
        <w:rPr>
          <w:rFonts w:ascii="Verdana" w:hAnsi="Verdana"/>
          <w:bCs/>
          <w:color w:val="000000" w:themeColor="text1"/>
          <w:sz w:val="18"/>
          <w:szCs w:val="18"/>
        </w:rPr>
        <w:t>¹Kyiv National University of Trade and Economics</w:t>
      </w:r>
    </w:p>
    <w:p w:rsidR="005C3F63" w:rsidRDefault="006536E7">
      <w:pPr>
        <w:pStyle w:val="af3"/>
        <w:shd w:val="clear" w:color="auto" w:fill="FFFFFF"/>
        <w:spacing w:before="0" w:beforeAutospacing="0" w:after="0" w:afterAutospacing="0"/>
        <w:jc w:val="center"/>
        <w:rPr>
          <w:rFonts w:ascii="Verdana" w:hAnsi="Verdana"/>
          <w:color w:val="000000" w:themeColor="text1"/>
          <w:sz w:val="18"/>
          <w:szCs w:val="18"/>
        </w:rPr>
      </w:pPr>
      <w:r>
        <w:rPr>
          <w:rFonts w:ascii="Verdana" w:hAnsi="Verdana"/>
          <w:color w:val="000000" w:themeColor="text1"/>
          <w:sz w:val="18"/>
          <w:szCs w:val="18"/>
        </w:rPr>
        <w:t>Faculty of Finance and Accounting, Department of Accounting and Taxation</w:t>
      </w:r>
    </w:p>
    <w:p w:rsidR="005C3F63" w:rsidRDefault="006536E7">
      <w:pPr>
        <w:pStyle w:val="af3"/>
        <w:shd w:val="clear" w:color="auto" w:fill="FFFFFF"/>
        <w:spacing w:before="0" w:beforeAutospacing="0" w:after="0" w:afterAutospacing="0"/>
        <w:jc w:val="center"/>
        <w:rPr>
          <w:rFonts w:ascii="Verdana" w:hAnsi="Verdana"/>
          <w:color w:val="000000" w:themeColor="text1"/>
          <w:sz w:val="18"/>
          <w:szCs w:val="18"/>
          <w:lang w:val="uk-UA"/>
        </w:rPr>
      </w:pPr>
      <w:r>
        <w:rPr>
          <w:rFonts w:ascii="Verdana" w:hAnsi="Verdana"/>
          <w:color w:val="000000" w:themeColor="text1"/>
          <w:sz w:val="18"/>
          <w:szCs w:val="18"/>
        </w:rPr>
        <w:t>Kioto street 19, 02</w:t>
      </w:r>
      <w:r>
        <w:rPr>
          <w:rFonts w:ascii="Verdana" w:hAnsi="Verdana"/>
          <w:color w:val="000000" w:themeColor="text1"/>
          <w:sz w:val="18"/>
          <w:szCs w:val="18"/>
          <w:lang w:val="uk-UA"/>
        </w:rPr>
        <w:t xml:space="preserve">156, </w:t>
      </w:r>
      <w:r>
        <w:rPr>
          <w:rFonts w:ascii="Verdana" w:hAnsi="Verdana"/>
          <w:color w:val="000000" w:themeColor="text1"/>
          <w:sz w:val="18"/>
          <w:szCs w:val="18"/>
        </w:rPr>
        <w:t>Kyiv, Ukraine</w:t>
      </w:r>
    </w:p>
    <w:p w:rsidR="005C3F63" w:rsidRDefault="006536E7">
      <w:pPr>
        <w:pStyle w:val="af3"/>
        <w:shd w:val="clear" w:color="auto" w:fill="FFFFFF"/>
        <w:spacing w:before="0" w:beforeAutospacing="0" w:after="0" w:afterAutospacing="0"/>
        <w:jc w:val="center"/>
        <w:rPr>
          <w:rFonts w:ascii="Verdana" w:hAnsi="Verdana"/>
          <w:bCs/>
          <w:color w:val="000000" w:themeColor="text1"/>
          <w:sz w:val="18"/>
          <w:szCs w:val="18"/>
        </w:rPr>
      </w:pPr>
      <w:r>
        <w:rPr>
          <w:rFonts w:ascii="Verdana" w:hAnsi="Verdana"/>
          <w:color w:val="000000" w:themeColor="text1"/>
          <w:sz w:val="18"/>
          <w:szCs w:val="18"/>
        </w:rPr>
        <w:t>Email:</w:t>
      </w:r>
      <w:r>
        <w:rPr>
          <w:rFonts w:ascii="Verdana" w:hAnsi="Verdana"/>
          <w:bCs/>
          <w:color w:val="000000" w:themeColor="text1"/>
          <w:sz w:val="18"/>
          <w:szCs w:val="18"/>
        </w:rPr>
        <w:t xml:space="preserve"> </w:t>
      </w:r>
      <w:r>
        <w:rPr>
          <w:rFonts w:ascii="Verdana" w:hAnsi="Verdana"/>
          <w:bCs/>
          <w:sz w:val="18"/>
          <w:szCs w:val="18"/>
        </w:rPr>
        <w:t>valentynak1098@gmail.com</w:t>
      </w:r>
    </w:p>
    <w:p w:rsidR="005C3F63" w:rsidRDefault="005C3F63">
      <w:pPr>
        <w:pStyle w:val="af3"/>
        <w:shd w:val="clear" w:color="auto" w:fill="FFFFFF"/>
        <w:spacing w:before="0" w:beforeAutospacing="0" w:after="0" w:afterAutospacing="0"/>
        <w:jc w:val="center"/>
        <w:rPr>
          <w:rFonts w:ascii="Verdana" w:hAnsi="Verdana"/>
          <w:bCs/>
          <w:color w:val="000000" w:themeColor="text1"/>
          <w:sz w:val="18"/>
          <w:szCs w:val="18"/>
        </w:rPr>
      </w:pPr>
    </w:p>
    <w:p w:rsidR="005C3F63" w:rsidRDefault="006536E7">
      <w:pPr>
        <w:pStyle w:val="af3"/>
        <w:shd w:val="clear" w:color="auto" w:fill="FFFFFF"/>
        <w:spacing w:before="0" w:beforeAutospacing="0" w:after="0" w:afterAutospacing="0"/>
        <w:jc w:val="center"/>
        <w:rPr>
          <w:rFonts w:ascii="Verdana" w:hAnsi="Verdana"/>
          <w:color w:val="000000" w:themeColor="text1"/>
          <w:sz w:val="18"/>
          <w:szCs w:val="18"/>
        </w:rPr>
      </w:pPr>
      <w:r>
        <w:rPr>
          <w:rFonts w:ascii="Verdana" w:hAnsi="Verdana"/>
          <w:bCs/>
          <w:color w:val="000000" w:themeColor="text1"/>
          <w:sz w:val="18"/>
          <w:szCs w:val="18"/>
        </w:rPr>
        <w:t>²Kyiv National University of Trade and Economics</w:t>
      </w:r>
    </w:p>
    <w:p w:rsidR="005C3F63" w:rsidRDefault="006536E7">
      <w:pPr>
        <w:pStyle w:val="af3"/>
        <w:shd w:val="clear" w:color="auto" w:fill="FFFFFF"/>
        <w:spacing w:before="0" w:beforeAutospacing="0" w:after="0" w:afterAutospacing="0"/>
        <w:jc w:val="center"/>
        <w:rPr>
          <w:rFonts w:ascii="Verdana" w:hAnsi="Verdana"/>
          <w:color w:val="000000" w:themeColor="text1"/>
          <w:sz w:val="18"/>
          <w:szCs w:val="18"/>
        </w:rPr>
      </w:pPr>
      <w:r>
        <w:rPr>
          <w:rFonts w:ascii="Verdana" w:hAnsi="Verdana"/>
          <w:color w:val="000000" w:themeColor="text1"/>
          <w:sz w:val="18"/>
          <w:szCs w:val="18"/>
        </w:rPr>
        <w:t>Faculty of Finance and Accounting, Department of Accounting and Taxation</w:t>
      </w:r>
    </w:p>
    <w:p w:rsidR="005C3F63" w:rsidRDefault="006536E7">
      <w:pPr>
        <w:pStyle w:val="af3"/>
        <w:shd w:val="clear" w:color="auto" w:fill="FFFFFF"/>
        <w:spacing w:before="0" w:beforeAutospacing="0" w:after="0" w:afterAutospacing="0"/>
        <w:jc w:val="center"/>
        <w:rPr>
          <w:rFonts w:ascii="Verdana" w:hAnsi="Verdana"/>
          <w:color w:val="000000" w:themeColor="text1"/>
          <w:sz w:val="18"/>
          <w:szCs w:val="18"/>
          <w:lang w:val="uk-UA"/>
        </w:rPr>
      </w:pPr>
      <w:r>
        <w:rPr>
          <w:rFonts w:ascii="Verdana" w:hAnsi="Verdana"/>
          <w:color w:val="000000" w:themeColor="text1"/>
          <w:sz w:val="18"/>
          <w:szCs w:val="18"/>
        </w:rPr>
        <w:t>Kioto street 19, 02</w:t>
      </w:r>
      <w:r>
        <w:rPr>
          <w:rFonts w:ascii="Verdana" w:hAnsi="Verdana"/>
          <w:color w:val="000000" w:themeColor="text1"/>
          <w:sz w:val="18"/>
          <w:szCs w:val="18"/>
          <w:lang w:val="uk-UA"/>
        </w:rPr>
        <w:t xml:space="preserve">156, </w:t>
      </w:r>
      <w:r>
        <w:rPr>
          <w:rFonts w:ascii="Verdana" w:hAnsi="Verdana"/>
          <w:color w:val="000000" w:themeColor="text1"/>
          <w:sz w:val="18"/>
          <w:szCs w:val="18"/>
        </w:rPr>
        <w:t>Kyiv, Ukraine</w:t>
      </w:r>
    </w:p>
    <w:p w:rsidR="005C3F63" w:rsidRDefault="006536E7">
      <w:pPr>
        <w:pStyle w:val="af3"/>
        <w:shd w:val="clear" w:color="auto" w:fill="FFFFFF"/>
        <w:spacing w:before="0" w:beforeAutospacing="0" w:after="0" w:afterAutospacing="0"/>
        <w:jc w:val="center"/>
        <w:rPr>
          <w:rStyle w:val="af9"/>
          <w:rFonts w:ascii="Verdana" w:hAnsi="Verdana"/>
          <w:bCs/>
          <w:color w:val="000000" w:themeColor="text1"/>
          <w:sz w:val="18"/>
          <w:szCs w:val="18"/>
        </w:rPr>
      </w:pPr>
      <w:r>
        <w:rPr>
          <w:rFonts w:ascii="Verdana" w:hAnsi="Verdana"/>
          <w:color w:val="000000" w:themeColor="text1"/>
          <w:sz w:val="18"/>
          <w:szCs w:val="18"/>
        </w:rPr>
        <w:t>Email:</w:t>
      </w:r>
      <w:r>
        <w:rPr>
          <w:rFonts w:ascii="Verdana" w:hAnsi="Verdana"/>
          <w:bCs/>
          <w:color w:val="000000" w:themeColor="text1"/>
          <w:sz w:val="18"/>
          <w:szCs w:val="18"/>
        </w:rPr>
        <w:t xml:space="preserve"> </w:t>
      </w:r>
      <w:r>
        <w:rPr>
          <w:rFonts w:ascii="Verdana" w:hAnsi="Verdana"/>
          <w:bCs/>
          <w:sz w:val="18"/>
          <w:szCs w:val="18"/>
        </w:rPr>
        <w:t>kupriienko1@gmail.com</w:t>
      </w:r>
    </w:p>
    <w:p w:rsidR="005C3F63" w:rsidRDefault="005C3F63">
      <w:pPr>
        <w:pStyle w:val="af3"/>
        <w:shd w:val="clear" w:color="auto" w:fill="FFFFFF"/>
        <w:spacing w:before="0" w:beforeAutospacing="0" w:after="0" w:afterAutospacing="0"/>
        <w:jc w:val="center"/>
        <w:rPr>
          <w:rStyle w:val="af9"/>
          <w:rFonts w:ascii="Verdana" w:hAnsi="Verdana"/>
          <w:bCs/>
          <w:color w:val="000000" w:themeColor="text1"/>
          <w:sz w:val="18"/>
          <w:szCs w:val="18"/>
        </w:rPr>
      </w:pPr>
    </w:p>
    <w:p w:rsidR="005C3F63" w:rsidRDefault="006536E7">
      <w:pPr>
        <w:jc w:val="center"/>
        <w:rPr>
          <w:rFonts w:ascii="Verdana" w:hAnsi="Verdana"/>
          <w:color w:val="000000" w:themeColor="text1"/>
          <w:sz w:val="18"/>
          <w:szCs w:val="18"/>
          <w:shd w:val="clear" w:color="auto" w:fill="FFFFFF"/>
        </w:rPr>
      </w:pPr>
      <w:r>
        <w:rPr>
          <w:rFonts w:ascii="Verdana" w:hAnsi="Verdana"/>
          <w:sz w:val="18"/>
          <w:szCs w:val="18"/>
          <w:vertAlign w:val="superscript"/>
        </w:rPr>
        <w:t>3</w:t>
      </w:r>
      <w:r>
        <w:rPr>
          <w:rFonts w:ascii="Verdana" w:hAnsi="Verdana"/>
          <w:color w:val="000000" w:themeColor="text1"/>
          <w:sz w:val="18"/>
          <w:szCs w:val="18"/>
          <w:shd w:val="clear" w:color="auto" w:fill="FFFFFF"/>
        </w:rPr>
        <w:t>International Management Institute (MIM-Kyiv)</w:t>
      </w:r>
    </w:p>
    <w:p w:rsidR="005C3F63" w:rsidRDefault="006536E7">
      <w:pPr>
        <w:ind w:firstLine="709"/>
        <w:jc w:val="center"/>
        <w:rPr>
          <w:rFonts w:ascii="Verdana" w:hAnsi="Verdana"/>
          <w:sz w:val="18"/>
          <w:szCs w:val="18"/>
        </w:rPr>
      </w:pPr>
      <w:r>
        <w:rPr>
          <w:rFonts w:ascii="Verdana" w:hAnsi="Verdana"/>
          <w:color w:val="000000" w:themeColor="text1"/>
          <w:sz w:val="18"/>
          <w:szCs w:val="18"/>
          <w:shd w:val="clear" w:color="auto" w:fill="FFFFFF"/>
        </w:rPr>
        <w:t xml:space="preserve">Management and Economy </w:t>
      </w:r>
      <w:r>
        <w:rPr>
          <w:rFonts w:ascii="Verdana" w:hAnsi="Verdana"/>
          <w:sz w:val="18"/>
          <w:szCs w:val="18"/>
        </w:rPr>
        <w:t>Department</w:t>
      </w:r>
    </w:p>
    <w:p w:rsidR="005C3F63" w:rsidRDefault="006536E7">
      <w:pPr>
        <w:jc w:val="center"/>
        <w:rPr>
          <w:rFonts w:ascii="Verdana" w:hAnsi="Verdana"/>
          <w:sz w:val="18"/>
          <w:szCs w:val="18"/>
        </w:rPr>
      </w:pPr>
      <w:r>
        <w:rPr>
          <w:rFonts w:ascii="Verdana" w:hAnsi="Verdana"/>
          <w:color w:val="000000" w:themeColor="text1"/>
          <w:sz w:val="18"/>
          <w:szCs w:val="18"/>
          <w:shd w:val="clear" w:color="auto" w:fill="FFFFFF"/>
        </w:rPr>
        <w:t xml:space="preserve">Shulyavska </w:t>
      </w:r>
      <w:r>
        <w:rPr>
          <w:rFonts w:ascii="Verdana" w:hAnsi="Verdana"/>
          <w:sz w:val="18"/>
          <w:szCs w:val="18"/>
        </w:rPr>
        <w:t>street 10/12 B, Kyiv, Ukraine</w:t>
      </w:r>
    </w:p>
    <w:p w:rsidR="005C3F63" w:rsidRDefault="006536E7">
      <w:pPr>
        <w:jc w:val="center"/>
        <w:rPr>
          <w:rFonts w:ascii="Verdana" w:hAnsi="Verdana"/>
          <w:color w:val="555555"/>
          <w:sz w:val="18"/>
          <w:szCs w:val="18"/>
          <w:shd w:val="clear" w:color="auto" w:fill="FFFFFF"/>
        </w:rPr>
      </w:pPr>
      <w:r>
        <w:rPr>
          <w:rFonts w:ascii="Verdana" w:hAnsi="Verdana"/>
          <w:sz w:val="18"/>
          <w:szCs w:val="18"/>
        </w:rPr>
        <w:t xml:space="preserve">E-mail: golov@mim.kiev.ua </w:t>
      </w:r>
    </w:p>
    <w:p w:rsidR="005C3F63" w:rsidRDefault="005C3F63">
      <w:pPr>
        <w:pStyle w:val="af3"/>
        <w:shd w:val="clear" w:color="auto" w:fill="FFFFFF"/>
        <w:spacing w:before="0" w:beforeAutospacing="0" w:after="0" w:afterAutospacing="0"/>
        <w:jc w:val="center"/>
        <w:rPr>
          <w:rStyle w:val="af9"/>
          <w:rFonts w:ascii="Verdana" w:hAnsi="Verdana"/>
          <w:bCs/>
          <w:color w:val="000000" w:themeColor="text1"/>
          <w:sz w:val="18"/>
          <w:szCs w:val="18"/>
          <w:lang w:val="uk-UA"/>
        </w:rPr>
      </w:pPr>
    </w:p>
    <w:p w:rsidR="005C3F63" w:rsidRDefault="005C3F63">
      <w:pPr>
        <w:pStyle w:val="af3"/>
        <w:shd w:val="clear" w:color="auto" w:fill="FFFFFF"/>
        <w:spacing w:before="0" w:beforeAutospacing="0" w:after="0" w:afterAutospacing="0"/>
        <w:jc w:val="center"/>
        <w:rPr>
          <w:rFonts w:ascii="Verdana" w:hAnsi="Verdana"/>
          <w:bCs/>
          <w:color w:val="000000" w:themeColor="text1"/>
          <w:sz w:val="18"/>
          <w:szCs w:val="18"/>
        </w:rPr>
      </w:pPr>
    </w:p>
    <w:p w:rsidR="005C3F63" w:rsidRDefault="006536E7">
      <w:r>
        <w:rPr>
          <w:rFonts w:ascii="Verdana" w:hAnsi="Verdana"/>
          <w:b/>
          <w:sz w:val="20"/>
          <w:szCs w:val="20"/>
        </w:rPr>
        <w:t>Abstract:</w:t>
      </w:r>
      <w:r>
        <w:rPr>
          <w:rFonts w:ascii="Verdana" w:hAnsi="Verdana"/>
          <w:b/>
          <w:sz w:val="20"/>
          <w:szCs w:val="20"/>
          <w:lang w:val="uk-UA"/>
        </w:rPr>
        <w:t xml:space="preserve"> </w:t>
      </w:r>
      <w:r>
        <w:rPr>
          <w:rFonts w:ascii="Verdana" w:hAnsi="Verdana"/>
          <w:sz w:val="20"/>
          <w:szCs w:val="20"/>
          <w:lang w:val="en"/>
        </w:rPr>
        <w:t>The article is devoted to analyze accounting provision of controlling at the trade enterprise in the digitalization era. The influence of COVID-19 on the development of e-commerce in Ukraine and the world is described. The etymology of the "digitalization" concept and its difference from automation is studied. The main digital elements of accounting provision of controlling at the trade enterprise are defined, namely inevitable transition to electronic document circulation (e-document circulation) and use of modern ERP-systems. The main advantages and difficulties of digitalization of accounting controlling provision are analyzed.</w:t>
      </w:r>
    </w:p>
    <w:p w:rsidR="005C3F63" w:rsidRDefault="006536E7">
      <w:pPr>
        <w:pStyle w:val="af3"/>
        <w:shd w:val="clear" w:color="auto" w:fill="FFFFFF"/>
        <w:rPr>
          <w:rFonts w:ascii="Verdana" w:hAnsi="Verdana"/>
          <w:b/>
          <w:i/>
          <w:sz w:val="20"/>
          <w:szCs w:val="20"/>
          <w:lang w:val="uk-UA"/>
        </w:rPr>
      </w:pPr>
      <w:r>
        <w:rPr>
          <w:rFonts w:ascii="Verdana" w:hAnsi="Verdana"/>
          <w:b/>
          <w:i/>
          <w:sz w:val="20"/>
          <w:szCs w:val="20"/>
        </w:rPr>
        <w:t>Keywords</w:t>
      </w:r>
      <w:r>
        <w:rPr>
          <w:rFonts w:ascii="Verdana" w:hAnsi="Verdana"/>
          <w:b/>
          <w:i/>
          <w:sz w:val="20"/>
          <w:szCs w:val="20"/>
          <w:lang w:val="uk-UA"/>
        </w:rPr>
        <w:t xml:space="preserve">: </w:t>
      </w:r>
      <w:r>
        <w:rPr>
          <w:rFonts w:ascii="Verdana" w:hAnsi="Verdana"/>
          <w:i/>
          <w:sz w:val="20"/>
          <w:szCs w:val="20"/>
        </w:rPr>
        <w:t>digitalization</w:t>
      </w:r>
      <w:r>
        <w:rPr>
          <w:rFonts w:ascii="Verdana" w:hAnsi="Verdana"/>
          <w:i/>
          <w:sz w:val="20"/>
          <w:szCs w:val="20"/>
          <w:lang w:val="uk-UA"/>
        </w:rPr>
        <w:t xml:space="preserve">, </w:t>
      </w:r>
      <w:r>
        <w:rPr>
          <w:rFonts w:ascii="Verdana" w:hAnsi="Verdana"/>
          <w:i/>
          <w:sz w:val="20"/>
          <w:szCs w:val="20"/>
        </w:rPr>
        <w:t>accounting</w:t>
      </w:r>
      <w:r>
        <w:rPr>
          <w:rFonts w:ascii="Verdana" w:hAnsi="Verdana"/>
          <w:i/>
          <w:sz w:val="20"/>
          <w:szCs w:val="20"/>
          <w:lang w:val="uk-UA"/>
        </w:rPr>
        <w:t xml:space="preserve"> </w:t>
      </w:r>
      <w:r>
        <w:rPr>
          <w:rFonts w:ascii="Verdana" w:hAnsi="Verdana"/>
          <w:i/>
          <w:sz w:val="20"/>
          <w:szCs w:val="20"/>
        </w:rPr>
        <w:t>provision</w:t>
      </w:r>
      <w:r>
        <w:rPr>
          <w:rFonts w:ascii="Verdana" w:hAnsi="Verdana"/>
          <w:i/>
          <w:sz w:val="20"/>
          <w:szCs w:val="20"/>
          <w:lang w:val="uk-UA"/>
        </w:rPr>
        <w:t xml:space="preserve">, </w:t>
      </w:r>
      <w:r>
        <w:rPr>
          <w:rFonts w:ascii="Verdana" w:hAnsi="Verdana"/>
          <w:i/>
          <w:sz w:val="20"/>
          <w:szCs w:val="20"/>
        </w:rPr>
        <w:t>controlling</w:t>
      </w:r>
      <w:r>
        <w:rPr>
          <w:rFonts w:ascii="Verdana" w:hAnsi="Verdana"/>
          <w:i/>
          <w:sz w:val="20"/>
          <w:szCs w:val="20"/>
          <w:lang w:val="uk-UA"/>
        </w:rPr>
        <w:t xml:space="preserve">, </w:t>
      </w:r>
      <w:r>
        <w:rPr>
          <w:rFonts w:ascii="Verdana" w:hAnsi="Verdana"/>
          <w:i/>
          <w:sz w:val="20"/>
          <w:szCs w:val="20"/>
        </w:rPr>
        <w:t>ERP</w:t>
      </w:r>
      <w:r>
        <w:rPr>
          <w:rFonts w:ascii="Verdana" w:hAnsi="Verdana"/>
          <w:i/>
          <w:sz w:val="20"/>
          <w:szCs w:val="20"/>
          <w:lang w:val="uk-UA"/>
        </w:rPr>
        <w:t xml:space="preserve">, </w:t>
      </w:r>
      <w:r>
        <w:rPr>
          <w:rFonts w:ascii="Verdana" w:hAnsi="Verdana"/>
          <w:i/>
          <w:sz w:val="20"/>
          <w:szCs w:val="20"/>
        </w:rPr>
        <w:t>trade</w:t>
      </w:r>
      <w:r>
        <w:rPr>
          <w:rFonts w:ascii="Verdana" w:hAnsi="Verdana"/>
          <w:i/>
          <w:sz w:val="20"/>
          <w:szCs w:val="20"/>
          <w:lang w:val="uk-UA"/>
        </w:rPr>
        <w:t xml:space="preserve"> </w:t>
      </w:r>
      <w:r>
        <w:rPr>
          <w:rFonts w:ascii="Verdana" w:hAnsi="Verdana"/>
          <w:i/>
          <w:sz w:val="20"/>
          <w:szCs w:val="20"/>
        </w:rPr>
        <w:t>enterprise</w:t>
      </w:r>
    </w:p>
    <w:p w:rsidR="005C3F63" w:rsidRDefault="006536E7">
      <w:pPr>
        <w:pStyle w:val="af3"/>
        <w:shd w:val="clear" w:color="auto" w:fill="FFFFFF"/>
        <w:rPr>
          <w:rFonts w:ascii="Verdana" w:hAnsi="Verdana"/>
          <w:i/>
          <w:sz w:val="20"/>
          <w:szCs w:val="20"/>
        </w:rPr>
      </w:pPr>
      <w:r>
        <w:rPr>
          <w:rFonts w:ascii="Verdana" w:hAnsi="Verdana"/>
          <w:i/>
          <w:sz w:val="20"/>
          <w:szCs w:val="20"/>
        </w:rPr>
        <w:t>JEL codes: L53</w:t>
      </w:r>
      <w:r>
        <w:rPr>
          <w:rFonts w:ascii="Verdana" w:hAnsi="Verdana"/>
          <w:i/>
          <w:sz w:val="20"/>
          <w:szCs w:val="20"/>
          <w:lang w:val="uk-UA"/>
        </w:rPr>
        <w:t xml:space="preserve">; </w:t>
      </w:r>
      <w:r>
        <w:rPr>
          <w:rFonts w:ascii="Verdana" w:hAnsi="Verdana"/>
          <w:i/>
          <w:sz w:val="20"/>
          <w:szCs w:val="20"/>
        </w:rPr>
        <w:t>L81</w:t>
      </w:r>
      <w:r>
        <w:rPr>
          <w:rFonts w:ascii="Verdana" w:hAnsi="Verdana"/>
          <w:i/>
          <w:sz w:val="20"/>
          <w:szCs w:val="20"/>
          <w:lang w:val="uk-UA"/>
        </w:rPr>
        <w:t xml:space="preserve">; </w:t>
      </w:r>
      <w:r>
        <w:rPr>
          <w:rFonts w:ascii="Verdana" w:hAnsi="Verdana"/>
          <w:i/>
          <w:sz w:val="20"/>
          <w:szCs w:val="20"/>
        </w:rPr>
        <w:t>M41</w:t>
      </w:r>
      <w:r>
        <w:rPr>
          <w:rFonts w:ascii="Verdana" w:hAnsi="Verdana"/>
          <w:i/>
          <w:sz w:val="20"/>
          <w:szCs w:val="20"/>
          <w:lang w:val="uk-UA"/>
        </w:rPr>
        <w:t xml:space="preserve">; </w:t>
      </w:r>
      <w:r>
        <w:rPr>
          <w:rFonts w:ascii="Verdana" w:hAnsi="Verdana"/>
          <w:i/>
          <w:sz w:val="20"/>
          <w:szCs w:val="20"/>
        </w:rPr>
        <w:t>O32</w:t>
      </w:r>
    </w:p>
    <w:p w:rsidR="005C3F63" w:rsidRDefault="006536E7">
      <w:pPr>
        <w:pStyle w:val="af3"/>
        <w:shd w:val="clear" w:color="auto" w:fill="FFFFFF"/>
        <w:rPr>
          <w:rFonts w:ascii="Verdana" w:hAnsi="Verdana"/>
          <w:b/>
          <w:sz w:val="20"/>
          <w:szCs w:val="20"/>
        </w:rPr>
      </w:pPr>
      <w:r>
        <w:rPr>
          <w:rFonts w:ascii="Verdana" w:hAnsi="Verdana"/>
          <w:b/>
          <w:sz w:val="20"/>
          <w:szCs w:val="20"/>
        </w:rPr>
        <w:t>1 Introduction</w:t>
      </w:r>
    </w:p>
    <w:p w:rsidR="005C3F63" w:rsidRDefault="006536E7">
      <w:pPr>
        <w:rPr>
          <w:rFonts w:ascii="Verdana" w:hAnsi="Verdana"/>
          <w:sz w:val="20"/>
          <w:szCs w:val="20"/>
        </w:rPr>
      </w:pPr>
      <w:r>
        <w:rPr>
          <w:rFonts w:ascii="Verdana" w:hAnsi="Verdana"/>
          <w:sz w:val="20"/>
          <w:szCs w:val="20"/>
          <w:lang w:val="en"/>
        </w:rPr>
        <w:t>Digital transformation is becoming widespread in all areas of activity, including trade. According to the forecasts of the American international research and consulting company "IDC" (2019), global investment in digital technologies and services by 2023 should amount to $ 2.3 trillion.</w:t>
      </w:r>
    </w:p>
    <w:p w:rsidR="005C3F63" w:rsidRDefault="005C3F63">
      <w:pPr>
        <w:rPr>
          <w:rFonts w:ascii="Verdana" w:hAnsi="Verdana"/>
          <w:sz w:val="20"/>
          <w:szCs w:val="20"/>
          <w:lang w:val="en"/>
        </w:rPr>
      </w:pPr>
    </w:p>
    <w:p w:rsidR="005C3F63" w:rsidRDefault="006536E7">
      <w:pPr>
        <w:rPr>
          <w:rFonts w:ascii="Verdana" w:hAnsi="Verdana"/>
          <w:sz w:val="20"/>
          <w:szCs w:val="20"/>
          <w:lang w:val="en"/>
        </w:rPr>
      </w:pPr>
      <w:r>
        <w:rPr>
          <w:rFonts w:ascii="Verdana" w:hAnsi="Verdana"/>
          <w:sz w:val="20"/>
          <w:szCs w:val="20"/>
          <w:lang w:val="en"/>
        </w:rPr>
        <w:t>According to Kuprina (2016), digitalization is a way to digitalize any kind of information.  Halapsis (2017) takes a slightly different position on this issue defining digitalization not as a method but as “a process related to the tendency to bring into electronic form of various types of information used by man, a process tentatively called by the researcher”. Digital transformation (digitalization) is often confused with automation or even data digitization. However, this is only part of the process of digitalization, ie digital transformation. As Dligach (2020) points out automation makes the process less dependent on the human factor but it does not change the essence of the processes. Already established workflow is described algorithmically and then transferred to digital format with part of the functions performed by man is transferred to the system. Ligonenko (2018) emphasizes that digitalization provides domestic enterprises with the following competitive advantages, including trade enterprises: providing additional value of goods through quality service; high level of communication with customers and target audience; improving the company's image through fast communication with customers, reducing prices through process automation and digitization of business processes; transparency of internal and external processes of the enterprise; increase customer loyalty to the company.</w:t>
      </w:r>
    </w:p>
    <w:p w:rsidR="005C3F63" w:rsidRDefault="005C3F63"/>
    <w:p w:rsidR="005C3F63" w:rsidRDefault="006536E7">
      <w:pPr>
        <w:rPr>
          <w:rFonts w:ascii="Verdana" w:hAnsi="Verdana"/>
          <w:b/>
        </w:rPr>
      </w:pPr>
      <w:r>
        <w:rPr>
          <w:rFonts w:ascii="Verdana" w:hAnsi="Verdana"/>
          <w:sz w:val="20"/>
          <w:szCs w:val="20"/>
          <w:lang w:val="en"/>
        </w:rPr>
        <w:lastRenderedPageBreak/>
        <w:t xml:space="preserve">The COVID-19 pandemic was a turning point and divided digitalization in all spheres of society into "before" and "after" and pushed all market players to forced change. Issues remain relevant not only in the transition to remote work and networking but also in improving the process of electronic document management, implementation of CRM and ERP systems, the use of cloud solutions for storage and transmission of information etc. at trade enterprises of all shapes and sizes. The purpose of this publication is to study </w:t>
      </w:r>
      <w:r>
        <w:rPr>
          <w:rStyle w:val="tlid-translation"/>
          <w:rFonts w:ascii="Verdana" w:hAnsi="Verdana"/>
          <w:sz w:val="20"/>
          <w:szCs w:val="20"/>
        </w:rPr>
        <w:t xml:space="preserve">trading enterprises’ accounting provision of controlling </w:t>
      </w:r>
      <w:r>
        <w:rPr>
          <w:rFonts w:ascii="Verdana" w:hAnsi="Verdana"/>
          <w:sz w:val="20"/>
          <w:szCs w:val="20"/>
          <w:lang w:val="en"/>
        </w:rPr>
        <w:t>in the digitalization era.</w:t>
      </w:r>
    </w:p>
    <w:p w:rsidR="005C3F63" w:rsidRDefault="006536E7">
      <w:pPr>
        <w:rPr>
          <w:rFonts w:ascii="Verdana" w:hAnsi="Verdana"/>
          <w:color w:val="C0504D" w:themeColor="accent2"/>
          <w:sz w:val="20"/>
          <w:szCs w:val="20"/>
          <w:lang w:val="uk-UA"/>
        </w:rPr>
      </w:pPr>
      <w:r>
        <w:rPr>
          <w:rFonts w:ascii="Verdana" w:hAnsi="Verdana"/>
          <w:color w:val="C0504D" w:themeColor="accent2"/>
          <w:sz w:val="20"/>
          <w:szCs w:val="20"/>
          <w:lang w:val="uk-UA"/>
        </w:rPr>
        <w:t xml:space="preserve"> </w:t>
      </w:r>
    </w:p>
    <w:p w:rsidR="005C3F63" w:rsidRDefault="006536E7">
      <w:pPr>
        <w:rPr>
          <w:rFonts w:ascii="Verdana" w:hAnsi="Verdana"/>
          <w:b/>
          <w:sz w:val="20"/>
          <w:szCs w:val="20"/>
        </w:rPr>
      </w:pPr>
      <w:r>
        <w:rPr>
          <w:rFonts w:ascii="Verdana" w:hAnsi="Verdana"/>
          <w:b/>
          <w:sz w:val="20"/>
          <w:szCs w:val="20"/>
          <w:lang w:val="uk-UA"/>
        </w:rPr>
        <w:t xml:space="preserve">2 </w:t>
      </w:r>
      <w:r>
        <w:rPr>
          <w:rFonts w:ascii="Verdana" w:hAnsi="Verdana"/>
          <w:b/>
          <w:sz w:val="20"/>
          <w:szCs w:val="20"/>
        </w:rPr>
        <w:t>Methodology</w:t>
      </w:r>
      <w:r>
        <w:rPr>
          <w:rFonts w:ascii="Verdana" w:hAnsi="Verdana"/>
          <w:b/>
          <w:sz w:val="20"/>
          <w:szCs w:val="20"/>
          <w:lang w:val="uk-UA"/>
        </w:rPr>
        <w:t xml:space="preserve"> </w:t>
      </w:r>
      <w:r>
        <w:rPr>
          <w:rFonts w:ascii="Verdana" w:hAnsi="Verdana"/>
          <w:b/>
          <w:sz w:val="20"/>
          <w:szCs w:val="20"/>
        </w:rPr>
        <w:t>and</w:t>
      </w:r>
      <w:r>
        <w:rPr>
          <w:rFonts w:ascii="Verdana" w:hAnsi="Verdana"/>
          <w:b/>
          <w:sz w:val="20"/>
          <w:szCs w:val="20"/>
          <w:lang w:val="uk-UA"/>
        </w:rPr>
        <w:t xml:space="preserve"> </w:t>
      </w:r>
      <w:r>
        <w:rPr>
          <w:rFonts w:ascii="Verdana" w:hAnsi="Verdana"/>
          <w:b/>
          <w:sz w:val="20"/>
          <w:szCs w:val="20"/>
        </w:rPr>
        <w:t>Data</w:t>
      </w:r>
    </w:p>
    <w:p w:rsidR="005C3F63" w:rsidRDefault="005C3F63">
      <w:pPr>
        <w:rPr>
          <w:rFonts w:ascii="Verdana" w:hAnsi="Verdana"/>
          <w:color w:val="C0504D" w:themeColor="accent2"/>
          <w:sz w:val="20"/>
          <w:szCs w:val="20"/>
          <w:lang w:val="uk-UA"/>
        </w:rPr>
      </w:pPr>
    </w:p>
    <w:p w:rsidR="005C3F63" w:rsidRDefault="006536E7">
      <w:pPr>
        <w:rPr>
          <w:rFonts w:ascii="Verdana" w:hAnsi="Verdana"/>
          <w:sz w:val="20"/>
          <w:szCs w:val="20"/>
        </w:rPr>
      </w:pPr>
      <w:r>
        <w:rPr>
          <w:rFonts w:ascii="Verdana" w:hAnsi="Verdana"/>
          <w:sz w:val="20"/>
          <w:szCs w:val="20"/>
          <w:lang w:val="en"/>
        </w:rPr>
        <w:t>The dictionary of modern Ukrainian language and slang chose "digitalization" as the word of 2019 year, and the EU recognized digital literacy as one of the 8 key competencies for a full life and professional activity in the modern world. Forecasts of the German statistical online portal Statista (202) show that by 2021 the global e-commerce market will reach $ 4.9 trillion a year. And according to the analysis of Digital Commerce 360 (2019), the volume of online sales in the world in 2016-2019 grew by an average of 20% per year. At the same time offline retail sales increased by 3.5% for the year. If this trend continues, the volume of the global e-commerce market will exceed the volume of traditional retail by 2036.</w:t>
      </w:r>
    </w:p>
    <w:p w:rsidR="005C3F63" w:rsidRDefault="005C3F63">
      <w:pPr>
        <w:rPr>
          <w:rFonts w:ascii="Verdana" w:hAnsi="Verdana"/>
          <w:b/>
          <w:sz w:val="18"/>
          <w:szCs w:val="18"/>
        </w:rPr>
      </w:pPr>
    </w:p>
    <w:p w:rsidR="005C3F63" w:rsidRDefault="006536E7">
      <w:pPr>
        <w:jc w:val="center"/>
        <w:rPr>
          <w:rFonts w:ascii="Verdana" w:hAnsi="Verdana"/>
          <w:sz w:val="20"/>
          <w:szCs w:val="20"/>
        </w:rPr>
      </w:pPr>
      <w:r>
        <w:rPr>
          <w:rFonts w:ascii="Verdana" w:hAnsi="Verdana"/>
          <w:b/>
          <w:sz w:val="20"/>
          <w:szCs w:val="20"/>
        </w:rPr>
        <w:t>Figure 1</w:t>
      </w:r>
      <w:r>
        <w:rPr>
          <w:rFonts w:ascii="Verdana" w:hAnsi="Verdana"/>
          <w:sz w:val="20"/>
          <w:szCs w:val="20"/>
        </w:rPr>
        <w:t xml:space="preserve"> </w:t>
      </w:r>
      <w:r>
        <w:rPr>
          <w:rFonts w:ascii="Verdana" w:hAnsi="Verdana"/>
          <w:sz w:val="20"/>
          <w:szCs w:val="20"/>
          <w:lang w:val="en"/>
        </w:rPr>
        <w:t>Volume of Internet trade in Ukraine, UAH billion</w:t>
      </w:r>
    </w:p>
    <w:p w:rsidR="005C3F63" w:rsidRDefault="006536E7">
      <w:pPr>
        <w:jc w:val="center"/>
        <w:rPr>
          <w:rFonts w:ascii="Verdana" w:hAnsi="Verdana"/>
          <w:sz w:val="20"/>
          <w:szCs w:val="20"/>
          <w:lang w:val="ru-RU"/>
        </w:rPr>
      </w:pPr>
      <w:r>
        <w:rPr>
          <w:noProof/>
          <w:lang w:val="uk-UA" w:eastAsia="uk-UA" w:bidi="ar-SA"/>
        </w:rPr>
        <w:drawing>
          <wp:inline distT="0" distB="0" distL="0" distR="0">
            <wp:extent cx="3784600" cy="1778000"/>
            <wp:effectExtent l="0" t="0" r="12700" b="12700"/>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inline>
        </w:drawing>
      </w:r>
    </w:p>
    <w:p w:rsidR="005C3F63" w:rsidRDefault="006536E7">
      <w:pPr>
        <w:jc w:val="center"/>
        <w:rPr>
          <w:rFonts w:ascii="Verdana" w:hAnsi="Verdana"/>
          <w:i/>
          <w:sz w:val="18"/>
          <w:szCs w:val="18"/>
        </w:rPr>
      </w:pPr>
      <w:r>
        <w:rPr>
          <w:rFonts w:ascii="Verdana" w:hAnsi="Verdana"/>
          <w:i/>
          <w:sz w:val="18"/>
          <w:szCs w:val="18"/>
        </w:rPr>
        <w:t xml:space="preserve"> Compiled by author on the basis of: Ecommerce Region report 2020</w:t>
      </w:r>
    </w:p>
    <w:p w:rsidR="005C3F63" w:rsidRDefault="005C3F63">
      <w:pPr>
        <w:rPr>
          <w:rFonts w:ascii="Verdana" w:hAnsi="Verdana"/>
          <w:i/>
          <w:color w:val="000000" w:themeColor="text1"/>
          <w:sz w:val="20"/>
          <w:szCs w:val="20"/>
        </w:rPr>
      </w:pPr>
    </w:p>
    <w:p w:rsidR="005C3F63" w:rsidRDefault="006536E7">
      <w:pPr>
        <w:rPr>
          <w:rFonts w:ascii="Verdana" w:hAnsi="Verdana"/>
          <w:sz w:val="20"/>
          <w:szCs w:val="20"/>
        </w:rPr>
      </w:pPr>
      <w:r>
        <w:rPr>
          <w:rFonts w:ascii="Verdana" w:hAnsi="Verdana"/>
          <w:sz w:val="20"/>
          <w:szCs w:val="20"/>
          <w:lang w:val="en"/>
        </w:rPr>
        <w:t>According to the Europe 2020: Ecommerce Region Report (2020), shown in Figure 1, Ukraine's e-commerce market in 2019 grew by 17% (to UAH 76 billion) against a growth of 30% a year earlier. Last year, Ukraine had the lowest e-commerce growth rate in all 12 years of the company's operation</w:t>
      </w:r>
    </w:p>
    <w:p w:rsidR="005C3F63" w:rsidRDefault="006536E7">
      <w:pPr>
        <w:pStyle w:val="af3"/>
        <w:jc w:val="both"/>
        <w:rPr>
          <w:rFonts w:ascii="Verdana" w:hAnsi="Verdana"/>
          <w:b/>
          <w:sz w:val="20"/>
          <w:szCs w:val="20"/>
        </w:rPr>
      </w:pPr>
      <w:r>
        <w:rPr>
          <w:rFonts w:ascii="Verdana" w:hAnsi="Verdana"/>
          <w:b/>
          <w:sz w:val="20"/>
          <w:szCs w:val="20"/>
          <w:lang w:val="uk-UA"/>
        </w:rPr>
        <w:t xml:space="preserve">3 </w:t>
      </w:r>
      <w:r>
        <w:rPr>
          <w:rFonts w:ascii="Verdana" w:hAnsi="Verdana"/>
          <w:b/>
          <w:sz w:val="20"/>
          <w:szCs w:val="20"/>
        </w:rPr>
        <w:t>Results and Discussion</w:t>
      </w:r>
    </w:p>
    <w:p w:rsidR="005C3F63" w:rsidRDefault="006536E7">
      <w:pPr>
        <w:rPr>
          <w:rFonts w:ascii="Verdana" w:hAnsi="Verdana"/>
          <w:sz w:val="20"/>
          <w:szCs w:val="20"/>
          <w:lang w:val="en"/>
        </w:rPr>
      </w:pPr>
      <w:r>
        <w:rPr>
          <w:rFonts w:ascii="Verdana" w:hAnsi="Verdana"/>
          <w:sz w:val="20"/>
          <w:szCs w:val="20"/>
          <w:lang w:val="en"/>
        </w:rPr>
        <w:t xml:space="preserve">Digitalization changes business approaches, business processes and relationships between people. The importance of controlling during the current crisis is even more important for a trading company because it serves as the link that meets the criteria of complexity and integration, provides a synthetic and holistic view of the company in the past, present and future through accounting and a systematic approach to identification and solution of existing and potential problems of the trading company. The work of the controller is directly related to the collection, analysis and evaluation of accounting data for making </w:t>
      </w:r>
      <w:r>
        <w:rPr>
          <w:rFonts w:ascii="Verdana" w:hAnsi="Verdana"/>
          <w:sz w:val="20"/>
          <w:szCs w:val="20"/>
        </w:rPr>
        <w:t>considered</w:t>
      </w:r>
      <w:r>
        <w:rPr>
          <w:rFonts w:ascii="Verdana" w:hAnsi="Verdana"/>
          <w:sz w:val="20"/>
          <w:szCs w:val="20"/>
          <w:lang w:val="en"/>
        </w:rPr>
        <w:t xml:space="preserve"> management decisions and to meet needs of accounting provision at trade enterprises. In the context of digitalization the presence of such elements as electronic document management </w:t>
      </w:r>
      <w:r>
        <w:rPr>
          <w:rFonts w:ascii="Verdana" w:hAnsi="Verdana"/>
          <w:sz w:val="20"/>
          <w:szCs w:val="20"/>
          <w:lang w:val="uk-UA"/>
        </w:rPr>
        <w:t>(</w:t>
      </w:r>
      <w:r>
        <w:rPr>
          <w:rFonts w:ascii="Verdana" w:hAnsi="Verdana"/>
          <w:sz w:val="20"/>
          <w:szCs w:val="20"/>
        </w:rPr>
        <w:t xml:space="preserve">EDMS) </w:t>
      </w:r>
      <w:r>
        <w:rPr>
          <w:rFonts w:ascii="Verdana" w:hAnsi="Verdana"/>
          <w:sz w:val="20"/>
          <w:szCs w:val="20"/>
          <w:lang w:val="en"/>
        </w:rPr>
        <w:t>and ERP system is a "must have". We propose to consider them in more detail.</w:t>
      </w:r>
      <w:r>
        <w:rPr>
          <w:rFonts w:ascii="Verdana" w:hAnsi="Verdana"/>
          <w:sz w:val="20"/>
          <w:szCs w:val="20"/>
          <w:lang w:val="en"/>
        </w:rPr>
        <w:br/>
      </w:r>
    </w:p>
    <w:p w:rsidR="005C3F63" w:rsidRDefault="006536E7">
      <w:pPr>
        <w:rPr>
          <w:rFonts w:ascii="Verdana" w:hAnsi="Verdana"/>
          <w:sz w:val="20"/>
          <w:szCs w:val="20"/>
          <w:lang w:val="en"/>
        </w:rPr>
      </w:pPr>
      <w:r>
        <w:rPr>
          <w:rFonts w:ascii="Verdana" w:hAnsi="Verdana"/>
          <w:sz w:val="20"/>
          <w:szCs w:val="20"/>
          <w:lang w:val="en"/>
        </w:rPr>
        <w:t xml:space="preserve">Speed </w:t>
      </w:r>
      <w:r>
        <w:rPr>
          <w:rFonts w:ascii="Arial" w:hAnsi="Arial" w:cs="Arial"/>
          <w:sz w:val="20"/>
          <w:szCs w:val="20"/>
          <w:lang w:val="en"/>
        </w:rPr>
        <w:t>​​</w:t>
      </w:r>
      <w:r>
        <w:rPr>
          <w:rFonts w:ascii="Verdana" w:hAnsi="Verdana"/>
          <w:sz w:val="20"/>
          <w:szCs w:val="20"/>
          <w:lang w:val="en"/>
        </w:rPr>
        <w:t>and price are the driving factors that determine the transition of document flow to the electronic</w:t>
      </w:r>
      <w:r>
        <w:rPr>
          <w:rFonts w:ascii="Verdana" w:hAnsi="Verdana"/>
          <w:sz w:val="20"/>
          <w:szCs w:val="20"/>
          <w:lang w:val="uk-UA"/>
        </w:rPr>
        <w:t xml:space="preserve"> </w:t>
      </w:r>
      <w:r>
        <w:rPr>
          <w:rFonts w:ascii="Verdana" w:hAnsi="Verdana"/>
          <w:sz w:val="20"/>
          <w:szCs w:val="20"/>
        </w:rPr>
        <w:t>area</w:t>
      </w:r>
      <w:r>
        <w:rPr>
          <w:rFonts w:ascii="Verdana" w:hAnsi="Verdana"/>
          <w:sz w:val="20"/>
          <w:szCs w:val="20"/>
          <w:lang w:val="en"/>
        </w:rPr>
        <w:t xml:space="preserve">. A trade enterprise regardless of the form of ownership, size or field of activity constantly works with accounting documents which must be periodically </w:t>
      </w:r>
      <w:r>
        <w:rPr>
          <w:rFonts w:ascii="Verdana" w:hAnsi="Verdana"/>
          <w:sz w:val="20"/>
          <w:szCs w:val="20"/>
          <w:lang w:val="en"/>
        </w:rPr>
        <w:lastRenderedPageBreak/>
        <w:t>reviewed, adjusted and transferred to others: government services, partners, contractors. EDMS allows you to transfer all these processes into digital area and save a huge amount of time and resources.</w:t>
      </w:r>
    </w:p>
    <w:p w:rsidR="005C3F63" w:rsidRDefault="006536E7">
      <w:pPr>
        <w:rPr>
          <w:rStyle w:val="tlid-translation"/>
          <w:rFonts w:ascii="Verdana" w:hAnsi="Verdana"/>
          <w:sz w:val="20"/>
          <w:szCs w:val="20"/>
          <w:lang w:val="en"/>
        </w:rPr>
      </w:pPr>
      <w:r>
        <w:rPr>
          <w:rStyle w:val="tlid-translation"/>
          <w:rFonts w:ascii="Verdana" w:hAnsi="Verdana"/>
          <w:sz w:val="20"/>
          <w:szCs w:val="20"/>
          <w:lang w:val="en"/>
        </w:rPr>
        <w:t xml:space="preserve">In the </w:t>
      </w:r>
      <w:r>
        <w:rPr>
          <w:rStyle w:val="tlid-translation"/>
          <w:rFonts w:ascii="Verdana" w:hAnsi="Verdana"/>
          <w:sz w:val="20"/>
          <w:szCs w:val="20"/>
        </w:rPr>
        <w:t>rise</w:t>
      </w:r>
      <w:r>
        <w:rPr>
          <w:rStyle w:val="tlid-translation"/>
          <w:rFonts w:ascii="Verdana" w:hAnsi="Verdana"/>
          <w:sz w:val="20"/>
          <w:szCs w:val="20"/>
          <w:lang w:val="en"/>
        </w:rPr>
        <w:t xml:space="preserve"> of social responsibility among domestic enterprises another important ancillary factor is reputation. After all, EDMS is a choice in favor of environmental responsibility. Reducing the number of paper documents relieves the pressure on the environment and adds another advantage to modern technologies in favor of the environment.</w:t>
      </w:r>
      <w:r>
        <w:rPr>
          <w:rFonts w:ascii="Verdana" w:hAnsi="Verdana"/>
          <w:sz w:val="20"/>
          <w:szCs w:val="20"/>
          <w:lang w:val="en"/>
        </w:rPr>
        <w:t xml:space="preserve"> </w:t>
      </w:r>
      <w:r>
        <w:rPr>
          <w:rStyle w:val="tlid-translation"/>
          <w:rFonts w:ascii="Verdana" w:hAnsi="Verdana"/>
          <w:sz w:val="20"/>
          <w:szCs w:val="20"/>
          <w:lang w:val="en"/>
        </w:rPr>
        <w:t>Despite the existence of a sufficient legal framework in Ukraine regarding the use of EDMS two main myths should be identified: distrust in the legal force of electronic documents and the low level of protection of credentials and the risk of provision</w:t>
      </w:r>
      <w:r>
        <w:rPr>
          <w:rStyle w:val="tlid-translation"/>
          <w:rFonts w:ascii="Verdana" w:hAnsi="Verdana"/>
          <w:sz w:val="20"/>
          <w:szCs w:val="20"/>
        </w:rPr>
        <w:t xml:space="preserve"> </w:t>
      </w:r>
      <w:r>
        <w:rPr>
          <w:rStyle w:val="tlid-translation"/>
          <w:rFonts w:ascii="Verdana" w:hAnsi="Verdana"/>
          <w:sz w:val="20"/>
          <w:szCs w:val="20"/>
          <w:lang w:val="en"/>
        </w:rPr>
        <w:t>electronic documents. This opinion is widespread among domestic trade enterprises which significantly slows down the possibility of introducing EDMS in the accounting provision of controlling.</w:t>
      </w:r>
    </w:p>
    <w:p w:rsidR="005C3F63" w:rsidRDefault="005C3F63">
      <w:pPr>
        <w:rPr>
          <w:rFonts w:ascii="Verdana" w:hAnsi="Verdana"/>
          <w:sz w:val="20"/>
          <w:szCs w:val="20"/>
        </w:rPr>
      </w:pPr>
    </w:p>
    <w:p w:rsidR="005C3F63" w:rsidRDefault="006536E7">
      <w:pPr>
        <w:rPr>
          <w:rFonts w:ascii="Verdana" w:hAnsi="Verdana"/>
          <w:sz w:val="20"/>
          <w:szCs w:val="20"/>
        </w:rPr>
      </w:pPr>
      <w:r>
        <w:rPr>
          <w:rStyle w:val="tlid-translation"/>
          <w:rFonts w:ascii="Verdana" w:hAnsi="Verdana"/>
          <w:sz w:val="20"/>
          <w:szCs w:val="20"/>
          <w:lang w:val="en"/>
        </w:rPr>
        <w:t>The basis of the introduction of EDMS is the ERP system. Table 1 shows the comparative characteristics of ERP-systems that allow full or partial provision of accounting information and systematize the data in the appropriate modules in the form of reports.</w:t>
      </w:r>
    </w:p>
    <w:p w:rsidR="005C3F63" w:rsidRDefault="005C3F63"/>
    <w:p w:rsidR="005C3F63" w:rsidRDefault="006536E7">
      <w:pPr>
        <w:jc w:val="center"/>
        <w:rPr>
          <w:rFonts w:ascii="Verdana" w:hAnsi="Verdana"/>
          <w:sz w:val="20"/>
          <w:szCs w:val="20"/>
        </w:rPr>
      </w:pPr>
      <w:r>
        <w:rPr>
          <w:rStyle w:val="tlid-translation"/>
          <w:rFonts w:ascii="Verdana" w:hAnsi="Verdana"/>
          <w:b/>
          <w:sz w:val="20"/>
          <w:szCs w:val="20"/>
          <w:lang w:val="en"/>
        </w:rPr>
        <w:t>Table 1</w:t>
      </w:r>
      <w:r>
        <w:rPr>
          <w:rStyle w:val="tlid-translation"/>
          <w:rFonts w:ascii="Verdana" w:hAnsi="Verdana"/>
          <w:sz w:val="20"/>
          <w:szCs w:val="20"/>
          <w:lang w:val="en"/>
        </w:rPr>
        <w:t xml:space="preserve"> Comparative characteristics of ERP-systems for</w:t>
      </w:r>
      <w:r>
        <w:rPr>
          <w:rFonts w:ascii="Verdana" w:hAnsi="Verdana"/>
          <w:sz w:val="20"/>
          <w:szCs w:val="20"/>
          <w:lang w:val="en"/>
        </w:rPr>
        <w:t xml:space="preserve"> accounting provision of controlling at the trade enterprise</w:t>
      </w:r>
    </w:p>
    <w:tbl>
      <w:tblPr>
        <w:tblW w:w="9356" w:type="dxa"/>
        <w:jc w:val="center"/>
        <w:tblLayout w:type="fixed"/>
        <w:tblLook w:val="04A0" w:firstRow="1" w:lastRow="0" w:firstColumn="1" w:lastColumn="0" w:noHBand="0" w:noVBand="1"/>
      </w:tblPr>
      <w:tblGrid>
        <w:gridCol w:w="1643"/>
        <w:gridCol w:w="1104"/>
        <w:gridCol w:w="1364"/>
        <w:gridCol w:w="3685"/>
        <w:gridCol w:w="1560"/>
      </w:tblGrid>
      <w:tr w:rsidR="005C3F63">
        <w:trPr>
          <w:trHeight w:val="90"/>
          <w:jc w:val="center"/>
        </w:trPr>
        <w:tc>
          <w:tcPr>
            <w:tcW w:w="1643" w:type="dxa"/>
            <w:tcBorders>
              <w:top w:val="single" w:sz="4" w:space="0" w:color="auto"/>
              <w:left w:val="single" w:sz="4" w:space="0" w:color="auto"/>
              <w:bottom w:val="single" w:sz="4" w:space="0" w:color="auto"/>
              <w:right w:val="single" w:sz="4" w:space="0" w:color="auto"/>
            </w:tcBorders>
            <w:shd w:val="clear" w:color="auto" w:fill="auto"/>
            <w:vAlign w:val="center"/>
          </w:tcPr>
          <w:p w:rsidR="005C3F63" w:rsidRDefault="006536E7">
            <w:pPr>
              <w:jc w:val="center"/>
              <w:rPr>
                <w:rFonts w:ascii="Verdana" w:hAnsi="Verdana"/>
                <w:b/>
                <w:bCs/>
                <w:color w:val="000000"/>
                <w:sz w:val="18"/>
                <w:szCs w:val="18"/>
              </w:rPr>
            </w:pPr>
            <w:r>
              <w:rPr>
                <w:rFonts w:ascii="Verdana" w:hAnsi="Verdana"/>
                <w:b/>
                <w:bCs/>
                <w:color w:val="000000"/>
                <w:sz w:val="18"/>
                <w:szCs w:val="18"/>
              </w:rPr>
              <w:t>ERP type</w:t>
            </w:r>
          </w:p>
        </w:tc>
        <w:tc>
          <w:tcPr>
            <w:tcW w:w="1104" w:type="dxa"/>
            <w:tcBorders>
              <w:top w:val="single" w:sz="4" w:space="0" w:color="auto"/>
              <w:left w:val="nil"/>
              <w:bottom w:val="single" w:sz="4" w:space="0" w:color="auto"/>
              <w:right w:val="single" w:sz="4" w:space="0" w:color="auto"/>
            </w:tcBorders>
            <w:shd w:val="clear" w:color="auto" w:fill="auto"/>
            <w:vAlign w:val="center"/>
          </w:tcPr>
          <w:p w:rsidR="005C3F63" w:rsidRDefault="006536E7">
            <w:pPr>
              <w:jc w:val="center"/>
              <w:rPr>
                <w:rFonts w:ascii="Verdana" w:hAnsi="Verdana"/>
                <w:b/>
                <w:sz w:val="18"/>
                <w:szCs w:val="18"/>
              </w:rPr>
            </w:pPr>
            <w:r>
              <w:rPr>
                <w:rStyle w:val="tlid-translation"/>
                <w:rFonts w:ascii="Verdana" w:hAnsi="Verdana"/>
                <w:b/>
                <w:sz w:val="18"/>
                <w:szCs w:val="18"/>
                <w:lang w:val="en"/>
              </w:rPr>
              <w:t>The size of the enterprise</w:t>
            </w:r>
          </w:p>
          <w:p w:rsidR="005C3F63" w:rsidRDefault="005C3F63">
            <w:pPr>
              <w:jc w:val="center"/>
              <w:rPr>
                <w:rFonts w:ascii="Verdana" w:hAnsi="Verdana"/>
                <w:b/>
                <w:bCs/>
                <w:color w:val="000000"/>
                <w:sz w:val="18"/>
                <w:szCs w:val="18"/>
              </w:rPr>
            </w:pPr>
          </w:p>
        </w:tc>
        <w:tc>
          <w:tcPr>
            <w:tcW w:w="1364" w:type="dxa"/>
            <w:tcBorders>
              <w:top w:val="single" w:sz="4" w:space="0" w:color="auto"/>
              <w:left w:val="nil"/>
              <w:bottom w:val="single" w:sz="4" w:space="0" w:color="auto"/>
              <w:right w:val="single" w:sz="4" w:space="0" w:color="auto"/>
            </w:tcBorders>
            <w:shd w:val="clear" w:color="auto" w:fill="auto"/>
            <w:vAlign w:val="center"/>
          </w:tcPr>
          <w:p w:rsidR="005C3F63" w:rsidRDefault="006536E7">
            <w:pPr>
              <w:jc w:val="center"/>
              <w:rPr>
                <w:rFonts w:ascii="Verdana" w:hAnsi="Verdana"/>
                <w:b/>
                <w:sz w:val="18"/>
                <w:szCs w:val="18"/>
              </w:rPr>
            </w:pPr>
            <w:r>
              <w:rPr>
                <w:rStyle w:val="tlid-translation"/>
                <w:rFonts w:ascii="Verdana" w:hAnsi="Verdana"/>
                <w:b/>
                <w:sz w:val="18"/>
                <w:szCs w:val="18"/>
                <w:lang w:val="en"/>
              </w:rPr>
              <w:t>Dedicated controlling module</w:t>
            </w:r>
          </w:p>
          <w:p w:rsidR="005C3F63" w:rsidRDefault="005C3F63">
            <w:pPr>
              <w:jc w:val="center"/>
              <w:rPr>
                <w:rFonts w:ascii="Verdana" w:hAnsi="Verdana"/>
                <w:b/>
                <w:bCs/>
                <w:color w:val="000000"/>
                <w:sz w:val="18"/>
                <w:szCs w:val="18"/>
              </w:rPr>
            </w:pPr>
          </w:p>
        </w:tc>
        <w:tc>
          <w:tcPr>
            <w:tcW w:w="3685" w:type="dxa"/>
            <w:tcBorders>
              <w:top w:val="single" w:sz="4" w:space="0" w:color="auto"/>
              <w:left w:val="nil"/>
              <w:bottom w:val="single" w:sz="4" w:space="0" w:color="auto"/>
              <w:right w:val="single" w:sz="4" w:space="0" w:color="auto"/>
            </w:tcBorders>
            <w:shd w:val="clear" w:color="auto" w:fill="auto"/>
            <w:vAlign w:val="center"/>
          </w:tcPr>
          <w:p w:rsidR="005C3F63" w:rsidRDefault="006536E7">
            <w:pPr>
              <w:jc w:val="center"/>
              <w:rPr>
                <w:rFonts w:ascii="Verdana" w:hAnsi="Verdana"/>
                <w:b/>
                <w:sz w:val="18"/>
                <w:szCs w:val="18"/>
              </w:rPr>
            </w:pPr>
            <w:r>
              <w:rPr>
                <w:rStyle w:val="tlid-translation"/>
                <w:rFonts w:ascii="Verdana" w:hAnsi="Verdana"/>
                <w:b/>
                <w:sz w:val="18"/>
                <w:szCs w:val="18"/>
              </w:rPr>
              <w:t>S</w:t>
            </w:r>
            <w:r>
              <w:rPr>
                <w:rStyle w:val="tlid-translation"/>
                <w:rFonts w:ascii="Verdana" w:hAnsi="Verdana"/>
                <w:b/>
                <w:sz w:val="18"/>
                <w:szCs w:val="18"/>
                <w:lang w:val="en"/>
              </w:rPr>
              <w:t>ystem characteristics</w:t>
            </w:r>
          </w:p>
          <w:p w:rsidR="005C3F63" w:rsidRDefault="005C3F63">
            <w:pPr>
              <w:jc w:val="center"/>
              <w:rPr>
                <w:rFonts w:ascii="Verdana" w:hAnsi="Verdana"/>
                <w:b/>
                <w:bCs/>
                <w:color w:val="000000"/>
                <w:sz w:val="18"/>
                <w:szCs w:val="18"/>
              </w:rPr>
            </w:pPr>
          </w:p>
        </w:tc>
        <w:tc>
          <w:tcPr>
            <w:tcW w:w="1560" w:type="dxa"/>
            <w:tcBorders>
              <w:top w:val="single" w:sz="4" w:space="0" w:color="auto"/>
              <w:left w:val="nil"/>
              <w:bottom w:val="single" w:sz="4" w:space="0" w:color="auto"/>
              <w:right w:val="single" w:sz="4" w:space="0" w:color="auto"/>
            </w:tcBorders>
            <w:shd w:val="clear" w:color="auto" w:fill="auto"/>
            <w:vAlign w:val="center"/>
          </w:tcPr>
          <w:p w:rsidR="005C3F63" w:rsidRDefault="006536E7">
            <w:pPr>
              <w:jc w:val="center"/>
              <w:rPr>
                <w:rFonts w:ascii="Verdana" w:hAnsi="Verdana"/>
                <w:b/>
                <w:bCs/>
                <w:color w:val="000000"/>
                <w:sz w:val="18"/>
                <w:szCs w:val="18"/>
              </w:rPr>
            </w:pPr>
            <w:r>
              <w:rPr>
                <w:rFonts w:ascii="Verdana" w:hAnsi="Verdana"/>
                <w:b/>
                <w:bCs/>
                <w:color w:val="000000"/>
                <w:sz w:val="18"/>
                <w:szCs w:val="18"/>
              </w:rPr>
              <w:t>Provider</w:t>
            </w:r>
          </w:p>
        </w:tc>
      </w:tr>
      <w:tr w:rsidR="005C3F63">
        <w:trPr>
          <w:trHeight w:val="898"/>
          <w:jc w:val="center"/>
        </w:trPr>
        <w:tc>
          <w:tcPr>
            <w:tcW w:w="1643" w:type="dxa"/>
            <w:tcBorders>
              <w:top w:val="nil"/>
              <w:left w:val="single" w:sz="4" w:space="0" w:color="auto"/>
              <w:bottom w:val="single" w:sz="4" w:space="0" w:color="auto"/>
              <w:right w:val="single" w:sz="4" w:space="0" w:color="auto"/>
            </w:tcBorders>
            <w:shd w:val="clear" w:color="auto" w:fill="auto"/>
            <w:vAlign w:val="center"/>
          </w:tcPr>
          <w:p w:rsidR="005C3F63" w:rsidRDefault="006536E7">
            <w:pPr>
              <w:jc w:val="center"/>
              <w:rPr>
                <w:rFonts w:ascii="Verdana" w:hAnsi="Verdana"/>
                <w:b/>
                <w:color w:val="000000"/>
                <w:sz w:val="18"/>
                <w:szCs w:val="18"/>
                <w:lang w:val="ru-RU"/>
              </w:rPr>
            </w:pPr>
            <w:r>
              <w:rPr>
                <w:rFonts w:ascii="Verdana" w:hAnsi="Verdana"/>
                <w:b/>
                <w:bCs/>
                <w:color w:val="000000"/>
                <w:sz w:val="18"/>
                <w:szCs w:val="18"/>
              </w:rPr>
              <w:t>Kerivnyk PROF</w:t>
            </w:r>
          </w:p>
        </w:tc>
        <w:tc>
          <w:tcPr>
            <w:tcW w:w="1104" w:type="dxa"/>
            <w:tcBorders>
              <w:top w:val="nil"/>
              <w:left w:val="nil"/>
              <w:bottom w:val="single" w:sz="4" w:space="0" w:color="auto"/>
              <w:right w:val="single" w:sz="4" w:space="0" w:color="auto"/>
            </w:tcBorders>
            <w:shd w:val="clear" w:color="auto" w:fill="auto"/>
            <w:vAlign w:val="center"/>
          </w:tcPr>
          <w:p w:rsidR="005C3F63" w:rsidRDefault="006536E7">
            <w:pPr>
              <w:jc w:val="center"/>
              <w:rPr>
                <w:rFonts w:ascii="Verdana" w:hAnsi="Verdana"/>
                <w:sz w:val="18"/>
                <w:szCs w:val="18"/>
              </w:rPr>
            </w:pPr>
            <w:r>
              <w:rPr>
                <w:rStyle w:val="tlid-translation"/>
                <w:rFonts w:ascii="Verdana" w:hAnsi="Verdana"/>
                <w:sz w:val="18"/>
                <w:szCs w:val="18"/>
                <w:lang w:val="en"/>
              </w:rPr>
              <w:t>Small and medium</w:t>
            </w:r>
          </w:p>
          <w:p w:rsidR="005C3F63" w:rsidRDefault="005C3F63">
            <w:pPr>
              <w:jc w:val="center"/>
              <w:rPr>
                <w:rFonts w:ascii="Verdana" w:hAnsi="Verdana"/>
                <w:color w:val="000000"/>
                <w:sz w:val="18"/>
                <w:szCs w:val="18"/>
              </w:rPr>
            </w:pPr>
          </w:p>
        </w:tc>
        <w:tc>
          <w:tcPr>
            <w:tcW w:w="1364" w:type="dxa"/>
            <w:tcBorders>
              <w:top w:val="nil"/>
              <w:left w:val="nil"/>
              <w:bottom w:val="single" w:sz="4" w:space="0" w:color="auto"/>
              <w:right w:val="single" w:sz="4" w:space="0" w:color="auto"/>
            </w:tcBorders>
            <w:shd w:val="clear" w:color="auto" w:fill="auto"/>
            <w:vAlign w:val="center"/>
          </w:tcPr>
          <w:p w:rsidR="005C3F63" w:rsidRDefault="006536E7">
            <w:pPr>
              <w:jc w:val="center"/>
              <w:rPr>
                <w:rFonts w:ascii="Verdana" w:hAnsi="Verdana"/>
                <w:color w:val="000000"/>
                <w:sz w:val="18"/>
                <w:szCs w:val="18"/>
              </w:rPr>
            </w:pPr>
            <w:r>
              <w:rPr>
                <w:rFonts w:ascii="Verdana" w:hAnsi="Verdana"/>
                <w:color w:val="000000"/>
                <w:sz w:val="18"/>
                <w:szCs w:val="18"/>
              </w:rPr>
              <w:t>N/A</w:t>
            </w:r>
          </w:p>
        </w:tc>
        <w:tc>
          <w:tcPr>
            <w:tcW w:w="3685" w:type="dxa"/>
            <w:tcBorders>
              <w:top w:val="nil"/>
              <w:left w:val="nil"/>
              <w:bottom w:val="single" w:sz="4" w:space="0" w:color="auto"/>
              <w:right w:val="single" w:sz="4" w:space="0" w:color="auto"/>
            </w:tcBorders>
            <w:shd w:val="clear" w:color="auto" w:fill="auto"/>
            <w:vAlign w:val="center"/>
          </w:tcPr>
          <w:p w:rsidR="005C3F63" w:rsidRDefault="006536E7">
            <w:pPr>
              <w:rPr>
                <w:rFonts w:ascii="Verdana" w:hAnsi="Verdana"/>
                <w:sz w:val="18"/>
                <w:szCs w:val="18"/>
              </w:rPr>
            </w:pPr>
            <w:r>
              <w:rPr>
                <w:rStyle w:val="tlid-translation"/>
                <w:rFonts w:ascii="Verdana" w:hAnsi="Verdana"/>
                <w:sz w:val="18"/>
                <w:szCs w:val="18"/>
                <w:lang w:val="en"/>
              </w:rPr>
              <w:t>Solves the issue of management accounting automation. Allows you to keep records of the centers of financial responsibility (CFV). There is a module of consolidated accounting.</w:t>
            </w:r>
          </w:p>
        </w:tc>
        <w:tc>
          <w:tcPr>
            <w:tcW w:w="1560" w:type="dxa"/>
            <w:tcBorders>
              <w:top w:val="nil"/>
              <w:left w:val="nil"/>
              <w:bottom w:val="single" w:sz="4" w:space="0" w:color="auto"/>
              <w:right w:val="single" w:sz="4" w:space="0" w:color="auto"/>
            </w:tcBorders>
            <w:shd w:val="clear" w:color="auto" w:fill="auto"/>
            <w:vAlign w:val="center"/>
          </w:tcPr>
          <w:p w:rsidR="005C3F63" w:rsidRDefault="006536E7">
            <w:pPr>
              <w:jc w:val="center"/>
              <w:rPr>
                <w:rFonts w:ascii="Verdana" w:hAnsi="Verdana"/>
                <w:color w:val="000000"/>
                <w:sz w:val="18"/>
                <w:szCs w:val="18"/>
              </w:rPr>
            </w:pPr>
            <w:r>
              <w:rPr>
                <w:rFonts w:ascii="Verdana" w:hAnsi="Verdana"/>
                <w:color w:val="000000"/>
                <w:sz w:val="18"/>
                <w:szCs w:val="18"/>
              </w:rPr>
              <w:t>1C Pidpryemstvo</w:t>
            </w:r>
          </w:p>
        </w:tc>
      </w:tr>
      <w:tr w:rsidR="005C3F63">
        <w:trPr>
          <w:trHeight w:val="1340"/>
          <w:jc w:val="center"/>
        </w:trPr>
        <w:tc>
          <w:tcPr>
            <w:tcW w:w="1643" w:type="dxa"/>
            <w:tcBorders>
              <w:top w:val="nil"/>
              <w:left w:val="single" w:sz="4" w:space="0" w:color="auto"/>
              <w:bottom w:val="single" w:sz="4" w:space="0" w:color="auto"/>
              <w:right w:val="single" w:sz="4" w:space="0" w:color="auto"/>
            </w:tcBorders>
            <w:shd w:val="clear" w:color="auto" w:fill="auto"/>
            <w:vAlign w:val="center"/>
          </w:tcPr>
          <w:p w:rsidR="005C3F63" w:rsidRDefault="006536E7">
            <w:pPr>
              <w:jc w:val="center"/>
              <w:rPr>
                <w:rFonts w:ascii="Verdana" w:hAnsi="Verdana"/>
                <w:b/>
                <w:sz w:val="18"/>
                <w:szCs w:val="18"/>
              </w:rPr>
            </w:pPr>
            <w:r>
              <w:rPr>
                <w:rStyle w:val="tlid-translation"/>
                <w:rFonts w:ascii="Verdana" w:hAnsi="Verdana"/>
                <w:b/>
                <w:sz w:val="18"/>
                <w:szCs w:val="18"/>
                <w:lang w:val="en"/>
              </w:rPr>
              <w:t>Consolidation</w:t>
            </w:r>
          </w:p>
          <w:p w:rsidR="005C3F63" w:rsidRDefault="005C3F63">
            <w:pPr>
              <w:jc w:val="center"/>
              <w:rPr>
                <w:rFonts w:ascii="Verdana" w:hAnsi="Verdana"/>
                <w:b/>
                <w:color w:val="000000"/>
                <w:sz w:val="18"/>
                <w:szCs w:val="18"/>
                <w:lang w:val="ru-RU"/>
              </w:rPr>
            </w:pPr>
          </w:p>
        </w:tc>
        <w:tc>
          <w:tcPr>
            <w:tcW w:w="1104" w:type="dxa"/>
            <w:tcBorders>
              <w:top w:val="nil"/>
              <w:left w:val="nil"/>
              <w:bottom w:val="single" w:sz="4" w:space="0" w:color="auto"/>
              <w:right w:val="single" w:sz="4" w:space="0" w:color="auto"/>
            </w:tcBorders>
            <w:shd w:val="clear" w:color="auto" w:fill="auto"/>
            <w:vAlign w:val="center"/>
          </w:tcPr>
          <w:p w:rsidR="005C3F63" w:rsidRDefault="006536E7">
            <w:pPr>
              <w:jc w:val="center"/>
              <w:rPr>
                <w:rFonts w:ascii="Verdana" w:hAnsi="Verdana"/>
                <w:color w:val="000000"/>
                <w:sz w:val="18"/>
                <w:szCs w:val="18"/>
              </w:rPr>
            </w:pPr>
            <w:r>
              <w:rPr>
                <w:rFonts w:ascii="Verdana" w:hAnsi="Verdana"/>
                <w:color w:val="000000"/>
                <w:sz w:val="18"/>
                <w:szCs w:val="18"/>
              </w:rPr>
              <w:t>Medium and big</w:t>
            </w:r>
          </w:p>
        </w:tc>
        <w:tc>
          <w:tcPr>
            <w:tcW w:w="1364" w:type="dxa"/>
            <w:tcBorders>
              <w:top w:val="nil"/>
              <w:left w:val="nil"/>
              <w:bottom w:val="single" w:sz="4" w:space="0" w:color="auto"/>
              <w:right w:val="single" w:sz="4" w:space="0" w:color="auto"/>
            </w:tcBorders>
            <w:shd w:val="clear" w:color="auto" w:fill="auto"/>
            <w:vAlign w:val="center"/>
          </w:tcPr>
          <w:p w:rsidR="005C3F63" w:rsidRDefault="006536E7">
            <w:pPr>
              <w:jc w:val="center"/>
              <w:rPr>
                <w:rFonts w:ascii="Verdana" w:hAnsi="Verdana"/>
                <w:color w:val="000000"/>
                <w:sz w:val="18"/>
                <w:szCs w:val="18"/>
              </w:rPr>
            </w:pPr>
            <w:r>
              <w:rPr>
                <w:rFonts w:ascii="Verdana" w:hAnsi="Verdana"/>
                <w:color w:val="000000"/>
                <w:sz w:val="18"/>
                <w:szCs w:val="18"/>
              </w:rPr>
              <w:t>N/A</w:t>
            </w:r>
          </w:p>
        </w:tc>
        <w:tc>
          <w:tcPr>
            <w:tcW w:w="3685" w:type="dxa"/>
            <w:tcBorders>
              <w:top w:val="nil"/>
              <w:left w:val="nil"/>
              <w:bottom w:val="single" w:sz="4" w:space="0" w:color="auto"/>
              <w:right w:val="single" w:sz="4" w:space="0" w:color="auto"/>
            </w:tcBorders>
            <w:shd w:val="clear" w:color="auto" w:fill="auto"/>
            <w:vAlign w:val="center"/>
          </w:tcPr>
          <w:p w:rsidR="005C3F63" w:rsidRDefault="006536E7">
            <w:pPr>
              <w:rPr>
                <w:rFonts w:ascii="Verdana" w:hAnsi="Verdana"/>
                <w:sz w:val="18"/>
                <w:szCs w:val="18"/>
              </w:rPr>
            </w:pPr>
            <w:r>
              <w:rPr>
                <w:rStyle w:val="tlid-translation"/>
                <w:rFonts w:ascii="Verdana" w:hAnsi="Verdana"/>
                <w:sz w:val="18"/>
                <w:szCs w:val="18"/>
                <w:lang w:val="en"/>
              </w:rPr>
              <w:t xml:space="preserve">Allows </w:t>
            </w:r>
            <w:r>
              <w:rPr>
                <w:rStyle w:val="tlid-translation"/>
                <w:rFonts w:ascii="Verdana" w:hAnsi="Verdana"/>
                <w:sz w:val="18"/>
                <w:szCs w:val="18"/>
              </w:rPr>
              <w:t xml:space="preserve">to adjust </w:t>
            </w:r>
            <w:r>
              <w:rPr>
                <w:rStyle w:val="tlid-translation"/>
                <w:rFonts w:ascii="Verdana" w:hAnsi="Verdana"/>
                <w:sz w:val="18"/>
                <w:szCs w:val="18"/>
                <w:lang w:val="en"/>
              </w:rPr>
              <w:t>consolidated financial statements according to IFRS. Implements all forms of managerial and financial reporting for both internal and external users. Existence of a methodical model "Budgeting of the trading company".</w:t>
            </w:r>
          </w:p>
        </w:tc>
        <w:tc>
          <w:tcPr>
            <w:tcW w:w="1560" w:type="dxa"/>
            <w:tcBorders>
              <w:top w:val="nil"/>
              <w:left w:val="nil"/>
              <w:bottom w:val="single" w:sz="4" w:space="0" w:color="auto"/>
              <w:right w:val="single" w:sz="4" w:space="0" w:color="auto"/>
            </w:tcBorders>
            <w:shd w:val="clear" w:color="auto" w:fill="auto"/>
            <w:vAlign w:val="center"/>
          </w:tcPr>
          <w:p w:rsidR="005C3F63" w:rsidRDefault="006536E7">
            <w:pPr>
              <w:jc w:val="center"/>
              <w:rPr>
                <w:rFonts w:ascii="Verdana" w:hAnsi="Verdana"/>
                <w:color w:val="000000"/>
                <w:sz w:val="18"/>
                <w:szCs w:val="18"/>
              </w:rPr>
            </w:pPr>
            <w:r>
              <w:rPr>
                <w:rFonts w:ascii="Verdana" w:hAnsi="Verdana"/>
                <w:color w:val="000000"/>
                <w:sz w:val="18"/>
                <w:szCs w:val="18"/>
              </w:rPr>
              <w:t>1C Pidpryemstvo</w:t>
            </w:r>
          </w:p>
        </w:tc>
      </w:tr>
      <w:tr w:rsidR="005C3F63">
        <w:trPr>
          <w:trHeight w:val="416"/>
          <w:jc w:val="center"/>
        </w:trPr>
        <w:tc>
          <w:tcPr>
            <w:tcW w:w="1643" w:type="dxa"/>
            <w:tcBorders>
              <w:top w:val="single" w:sz="4" w:space="0" w:color="auto"/>
              <w:left w:val="single" w:sz="4" w:space="0" w:color="auto"/>
              <w:bottom w:val="single" w:sz="4" w:space="0" w:color="auto"/>
              <w:right w:val="single" w:sz="4" w:space="0" w:color="auto"/>
            </w:tcBorders>
            <w:shd w:val="clear" w:color="auto" w:fill="auto"/>
            <w:vAlign w:val="center"/>
          </w:tcPr>
          <w:p w:rsidR="005C3F63" w:rsidRDefault="006536E7">
            <w:pPr>
              <w:jc w:val="center"/>
              <w:rPr>
                <w:rFonts w:ascii="Verdana" w:hAnsi="Verdana"/>
                <w:b/>
                <w:sz w:val="18"/>
                <w:szCs w:val="18"/>
              </w:rPr>
            </w:pPr>
            <w:r>
              <w:rPr>
                <w:rStyle w:val="st"/>
                <w:rFonts w:ascii="Verdana" w:hAnsi="Verdana"/>
                <w:b/>
                <w:sz w:val="18"/>
                <w:szCs w:val="18"/>
              </w:rPr>
              <w:t xml:space="preserve">Management by objectives (MBO) </w:t>
            </w:r>
            <w:r>
              <w:rPr>
                <w:rFonts w:ascii="Verdana" w:hAnsi="Verdana"/>
                <w:b/>
                <w:bCs/>
                <w:color w:val="000000"/>
                <w:sz w:val="18"/>
                <w:szCs w:val="18"/>
              </w:rPr>
              <w:t>and KPI</w:t>
            </w:r>
          </w:p>
        </w:tc>
        <w:tc>
          <w:tcPr>
            <w:tcW w:w="1104" w:type="dxa"/>
            <w:tcBorders>
              <w:top w:val="single" w:sz="4" w:space="0" w:color="auto"/>
              <w:left w:val="nil"/>
              <w:bottom w:val="single" w:sz="4" w:space="0" w:color="auto"/>
              <w:right w:val="single" w:sz="4" w:space="0" w:color="auto"/>
            </w:tcBorders>
            <w:shd w:val="clear" w:color="auto" w:fill="auto"/>
            <w:vAlign w:val="center"/>
          </w:tcPr>
          <w:p w:rsidR="005C3F63" w:rsidRDefault="006536E7">
            <w:pPr>
              <w:jc w:val="center"/>
              <w:rPr>
                <w:rFonts w:ascii="Verdana" w:hAnsi="Verdana"/>
                <w:color w:val="000000"/>
                <w:sz w:val="18"/>
                <w:szCs w:val="18"/>
              </w:rPr>
            </w:pPr>
            <w:r>
              <w:rPr>
                <w:rFonts w:ascii="Verdana" w:hAnsi="Verdana"/>
                <w:color w:val="000000"/>
                <w:sz w:val="18"/>
                <w:szCs w:val="18"/>
              </w:rPr>
              <w:t>All</w:t>
            </w:r>
          </w:p>
        </w:tc>
        <w:tc>
          <w:tcPr>
            <w:tcW w:w="1364" w:type="dxa"/>
            <w:tcBorders>
              <w:top w:val="single" w:sz="4" w:space="0" w:color="auto"/>
              <w:left w:val="nil"/>
              <w:bottom w:val="single" w:sz="4" w:space="0" w:color="auto"/>
              <w:right w:val="single" w:sz="4" w:space="0" w:color="auto"/>
            </w:tcBorders>
            <w:shd w:val="clear" w:color="auto" w:fill="auto"/>
            <w:vAlign w:val="center"/>
          </w:tcPr>
          <w:p w:rsidR="005C3F63" w:rsidRDefault="006536E7">
            <w:pPr>
              <w:jc w:val="center"/>
              <w:rPr>
                <w:rFonts w:ascii="Verdana" w:hAnsi="Verdana"/>
                <w:color w:val="000000"/>
                <w:sz w:val="18"/>
                <w:szCs w:val="18"/>
              </w:rPr>
            </w:pPr>
            <w:r>
              <w:rPr>
                <w:rFonts w:ascii="Verdana" w:hAnsi="Verdana"/>
                <w:color w:val="000000"/>
                <w:sz w:val="18"/>
                <w:szCs w:val="18"/>
              </w:rPr>
              <w:t>N/A</w:t>
            </w:r>
          </w:p>
        </w:tc>
        <w:tc>
          <w:tcPr>
            <w:tcW w:w="3685" w:type="dxa"/>
            <w:tcBorders>
              <w:top w:val="single" w:sz="4" w:space="0" w:color="auto"/>
              <w:left w:val="nil"/>
              <w:bottom w:val="single" w:sz="4" w:space="0" w:color="auto"/>
              <w:right w:val="single" w:sz="4" w:space="0" w:color="auto"/>
            </w:tcBorders>
            <w:shd w:val="clear" w:color="auto" w:fill="auto"/>
            <w:vAlign w:val="center"/>
          </w:tcPr>
          <w:p w:rsidR="005C3F63" w:rsidRDefault="006536E7">
            <w:pPr>
              <w:rPr>
                <w:rFonts w:ascii="Verdana" w:hAnsi="Verdana"/>
                <w:sz w:val="18"/>
                <w:szCs w:val="18"/>
              </w:rPr>
            </w:pPr>
            <w:r>
              <w:rPr>
                <w:rStyle w:val="tlid-translation"/>
                <w:rFonts w:ascii="Verdana" w:hAnsi="Verdana"/>
                <w:sz w:val="18"/>
                <w:szCs w:val="18"/>
                <w:lang w:val="en"/>
              </w:rPr>
              <w:t>Tool for automating the process of goal setting, monitoring and control. Integration with accounting systems is used to build end-to-end controlling processes.</w:t>
            </w:r>
          </w:p>
        </w:tc>
        <w:tc>
          <w:tcPr>
            <w:tcW w:w="1560" w:type="dxa"/>
            <w:tcBorders>
              <w:top w:val="single" w:sz="4" w:space="0" w:color="auto"/>
              <w:left w:val="nil"/>
              <w:bottom w:val="single" w:sz="4" w:space="0" w:color="auto"/>
              <w:right w:val="single" w:sz="4" w:space="0" w:color="auto"/>
            </w:tcBorders>
            <w:shd w:val="clear" w:color="auto" w:fill="auto"/>
            <w:vAlign w:val="center"/>
          </w:tcPr>
          <w:p w:rsidR="005C3F63" w:rsidRDefault="006536E7">
            <w:pPr>
              <w:jc w:val="center"/>
              <w:rPr>
                <w:rFonts w:ascii="Verdana" w:hAnsi="Verdana"/>
                <w:color w:val="000000"/>
                <w:sz w:val="18"/>
                <w:szCs w:val="18"/>
              </w:rPr>
            </w:pPr>
            <w:r>
              <w:rPr>
                <w:rFonts w:ascii="Verdana" w:hAnsi="Verdana"/>
                <w:color w:val="000000"/>
                <w:sz w:val="18"/>
                <w:szCs w:val="18"/>
              </w:rPr>
              <w:t>1C Pidpryemstvo</w:t>
            </w:r>
          </w:p>
        </w:tc>
      </w:tr>
      <w:tr w:rsidR="005C3F63">
        <w:trPr>
          <w:trHeight w:val="682"/>
          <w:jc w:val="center"/>
        </w:trPr>
        <w:tc>
          <w:tcPr>
            <w:tcW w:w="1643" w:type="dxa"/>
            <w:tcBorders>
              <w:top w:val="single" w:sz="4" w:space="0" w:color="auto"/>
              <w:left w:val="single" w:sz="4" w:space="0" w:color="auto"/>
              <w:bottom w:val="single" w:sz="4" w:space="0" w:color="auto"/>
              <w:right w:val="single" w:sz="4" w:space="0" w:color="auto"/>
            </w:tcBorders>
            <w:shd w:val="clear" w:color="auto" w:fill="auto"/>
            <w:vAlign w:val="center"/>
          </w:tcPr>
          <w:p w:rsidR="005C3F63" w:rsidRDefault="006536E7">
            <w:pPr>
              <w:jc w:val="center"/>
              <w:rPr>
                <w:rStyle w:val="st"/>
                <w:rFonts w:ascii="Verdana" w:hAnsi="Verdana"/>
                <w:b/>
                <w:sz w:val="18"/>
                <w:szCs w:val="18"/>
              </w:rPr>
            </w:pPr>
            <w:r>
              <w:rPr>
                <w:rStyle w:val="st"/>
                <w:rFonts w:ascii="Verdana" w:hAnsi="Verdana"/>
                <w:b/>
                <w:sz w:val="18"/>
                <w:szCs w:val="18"/>
              </w:rPr>
              <w:t>BAS: Corporate Performance Management</w:t>
            </w:r>
          </w:p>
          <w:p w:rsidR="005C3F63" w:rsidRDefault="005C3F63">
            <w:pPr>
              <w:jc w:val="center"/>
              <w:rPr>
                <w:rFonts w:ascii="Verdana" w:hAnsi="Verdana"/>
                <w:b/>
                <w:color w:val="000000"/>
                <w:sz w:val="18"/>
                <w:szCs w:val="18"/>
              </w:rPr>
            </w:pPr>
          </w:p>
        </w:tc>
        <w:tc>
          <w:tcPr>
            <w:tcW w:w="1104" w:type="dxa"/>
            <w:tcBorders>
              <w:top w:val="single" w:sz="4" w:space="0" w:color="auto"/>
              <w:left w:val="nil"/>
              <w:bottom w:val="single" w:sz="4" w:space="0" w:color="auto"/>
              <w:right w:val="single" w:sz="4" w:space="0" w:color="auto"/>
            </w:tcBorders>
            <w:shd w:val="clear" w:color="auto" w:fill="auto"/>
            <w:vAlign w:val="center"/>
          </w:tcPr>
          <w:p w:rsidR="005C3F63" w:rsidRDefault="006536E7">
            <w:pPr>
              <w:jc w:val="center"/>
              <w:rPr>
                <w:rFonts w:ascii="Verdana" w:hAnsi="Verdana"/>
                <w:color w:val="000000"/>
                <w:sz w:val="18"/>
                <w:szCs w:val="18"/>
              </w:rPr>
            </w:pPr>
            <w:r>
              <w:rPr>
                <w:rFonts w:ascii="Verdana" w:hAnsi="Verdana"/>
                <w:color w:val="000000"/>
                <w:sz w:val="18"/>
                <w:szCs w:val="18"/>
              </w:rPr>
              <w:t>Big</w:t>
            </w:r>
          </w:p>
        </w:tc>
        <w:tc>
          <w:tcPr>
            <w:tcW w:w="1364" w:type="dxa"/>
            <w:tcBorders>
              <w:top w:val="single" w:sz="4" w:space="0" w:color="auto"/>
              <w:left w:val="nil"/>
              <w:bottom w:val="single" w:sz="4" w:space="0" w:color="auto"/>
              <w:right w:val="single" w:sz="4" w:space="0" w:color="auto"/>
            </w:tcBorders>
            <w:shd w:val="clear" w:color="auto" w:fill="auto"/>
            <w:vAlign w:val="center"/>
          </w:tcPr>
          <w:p w:rsidR="005C3F63" w:rsidRDefault="006536E7">
            <w:pPr>
              <w:jc w:val="center"/>
              <w:rPr>
                <w:rFonts w:ascii="Verdana" w:hAnsi="Verdana"/>
                <w:color w:val="000000"/>
                <w:sz w:val="18"/>
                <w:szCs w:val="18"/>
              </w:rPr>
            </w:pPr>
            <w:r>
              <w:rPr>
                <w:rFonts w:ascii="Verdana" w:hAnsi="Verdana"/>
                <w:color w:val="000000"/>
                <w:sz w:val="18"/>
                <w:szCs w:val="18"/>
              </w:rPr>
              <w:t xml:space="preserve"> ljN/A</w:t>
            </w:r>
          </w:p>
        </w:tc>
        <w:tc>
          <w:tcPr>
            <w:tcW w:w="3685" w:type="dxa"/>
            <w:tcBorders>
              <w:top w:val="single" w:sz="4" w:space="0" w:color="auto"/>
              <w:left w:val="nil"/>
              <w:bottom w:val="single" w:sz="4" w:space="0" w:color="auto"/>
              <w:right w:val="single" w:sz="4" w:space="0" w:color="auto"/>
            </w:tcBorders>
            <w:shd w:val="clear" w:color="auto" w:fill="auto"/>
            <w:vAlign w:val="center"/>
          </w:tcPr>
          <w:p w:rsidR="005C3F63" w:rsidRDefault="006536E7">
            <w:pPr>
              <w:rPr>
                <w:rFonts w:ascii="Verdana" w:hAnsi="Verdana"/>
                <w:sz w:val="18"/>
                <w:szCs w:val="18"/>
              </w:rPr>
            </w:pPr>
            <w:r>
              <w:rPr>
                <w:rStyle w:val="tlid-translation"/>
                <w:rFonts w:ascii="Verdana" w:hAnsi="Verdana"/>
                <w:sz w:val="18"/>
                <w:szCs w:val="18"/>
                <w:lang w:val="en"/>
              </w:rPr>
              <w:t>Available subsystems of budgeting, accounting and reporting under IFRS. Allows consolidation and management of variable and fixed costs.</w:t>
            </w:r>
          </w:p>
        </w:tc>
        <w:tc>
          <w:tcPr>
            <w:tcW w:w="1560" w:type="dxa"/>
            <w:tcBorders>
              <w:top w:val="single" w:sz="4" w:space="0" w:color="auto"/>
              <w:left w:val="nil"/>
              <w:bottom w:val="single" w:sz="4" w:space="0" w:color="auto"/>
              <w:right w:val="single" w:sz="4" w:space="0" w:color="auto"/>
            </w:tcBorders>
            <w:shd w:val="clear" w:color="auto" w:fill="auto"/>
            <w:vAlign w:val="center"/>
          </w:tcPr>
          <w:p w:rsidR="005C3F63" w:rsidRDefault="006536E7">
            <w:pPr>
              <w:jc w:val="center"/>
              <w:rPr>
                <w:rFonts w:ascii="Verdana" w:hAnsi="Verdana"/>
                <w:color w:val="000000"/>
                <w:sz w:val="18"/>
                <w:szCs w:val="18"/>
              </w:rPr>
            </w:pPr>
            <w:r>
              <w:rPr>
                <w:rFonts w:ascii="Verdana" w:hAnsi="Verdana"/>
                <w:color w:val="000000"/>
                <w:sz w:val="18"/>
                <w:szCs w:val="18"/>
              </w:rPr>
              <w:t>BAF</w:t>
            </w:r>
          </w:p>
        </w:tc>
      </w:tr>
      <w:tr w:rsidR="005C3F63">
        <w:trPr>
          <w:trHeight w:val="450"/>
          <w:jc w:val="center"/>
        </w:trPr>
        <w:tc>
          <w:tcPr>
            <w:tcW w:w="1643" w:type="dxa"/>
            <w:tcBorders>
              <w:top w:val="single" w:sz="4" w:space="0" w:color="auto"/>
              <w:left w:val="single" w:sz="4" w:space="0" w:color="auto"/>
              <w:bottom w:val="single" w:sz="4" w:space="0" w:color="auto"/>
              <w:right w:val="single" w:sz="4" w:space="0" w:color="auto"/>
            </w:tcBorders>
            <w:shd w:val="clear" w:color="auto" w:fill="auto"/>
            <w:vAlign w:val="center"/>
          </w:tcPr>
          <w:p w:rsidR="005C3F63" w:rsidRDefault="006536E7">
            <w:pPr>
              <w:jc w:val="center"/>
              <w:rPr>
                <w:rFonts w:ascii="Verdana" w:hAnsi="Verdana"/>
                <w:b/>
                <w:color w:val="000000"/>
                <w:sz w:val="18"/>
                <w:szCs w:val="18"/>
              </w:rPr>
            </w:pPr>
            <w:r>
              <w:rPr>
                <w:rFonts w:ascii="Verdana" w:hAnsi="Verdana"/>
                <w:b/>
                <w:bCs/>
                <w:color w:val="000000"/>
                <w:sz w:val="18"/>
                <w:szCs w:val="18"/>
              </w:rPr>
              <w:t>SAP S/4HANA</w:t>
            </w:r>
          </w:p>
        </w:tc>
        <w:tc>
          <w:tcPr>
            <w:tcW w:w="1104" w:type="dxa"/>
            <w:tcBorders>
              <w:top w:val="single" w:sz="4" w:space="0" w:color="auto"/>
              <w:left w:val="nil"/>
              <w:bottom w:val="single" w:sz="4" w:space="0" w:color="auto"/>
              <w:right w:val="single" w:sz="4" w:space="0" w:color="auto"/>
            </w:tcBorders>
            <w:shd w:val="clear" w:color="auto" w:fill="auto"/>
            <w:vAlign w:val="center"/>
          </w:tcPr>
          <w:p w:rsidR="005C3F63" w:rsidRDefault="006536E7">
            <w:pPr>
              <w:jc w:val="center"/>
              <w:rPr>
                <w:rFonts w:ascii="Verdana" w:hAnsi="Verdana"/>
                <w:color w:val="000000"/>
                <w:sz w:val="18"/>
                <w:szCs w:val="18"/>
              </w:rPr>
            </w:pPr>
            <w:r>
              <w:rPr>
                <w:rFonts w:ascii="Verdana" w:hAnsi="Verdana"/>
                <w:color w:val="000000"/>
                <w:sz w:val="18"/>
                <w:szCs w:val="18"/>
              </w:rPr>
              <w:t>Big</w:t>
            </w:r>
          </w:p>
        </w:tc>
        <w:tc>
          <w:tcPr>
            <w:tcW w:w="1364" w:type="dxa"/>
            <w:tcBorders>
              <w:top w:val="single" w:sz="4" w:space="0" w:color="auto"/>
              <w:left w:val="nil"/>
              <w:bottom w:val="single" w:sz="4" w:space="0" w:color="auto"/>
              <w:right w:val="single" w:sz="4" w:space="0" w:color="auto"/>
            </w:tcBorders>
            <w:shd w:val="clear" w:color="auto" w:fill="auto"/>
            <w:vAlign w:val="center"/>
          </w:tcPr>
          <w:p w:rsidR="005C3F63" w:rsidRDefault="006536E7">
            <w:pPr>
              <w:jc w:val="center"/>
              <w:rPr>
                <w:rFonts w:ascii="Verdana" w:hAnsi="Verdana"/>
                <w:sz w:val="18"/>
                <w:szCs w:val="18"/>
              </w:rPr>
            </w:pPr>
            <w:r>
              <w:rPr>
                <w:rStyle w:val="tlid-translation"/>
                <w:rFonts w:ascii="Verdana" w:hAnsi="Verdana"/>
                <w:sz w:val="18"/>
                <w:szCs w:val="18"/>
                <w:lang w:val="en"/>
              </w:rPr>
              <w:t>Finance and controlling:</w:t>
            </w:r>
            <w:r>
              <w:rPr>
                <w:rFonts w:ascii="Verdana" w:hAnsi="Verdana"/>
                <w:sz w:val="18"/>
                <w:szCs w:val="18"/>
              </w:rPr>
              <w:t xml:space="preserve"> </w:t>
            </w:r>
            <w:r>
              <w:rPr>
                <w:rFonts w:ascii="Verdana" w:hAnsi="Verdana"/>
                <w:color w:val="000000"/>
                <w:sz w:val="18"/>
                <w:szCs w:val="18"/>
              </w:rPr>
              <w:t>FI-CO</w:t>
            </w:r>
          </w:p>
        </w:tc>
        <w:tc>
          <w:tcPr>
            <w:tcW w:w="3685" w:type="dxa"/>
            <w:tcBorders>
              <w:top w:val="single" w:sz="4" w:space="0" w:color="auto"/>
              <w:left w:val="nil"/>
              <w:bottom w:val="single" w:sz="4" w:space="0" w:color="auto"/>
              <w:right w:val="single" w:sz="4" w:space="0" w:color="auto"/>
            </w:tcBorders>
            <w:shd w:val="clear" w:color="auto" w:fill="auto"/>
            <w:vAlign w:val="center"/>
          </w:tcPr>
          <w:p w:rsidR="005C3F63" w:rsidRDefault="006536E7">
            <w:pPr>
              <w:rPr>
                <w:rFonts w:ascii="Verdana" w:hAnsi="Verdana"/>
                <w:sz w:val="18"/>
                <w:szCs w:val="18"/>
              </w:rPr>
            </w:pPr>
            <w:r>
              <w:rPr>
                <w:rStyle w:val="tlid-translation"/>
                <w:rFonts w:ascii="Verdana" w:hAnsi="Verdana"/>
                <w:sz w:val="18"/>
                <w:szCs w:val="18"/>
                <w:lang w:val="en"/>
              </w:rPr>
              <w:t xml:space="preserve">Takes into account </w:t>
            </w:r>
            <w:r>
              <w:rPr>
                <w:rStyle w:val="tlid-translation"/>
                <w:rFonts w:ascii="Verdana" w:hAnsi="Verdana"/>
                <w:sz w:val="18"/>
                <w:szCs w:val="18"/>
              </w:rPr>
              <w:t xml:space="preserve">costs </w:t>
            </w:r>
            <w:r>
              <w:rPr>
                <w:rStyle w:val="tlid-translation"/>
                <w:rFonts w:ascii="Verdana" w:hAnsi="Verdana"/>
                <w:sz w:val="18"/>
                <w:szCs w:val="18"/>
                <w:lang w:val="en"/>
              </w:rPr>
              <w:t>and profits according to the centers of their detection. Forms planned and actual cost. Serves as the main source for management information.</w:t>
            </w:r>
          </w:p>
        </w:tc>
        <w:tc>
          <w:tcPr>
            <w:tcW w:w="1560" w:type="dxa"/>
            <w:tcBorders>
              <w:top w:val="single" w:sz="4" w:space="0" w:color="auto"/>
              <w:left w:val="nil"/>
              <w:bottom w:val="single" w:sz="4" w:space="0" w:color="auto"/>
              <w:right w:val="single" w:sz="4" w:space="0" w:color="auto"/>
            </w:tcBorders>
            <w:shd w:val="clear" w:color="auto" w:fill="auto"/>
            <w:vAlign w:val="center"/>
          </w:tcPr>
          <w:p w:rsidR="005C3F63" w:rsidRDefault="006536E7">
            <w:pPr>
              <w:jc w:val="center"/>
              <w:rPr>
                <w:rFonts w:ascii="Verdana" w:hAnsi="Verdana"/>
                <w:color w:val="000000"/>
                <w:sz w:val="18"/>
                <w:szCs w:val="18"/>
              </w:rPr>
            </w:pPr>
            <w:r>
              <w:rPr>
                <w:rFonts w:ascii="Verdana" w:hAnsi="Verdana"/>
                <w:color w:val="000000"/>
                <w:sz w:val="18"/>
                <w:szCs w:val="18"/>
              </w:rPr>
              <w:t>SAP AG</w:t>
            </w:r>
          </w:p>
        </w:tc>
      </w:tr>
      <w:tr w:rsidR="005C3F63">
        <w:trPr>
          <w:trHeight w:val="522"/>
          <w:jc w:val="center"/>
        </w:trPr>
        <w:tc>
          <w:tcPr>
            <w:tcW w:w="1643" w:type="dxa"/>
            <w:tcBorders>
              <w:top w:val="single" w:sz="4" w:space="0" w:color="auto"/>
              <w:left w:val="single" w:sz="4" w:space="0" w:color="auto"/>
              <w:bottom w:val="single" w:sz="4" w:space="0" w:color="auto"/>
              <w:right w:val="single" w:sz="4" w:space="0" w:color="auto"/>
            </w:tcBorders>
            <w:shd w:val="clear" w:color="auto" w:fill="auto"/>
            <w:vAlign w:val="center"/>
          </w:tcPr>
          <w:p w:rsidR="005C3F63" w:rsidRDefault="006536E7">
            <w:pPr>
              <w:jc w:val="center"/>
              <w:rPr>
                <w:rFonts w:ascii="Verdana" w:hAnsi="Verdana"/>
                <w:b/>
                <w:color w:val="000000"/>
                <w:sz w:val="18"/>
                <w:szCs w:val="18"/>
                <w:lang w:val="ru-RU"/>
              </w:rPr>
            </w:pPr>
            <w:r>
              <w:rPr>
                <w:rFonts w:ascii="Verdana" w:hAnsi="Verdana"/>
                <w:b/>
                <w:bCs/>
                <w:color w:val="000000"/>
                <w:sz w:val="18"/>
                <w:szCs w:val="18"/>
              </w:rPr>
              <w:t>Galaktyka</w:t>
            </w:r>
          </w:p>
        </w:tc>
        <w:tc>
          <w:tcPr>
            <w:tcW w:w="1104" w:type="dxa"/>
            <w:tcBorders>
              <w:top w:val="single" w:sz="4" w:space="0" w:color="auto"/>
              <w:left w:val="nil"/>
              <w:bottom w:val="single" w:sz="4" w:space="0" w:color="auto"/>
              <w:right w:val="single" w:sz="4" w:space="0" w:color="auto"/>
            </w:tcBorders>
            <w:shd w:val="clear" w:color="auto" w:fill="auto"/>
            <w:vAlign w:val="center"/>
          </w:tcPr>
          <w:p w:rsidR="005C3F63" w:rsidRDefault="006536E7">
            <w:pPr>
              <w:jc w:val="center"/>
              <w:rPr>
                <w:rFonts w:ascii="Verdana" w:hAnsi="Verdana"/>
                <w:sz w:val="18"/>
                <w:szCs w:val="18"/>
              </w:rPr>
            </w:pPr>
            <w:r>
              <w:rPr>
                <w:rStyle w:val="tlid-translation"/>
                <w:rFonts w:ascii="Verdana" w:hAnsi="Verdana"/>
                <w:sz w:val="18"/>
                <w:szCs w:val="18"/>
                <w:lang w:val="en"/>
              </w:rPr>
              <w:t>Small and medium</w:t>
            </w:r>
          </w:p>
          <w:p w:rsidR="005C3F63" w:rsidRDefault="005C3F63">
            <w:pPr>
              <w:jc w:val="center"/>
              <w:rPr>
                <w:rFonts w:ascii="Verdana" w:hAnsi="Verdana"/>
                <w:color w:val="000000"/>
                <w:sz w:val="18"/>
                <w:szCs w:val="18"/>
              </w:rPr>
            </w:pPr>
          </w:p>
        </w:tc>
        <w:tc>
          <w:tcPr>
            <w:tcW w:w="1364" w:type="dxa"/>
            <w:tcBorders>
              <w:top w:val="single" w:sz="4" w:space="0" w:color="auto"/>
              <w:left w:val="nil"/>
              <w:bottom w:val="single" w:sz="4" w:space="0" w:color="auto"/>
              <w:right w:val="single" w:sz="4" w:space="0" w:color="auto"/>
            </w:tcBorders>
            <w:shd w:val="clear" w:color="auto" w:fill="auto"/>
            <w:vAlign w:val="center"/>
          </w:tcPr>
          <w:p w:rsidR="005C3F63" w:rsidRDefault="006536E7">
            <w:pPr>
              <w:jc w:val="center"/>
              <w:rPr>
                <w:rFonts w:ascii="Verdana" w:hAnsi="Verdana"/>
                <w:color w:val="000000"/>
                <w:sz w:val="18"/>
                <w:szCs w:val="18"/>
              </w:rPr>
            </w:pPr>
            <w:r>
              <w:rPr>
                <w:rFonts w:ascii="Verdana" w:hAnsi="Verdana"/>
                <w:color w:val="000000"/>
                <w:sz w:val="18"/>
                <w:szCs w:val="18"/>
              </w:rPr>
              <w:t>Controlling</w:t>
            </w:r>
          </w:p>
        </w:tc>
        <w:tc>
          <w:tcPr>
            <w:tcW w:w="3685" w:type="dxa"/>
            <w:tcBorders>
              <w:top w:val="single" w:sz="4" w:space="0" w:color="auto"/>
              <w:left w:val="nil"/>
              <w:bottom w:val="single" w:sz="4" w:space="0" w:color="auto"/>
              <w:right w:val="single" w:sz="4" w:space="0" w:color="auto"/>
            </w:tcBorders>
            <w:shd w:val="clear" w:color="auto" w:fill="auto"/>
            <w:vAlign w:val="center"/>
          </w:tcPr>
          <w:p w:rsidR="005C3F63" w:rsidRDefault="006536E7">
            <w:pPr>
              <w:rPr>
                <w:rFonts w:ascii="Verdana" w:hAnsi="Verdana"/>
                <w:sz w:val="18"/>
                <w:szCs w:val="18"/>
              </w:rPr>
            </w:pPr>
            <w:r>
              <w:rPr>
                <w:rStyle w:val="tlid-translation"/>
                <w:rFonts w:ascii="Verdana" w:hAnsi="Verdana"/>
                <w:sz w:val="18"/>
                <w:szCs w:val="18"/>
                <w:lang w:val="en"/>
              </w:rPr>
              <w:t>A full-fledged product for budgeting, automation of all types of accounting (including tax) and cost management by units</w:t>
            </w:r>
            <w:r>
              <w:rPr>
                <w:rFonts w:ascii="Verdana" w:hAnsi="Verdana"/>
                <w:sz w:val="18"/>
                <w:szCs w:val="18"/>
              </w:rPr>
              <w:t>.</w:t>
            </w:r>
          </w:p>
        </w:tc>
        <w:tc>
          <w:tcPr>
            <w:tcW w:w="1560" w:type="dxa"/>
            <w:tcBorders>
              <w:top w:val="single" w:sz="4" w:space="0" w:color="auto"/>
              <w:left w:val="nil"/>
              <w:bottom w:val="single" w:sz="4" w:space="0" w:color="auto"/>
              <w:right w:val="single" w:sz="4" w:space="0" w:color="auto"/>
            </w:tcBorders>
            <w:shd w:val="clear" w:color="auto" w:fill="auto"/>
            <w:vAlign w:val="center"/>
          </w:tcPr>
          <w:p w:rsidR="005C3F63" w:rsidRDefault="006536E7">
            <w:pPr>
              <w:jc w:val="center"/>
              <w:rPr>
                <w:rFonts w:ascii="Verdana" w:hAnsi="Verdana"/>
                <w:color w:val="000000"/>
                <w:sz w:val="18"/>
                <w:szCs w:val="18"/>
              </w:rPr>
            </w:pPr>
            <w:r>
              <w:rPr>
                <w:rFonts w:ascii="Verdana" w:hAnsi="Verdana"/>
                <w:bCs/>
                <w:color w:val="000000"/>
                <w:sz w:val="18"/>
                <w:szCs w:val="18"/>
              </w:rPr>
              <w:t>Galaktyka</w:t>
            </w:r>
          </w:p>
        </w:tc>
      </w:tr>
      <w:tr w:rsidR="005C3F63">
        <w:trPr>
          <w:trHeight w:val="834"/>
          <w:jc w:val="center"/>
        </w:trPr>
        <w:tc>
          <w:tcPr>
            <w:tcW w:w="1643" w:type="dxa"/>
            <w:tcBorders>
              <w:top w:val="single" w:sz="4" w:space="0" w:color="auto"/>
              <w:left w:val="single" w:sz="4" w:space="0" w:color="auto"/>
              <w:bottom w:val="single" w:sz="4" w:space="0" w:color="auto"/>
              <w:right w:val="single" w:sz="4" w:space="0" w:color="auto"/>
            </w:tcBorders>
            <w:shd w:val="clear" w:color="auto" w:fill="auto"/>
            <w:vAlign w:val="center"/>
          </w:tcPr>
          <w:p w:rsidR="005C3F63" w:rsidRDefault="006536E7">
            <w:pPr>
              <w:jc w:val="center"/>
              <w:rPr>
                <w:rFonts w:ascii="Verdana" w:hAnsi="Verdana"/>
                <w:b/>
                <w:color w:val="000000"/>
                <w:sz w:val="18"/>
                <w:szCs w:val="18"/>
              </w:rPr>
            </w:pPr>
            <w:r>
              <w:rPr>
                <w:rFonts w:ascii="Verdana" w:hAnsi="Verdana"/>
                <w:b/>
                <w:bCs/>
                <w:color w:val="000000"/>
                <w:sz w:val="18"/>
                <w:szCs w:val="18"/>
              </w:rPr>
              <w:t>IT - Enterprise</w:t>
            </w:r>
          </w:p>
        </w:tc>
        <w:tc>
          <w:tcPr>
            <w:tcW w:w="1104" w:type="dxa"/>
            <w:tcBorders>
              <w:top w:val="single" w:sz="4" w:space="0" w:color="auto"/>
              <w:left w:val="nil"/>
              <w:bottom w:val="single" w:sz="4" w:space="0" w:color="auto"/>
              <w:right w:val="single" w:sz="4" w:space="0" w:color="auto"/>
            </w:tcBorders>
            <w:shd w:val="clear" w:color="auto" w:fill="auto"/>
            <w:vAlign w:val="center"/>
          </w:tcPr>
          <w:p w:rsidR="005C3F63" w:rsidRDefault="006536E7">
            <w:pPr>
              <w:jc w:val="center"/>
              <w:rPr>
                <w:rFonts w:ascii="Verdana" w:hAnsi="Verdana"/>
                <w:color w:val="000000"/>
                <w:sz w:val="18"/>
                <w:szCs w:val="18"/>
              </w:rPr>
            </w:pPr>
            <w:r>
              <w:rPr>
                <w:rFonts w:ascii="Verdana" w:hAnsi="Verdana"/>
                <w:color w:val="000000"/>
                <w:sz w:val="18"/>
                <w:szCs w:val="18"/>
              </w:rPr>
              <w:t>Big</w:t>
            </w:r>
          </w:p>
        </w:tc>
        <w:tc>
          <w:tcPr>
            <w:tcW w:w="1364" w:type="dxa"/>
            <w:tcBorders>
              <w:top w:val="single" w:sz="4" w:space="0" w:color="auto"/>
              <w:left w:val="nil"/>
              <w:bottom w:val="single" w:sz="4" w:space="0" w:color="auto"/>
              <w:right w:val="single" w:sz="4" w:space="0" w:color="auto"/>
            </w:tcBorders>
            <w:shd w:val="clear" w:color="auto" w:fill="auto"/>
            <w:vAlign w:val="center"/>
          </w:tcPr>
          <w:p w:rsidR="005C3F63" w:rsidRDefault="006536E7">
            <w:pPr>
              <w:jc w:val="center"/>
              <w:rPr>
                <w:rFonts w:ascii="Verdana" w:hAnsi="Verdana"/>
                <w:sz w:val="18"/>
                <w:szCs w:val="18"/>
              </w:rPr>
            </w:pPr>
            <w:r>
              <w:rPr>
                <w:rStyle w:val="tlid-translation"/>
                <w:rFonts w:ascii="Verdana" w:hAnsi="Verdana"/>
                <w:sz w:val="18"/>
                <w:szCs w:val="18"/>
                <w:lang w:val="en"/>
              </w:rPr>
              <w:t>Budgeting and controlling</w:t>
            </w:r>
          </w:p>
          <w:p w:rsidR="005C3F63" w:rsidRDefault="005C3F63">
            <w:pPr>
              <w:jc w:val="center"/>
              <w:rPr>
                <w:rFonts w:ascii="Verdana" w:hAnsi="Verdana"/>
                <w:color w:val="000000"/>
                <w:sz w:val="18"/>
                <w:szCs w:val="18"/>
              </w:rPr>
            </w:pPr>
          </w:p>
        </w:tc>
        <w:tc>
          <w:tcPr>
            <w:tcW w:w="3685" w:type="dxa"/>
            <w:tcBorders>
              <w:top w:val="single" w:sz="4" w:space="0" w:color="auto"/>
              <w:left w:val="nil"/>
              <w:bottom w:val="single" w:sz="4" w:space="0" w:color="auto"/>
              <w:right w:val="single" w:sz="4" w:space="0" w:color="auto"/>
            </w:tcBorders>
            <w:shd w:val="clear" w:color="auto" w:fill="auto"/>
            <w:vAlign w:val="center"/>
          </w:tcPr>
          <w:p w:rsidR="005C3F63" w:rsidRDefault="006536E7">
            <w:pPr>
              <w:rPr>
                <w:rFonts w:ascii="Verdana" w:hAnsi="Verdana"/>
                <w:sz w:val="18"/>
                <w:szCs w:val="18"/>
              </w:rPr>
            </w:pPr>
            <w:r>
              <w:rPr>
                <w:rStyle w:val="tlid-translation"/>
                <w:rFonts w:ascii="Verdana" w:hAnsi="Verdana"/>
                <w:sz w:val="18"/>
                <w:szCs w:val="18"/>
                <w:lang w:val="en"/>
              </w:rPr>
              <w:t xml:space="preserve">Provides analysis of weaknesses: detailed </w:t>
            </w:r>
            <w:r>
              <w:rPr>
                <w:rStyle w:val="tlid-translation"/>
                <w:rFonts w:ascii="Verdana" w:hAnsi="Verdana"/>
                <w:sz w:val="18"/>
                <w:szCs w:val="18"/>
              </w:rPr>
              <w:t xml:space="preserve">research </w:t>
            </w:r>
            <w:r>
              <w:rPr>
                <w:rStyle w:val="tlid-translation"/>
                <w:rFonts w:ascii="Verdana" w:hAnsi="Verdana"/>
                <w:sz w:val="18"/>
                <w:szCs w:val="18"/>
                <w:lang w:val="en"/>
              </w:rPr>
              <w:t>of deviations between the actual and planned cost, process-oriented cost management</w:t>
            </w:r>
            <w:r>
              <w:rPr>
                <w:rFonts w:ascii="Verdana" w:hAnsi="Verdana"/>
                <w:sz w:val="18"/>
                <w:szCs w:val="18"/>
              </w:rPr>
              <w:t>.</w:t>
            </w:r>
          </w:p>
        </w:tc>
        <w:tc>
          <w:tcPr>
            <w:tcW w:w="1560" w:type="dxa"/>
            <w:tcBorders>
              <w:top w:val="single" w:sz="4" w:space="0" w:color="auto"/>
              <w:left w:val="nil"/>
              <w:bottom w:val="single" w:sz="4" w:space="0" w:color="auto"/>
              <w:right w:val="single" w:sz="4" w:space="0" w:color="auto"/>
            </w:tcBorders>
            <w:shd w:val="clear" w:color="auto" w:fill="auto"/>
            <w:vAlign w:val="center"/>
          </w:tcPr>
          <w:p w:rsidR="005C3F63" w:rsidRDefault="006536E7">
            <w:pPr>
              <w:jc w:val="center"/>
              <w:rPr>
                <w:rFonts w:ascii="Verdana" w:hAnsi="Verdana"/>
                <w:sz w:val="18"/>
                <w:szCs w:val="18"/>
              </w:rPr>
            </w:pPr>
            <w:r>
              <w:rPr>
                <w:rStyle w:val="tlid-translation"/>
                <w:rFonts w:ascii="Verdana" w:hAnsi="Verdana"/>
                <w:sz w:val="18"/>
                <w:szCs w:val="18"/>
                <w:lang w:val="en"/>
              </w:rPr>
              <w:t>Information Technology</w:t>
            </w:r>
          </w:p>
          <w:p w:rsidR="005C3F63" w:rsidRDefault="005C3F63">
            <w:pPr>
              <w:jc w:val="center"/>
              <w:rPr>
                <w:rFonts w:ascii="Verdana" w:hAnsi="Verdana"/>
                <w:color w:val="000000"/>
                <w:sz w:val="18"/>
                <w:szCs w:val="18"/>
              </w:rPr>
            </w:pPr>
          </w:p>
        </w:tc>
      </w:tr>
    </w:tbl>
    <w:p w:rsidR="005C3F63" w:rsidRDefault="006536E7">
      <w:pPr>
        <w:jc w:val="center"/>
        <w:rPr>
          <w:rFonts w:ascii="Verdana" w:hAnsi="Verdana"/>
          <w:i/>
          <w:sz w:val="18"/>
          <w:szCs w:val="18"/>
        </w:rPr>
      </w:pPr>
      <w:r>
        <w:rPr>
          <w:rFonts w:ascii="Verdana" w:hAnsi="Verdana"/>
          <w:i/>
          <w:sz w:val="18"/>
          <w:szCs w:val="18"/>
        </w:rPr>
        <w:t>Compiled by author</w:t>
      </w:r>
    </w:p>
    <w:p w:rsidR="005C3F63" w:rsidRDefault="005C3F63">
      <w:pPr>
        <w:rPr>
          <w:i/>
          <w:sz w:val="20"/>
          <w:szCs w:val="20"/>
          <w:lang w:val="uk-UA"/>
        </w:rPr>
      </w:pPr>
    </w:p>
    <w:p w:rsidR="005C3F63" w:rsidRDefault="006536E7">
      <w:pPr>
        <w:rPr>
          <w:rFonts w:ascii="Verdana" w:hAnsi="Verdana"/>
          <w:sz w:val="20"/>
          <w:szCs w:val="20"/>
        </w:rPr>
      </w:pPr>
      <w:r>
        <w:rPr>
          <w:rStyle w:val="tlid-translation"/>
          <w:rFonts w:ascii="Verdana" w:hAnsi="Verdana"/>
          <w:sz w:val="20"/>
          <w:szCs w:val="20"/>
          <w:lang w:val="en"/>
        </w:rPr>
        <w:lastRenderedPageBreak/>
        <w:t>The main advantage of the introduction of more expensive ERP-systems is the synergetic effect of the integration of all business areas in order to more effectively manage the company but this is relevant only for large trade enterprises. Procházka (2010) emphasizes that individual accounting systems that served for only one specific group of users were tend to be replaced by a single accounting system that assists a wide range of users in making economic decisions through the integration of financial and managerial accounting. According to Angelkort et al. (2008), IFRS are an important driver for the transition to integrated accounting systems as they are focused on supporting investment decisions, and therefore much more suitable for internal planning and control purposes as they rely heavily on the information provided by managerial accounting systems. Tuzarová and Mejzlí (2017) on the example of Czech trading companies show the successful integration of IFRS into the information software of public trading companies.</w:t>
      </w:r>
      <w:r>
        <w:rPr>
          <w:rFonts w:ascii="Verdana" w:hAnsi="Verdana"/>
          <w:sz w:val="20"/>
          <w:szCs w:val="20"/>
          <w:lang w:val="en"/>
        </w:rPr>
        <w:br/>
      </w:r>
      <w:r>
        <w:rPr>
          <w:rFonts w:ascii="Verdana" w:hAnsi="Verdana"/>
          <w:sz w:val="20"/>
          <w:szCs w:val="20"/>
          <w:lang w:val="en"/>
        </w:rPr>
        <w:br/>
      </w:r>
      <w:r>
        <w:rPr>
          <w:rStyle w:val="tlid-translation"/>
          <w:rFonts w:ascii="Verdana" w:hAnsi="Verdana"/>
          <w:sz w:val="20"/>
          <w:szCs w:val="20"/>
          <w:lang w:val="en"/>
        </w:rPr>
        <w:t xml:space="preserve">Despite the many advantages of </w:t>
      </w:r>
      <w:r>
        <w:rPr>
          <w:rStyle w:val="tlid-translation"/>
          <w:rFonts w:ascii="Verdana" w:hAnsi="Verdana"/>
          <w:sz w:val="20"/>
          <w:szCs w:val="20"/>
        </w:rPr>
        <w:t xml:space="preserve">using </w:t>
      </w:r>
      <w:r>
        <w:rPr>
          <w:rStyle w:val="tlid-translation"/>
          <w:rFonts w:ascii="Verdana" w:hAnsi="Verdana"/>
          <w:sz w:val="20"/>
          <w:szCs w:val="20"/>
          <w:lang w:val="en"/>
        </w:rPr>
        <w:t>ERP-systems the main disadvantage of their implementation in Ukraine is the cost which can reach several hundred thousand US dollars per year depending on the size of the enterprise, number of working places, service support, direct or indirect access to updates, etc.</w:t>
      </w:r>
    </w:p>
    <w:p w:rsidR="005C3F63" w:rsidRDefault="006536E7">
      <w:pPr>
        <w:pStyle w:val="af3"/>
        <w:shd w:val="clear" w:color="auto" w:fill="FFFFFF"/>
        <w:rPr>
          <w:rFonts w:ascii="Verdana" w:hAnsi="Verdana"/>
          <w:b/>
          <w:sz w:val="20"/>
          <w:szCs w:val="20"/>
          <w:lang w:val="uk-UA"/>
        </w:rPr>
      </w:pPr>
      <w:r>
        <w:rPr>
          <w:rFonts w:ascii="Verdana" w:hAnsi="Verdana"/>
          <w:b/>
          <w:sz w:val="20"/>
          <w:szCs w:val="20"/>
        </w:rPr>
        <w:t>Conclusions</w:t>
      </w:r>
      <w:r>
        <w:rPr>
          <w:rFonts w:ascii="Verdana" w:hAnsi="Verdana"/>
          <w:b/>
          <w:sz w:val="20"/>
          <w:szCs w:val="20"/>
          <w:lang w:val="uk-UA"/>
        </w:rPr>
        <w:t xml:space="preserve"> </w:t>
      </w:r>
    </w:p>
    <w:p w:rsidR="005C3F63" w:rsidRDefault="006536E7">
      <w:pPr>
        <w:rPr>
          <w:rStyle w:val="tlid-translation"/>
          <w:rFonts w:ascii="Verdana" w:hAnsi="Verdana"/>
          <w:sz w:val="20"/>
          <w:szCs w:val="20"/>
          <w:lang w:val="en"/>
        </w:rPr>
      </w:pPr>
      <w:r>
        <w:rPr>
          <w:rStyle w:val="tlid-translation"/>
          <w:rFonts w:ascii="Verdana" w:hAnsi="Verdana"/>
          <w:sz w:val="20"/>
          <w:szCs w:val="20"/>
          <w:lang w:val="en"/>
        </w:rPr>
        <w:t>The variability of the external environment requires the trading company to constantly comply with all world trends and standards, to provide competitive advantages that will allow long and stable business support. The expediency of accounting controlling’s digitalization is determined by the speed of establishing an effective system of communication flows within the enterprise.</w:t>
      </w:r>
      <w:r>
        <w:rPr>
          <w:rFonts w:ascii="Verdana" w:hAnsi="Verdana"/>
          <w:sz w:val="20"/>
          <w:szCs w:val="20"/>
          <w:lang w:val="en"/>
        </w:rPr>
        <w:br/>
      </w:r>
      <w:r>
        <w:rPr>
          <w:rFonts w:ascii="Verdana" w:hAnsi="Verdana"/>
          <w:sz w:val="20"/>
          <w:szCs w:val="20"/>
          <w:lang w:val="en"/>
        </w:rPr>
        <w:br/>
      </w:r>
      <w:r>
        <w:rPr>
          <w:rStyle w:val="tlid-translation"/>
          <w:rFonts w:ascii="Verdana" w:hAnsi="Verdana"/>
          <w:sz w:val="20"/>
          <w:szCs w:val="20"/>
          <w:lang w:val="en"/>
        </w:rPr>
        <w:t>Digital technology is not just a trend, it is something that changes and will change the attitude to doing business. Digitization was a trend ten years ago and today it is a reality. Unfortunately, a significant number of domestic trade enterprises lag behind by 7-8 years compared to the United States.</w:t>
      </w:r>
    </w:p>
    <w:p w:rsidR="005C3F63" w:rsidRDefault="006536E7">
      <w:pPr>
        <w:rPr>
          <w:rFonts w:ascii="Verdana" w:hAnsi="Verdana"/>
          <w:sz w:val="20"/>
          <w:szCs w:val="20"/>
        </w:rPr>
      </w:pPr>
      <w:r>
        <w:rPr>
          <w:rFonts w:ascii="Verdana" w:hAnsi="Verdana"/>
          <w:sz w:val="20"/>
          <w:szCs w:val="20"/>
          <w:lang w:val="en"/>
        </w:rPr>
        <w:br/>
      </w:r>
      <w:r>
        <w:rPr>
          <w:rStyle w:val="tlid-translation"/>
          <w:rFonts w:ascii="Verdana" w:hAnsi="Verdana"/>
          <w:sz w:val="20"/>
          <w:szCs w:val="20"/>
          <w:lang w:val="en"/>
        </w:rPr>
        <w:t>The development of digitalization of controlling today is an important factor that determines the pace of development of a trade enterprise. Digital technologies save time, increase the motivation of employees and develop their creative thinking; multimedia and interactivity contribute to better performance and at the same time even better assimilation of provided information.</w:t>
      </w:r>
    </w:p>
    <w:p w:rsidR="005C3F63" w:rsidRDefault="006536E7">
      <w:pPr>
        <w:pStyle w:val="af3"/>
        <w:shd w:val="clear" w:color="auto" w:fill="FFFFFF"/>
        <w:rPr>
          <w:rFonts w:ascii="Verdana" w:hAnsi="Verdana"/>
          <w:b/>
          <w:sz w:val="20"/>
          <w:szCs w:val="20"/>
        </w:rPr>
      </w:pPr>
      <w:r>
        <w:rPr>
          <w:rFonts w:ascii="Verdana" w:hAnsi="Verdana"/>
          <w:b/>
          <w:sz w:val="20"/>
          <w:szCs w:val="20"/>
        </w:rPr>
        <w:t>References</w:t>
      </w:r>
    </w:p>
    <w:p w:rsidR="005C3F63" w:rsidRDefault="006536E7">
      <w:pPr>
        <w:rPr>
          <w:rFonts w:ascii="Verdana" w:hAnsi="Verdana"/>
          <w:color w:val="000000" w:themeColor="text1"/>
          <w:sz w:val="20"/>
          <w:szCs w:val="20"/>
        </w:rPr>
      </w:pPr>
      <w:r>
        <w:rPr>
          <w:rFonts w:ascii="Verdana" w:hAnsi="Verdana"/>
          <w:color w:val="000000" w:themeColor="text1"/>
          <w:sz w:val="20"/>
          <w:szCs w:val="20"/>
          <w:lang w:val="de-DE"/>
        </w:rPr>
        <w:t xml:space="preserve">Angelkort, H., Sandt, J., Weißenberger, B. E. (2008). </w:t>
      </w:r>
      <w:r>
        <w:rPr>
          <w:rFonts w:ascii="Verdana" w:hAnsi="Verdana"/>
          <w:color w:val="000000" w:themeColor="text1"/>
          <w:sz w:val="20"/>
          <w:szCs w:val="20"/>
        </w:rPr>
        <w:t>Controllership under IFRS – Some Critical Observations from a German-Speaking Country. Rotterdam: 31st Annual Congress of the European Accounting Association, 22. 4. 2009 – 25. 4. 2009, pp. 4-5</w:t>
      </w:r>
    </w:p>
    <w:p w:rsidR="005C3F63" w:rsidRDefault="006536E7">
      <w:r>
        <w:rPr>
          <w:lang w:val="en"/>
        </w:rPr>
        <w:t xml:space="preserve">Digital Commerce 360. Received from: </w:t>
      </w:r>
      <w:hyperlink r:id="rId145" w:history="1">
        <w:r>
          <w:rPr>
            <w:rStyle w:val="af9"/>
            <w:rFonts w:ascii="Verdana" w:hAnsi="Verdana"/>
            <w:sz w:val="20"/>
            <w:szCs w:val="20"/>
          </w:rPr>
          <w:t>https://www.digitalcommerce360.com/2020/04/30/how-a-pandemic-transforms-tech-priorities</w:t>
        </w:r>
      </w:hyperlink>
      <w:r>
        <w:t xml:space="preserve"> </w:t>
      </w:r>
    </w:p>
    <w:p w:rsidR="005C3F63" w:rsidRDefault="006536E7">
      <w:pPr>
        <w:rPr>
          <w:rStyle w:val="af9"/>
          <w:rFonts w:ascii="Verdana" w:hAnsi="Verdana"/>
          <w:color w:val="000000" w:themeColor="text1"/>
          <w:sz w:val="20"/>
          <w:szCs w:val="20"/>
        </w:rPr>
      </w:pPr>
      <w:r>
        <w:rPr>
          <w:color w:val="000000" w:themeColor="text1"/>
        </w:rPr>
        <w:t xml:space="preserve">Dligach, </w:t>
      </w:r>
      <w:r>
        <w:rPr>
          <w:color w:val="000000" w:themeColor="text1"/>
          <w:lang w:val="ru-RU"/>
        </w:rPr>
        <w:t>А</w:t>
      </w:r>
      <w:r>
        <w:rPr>
          <w:color w:val="000000" w:themeColor="text1"/>
        </w:rPr>
        <w:t xml:space="preserve">. (2020). </w:t>
      </w:r>
      <w:r>
        <w:rPr>
          <w:lang w:val="en"/>
        </w:rPr>
        <w:t xml:space="preserve">Digital transformation as an elevator to the future. </w:t>
      </w:r>
      <w:r>
        <w:rPr>
          <w:color w:val="000000" w:themeColor="text1"/>
        </w:rPr>
        <w:t xml:space="preserve">Received from: </w:t>
      </w:r>
      <w:hyperlink r:id="rId146" w:history="1">
        <w:r>
          <w:rPr>
            <w:rStyle w:val="af9"/>
            <w:rFonts w:ascii="Verdana" w:hAnsi="Verdana"/>
            <w:sz w:val="20"/>
            <w:szCs w:val="20"/>
          </w:rPr>
          <w:t>https://tqm.com.ua/ua/likbez/ua-articles/cyfrova-transformaciya-yak-lift-u-majbutnye</w:t>
        </w:r>
      </w:hyperlink>
      <w:r>
        <w:rPr>
          <w:rStyle w:val="af9"/>
          <w:rFonts w:ascii="Verdana" w:hAnsi="Verdana"/>
          <w:color w:val="000000" w:themeColor="text1"/>
          <w:sz w:val="20"/>
          <w:szCs w:val="20"/>
        </w:rPr>
        <w:t xml:space="preserve"> </w:t>
      </w:r>
    </w:p>
    <w:p w:rsidR="005C3F63" w:rsidRDefault="005C3F63"/>
    <w:p w:rsidR="005C3F63" w:rsidRDefault="00085067">
      <w:pPr>
        <w:rPr>
          <w:color w:val="000000" w:themeColor="text1"/>
        </w:rPr>
      </w:pPr>
      <w:hyperlink r:id="rId147" w:history="1">
        <w:r w:rsidR="006536E7">
          <w:rPr>
            <w:rStyle w:val="af9"/>
            <w:rFonts w:ascii="Verdana" w:hAnsi="Verdana"/>
            <w:color w:val="000000" w:themeColor="text1"/>
            <w:sz w:val="20"/>
            <w:szCs w:val="20"/>
          </w:rPr>
          <w:t>Europe 2020: Ecommerce Region Report</w:t>
        </w:r>
      </w:hyperlink>
      <w:r w:rsidR="006536E7">
        <w:rPr>
          <w:rStyle w:val="af9"/>
          <w:rFonts w:ascii="Verdana" w:hAnsi="Verdana"/>
          <w:color w:val="000000" w:themeColor="text1"/>
          <w:sz w:val="20"/>
          <w:szCs w:val="20"/>
        </w:rPr>
        <w:t xml:space="preserve">. </w:t>
      </w:r>
      <w:r w:rsidR="006536E7">
        <w:rPr>
          <w:color w:val="000000" w:themeColor="text1"/>
        </w:rPr>
        <w:t xml:space="preserve">Received from: </w:t>
      </w:r>
      <w:r w:rsidR="006536E7">
        <w:rPr>
          <w:color w:val="000000" w:themeColor="text1"/>
          <w:lang w:val="uk-UA"/>
        </w:rPr>
        <w:t xml:space="preserve"> </w:t>
      </w:r>
      <w:hyperlink r:id="rId148" w:history="1">
        <w:r w:rsidR="006536E7">
          <w:rPr>
            <w:rStyle w:val="af9"/>
            <w:rFonts w:ascii="Verdana" w:hAnsi="Verdana"/>
            <w:sz w:val="20"/>
            <w:szCs w:val="20"/>
          </w:rPr>
          <w:t>https://retailx.net/product/europe-2020/?utm_source=modern_retail&amp;utm_medium=article&amp;utm_campaign=europ2020</w:t>
        </w:r>
      </w:hyperlink>
      <w:r w:rsidR="006536E7">
        <w:rPr>
          <w:color w:val="000000" w:themeColor="text1"/>
        </w:rPr>
        <w:t xml:space="preserve"> </w:t>
      </w:r>
    </w:p>
    <w:p w:rsidR="005C3F63" w:rsidRDefault="005C3F63">
      <w:pPr>
        <w:rPr>
          <w:color w:val="000000" w:themeColor="text1"/>
        </w:rPr>
      </w:pPr>
    </w:p>
    <w:p w:rsidR="005C3F63" w:rsidRDefault="006536E7">
      <w:pPr>
        <w:rPr>
          <w:color w:val="000000" w:themeColor="text1"/>
        </w:rPr>
      </w:pPr>
      <w:r>
        <w:rPr>
          <w:color w:val="000000" w:themeColor="text1"/>
        </w:rPr>
        <w:t xml:space="preserve">German </w:t>
      </w:r>
      <w:hyperlink r:id="rId149" w:tooltip="Online portal" w:history="1">
        <w:r>
          <w:rPr>
            <w:rStyle w:val="af9"/>
            <w:rFonts w:ascii="Verdana" w:hAnsi="Verdana"/>
            <w:color w:val="000000" w:themeColor="text1"/>
            <w:sz w:val="20"/>
            <w:szCs w:val="20"/>
          </w:rPr>
          <w:t>online portal</w:t>
        </w:r>
      </w:hyperlink>
      <w:r>
        <w:rPr>
          <w:color w:val="000000" w:themeColor="text1"/>
        </w:rPr>
        <w:t xml:space="preserve"> for </w:t>
      </w:r>
      <w:hyperlink r:id="rId150" w:history="1">
        <w:r>
          <w:rPr>
            <w:rStyle w:val="af9"/>
            <w:rFonts w:ascii="Verdana" w:hAnsi="Verdana"/>
            <w:color w:val="000000" w:themeColor="text1"/>
            <w:sz w:val="20"/>
            <w:szCs w:val="20"/>
          </w:rPr>
          <w:t>statistics</w:t>
        </w:r>
      </w:hyperlink>
      <w:r>
        <w:rPr>
          <w:color w:val="000000" w:themeColor="text1"/>
          <w:lang w:val="uk-UA"/>
        </w:rPr>
        <w:t xml:space="preserve">. </w:t>
      </w:r>
      <w:r>
        <w:rPr>
          <w:color w:val="000000" w:themeColor="text1"/>
        </w:rPr>
        <w:t xml:space="preserve">Received from: </w:t>
      </w:r>
      <w:hyperlink r:id="rId151" w:history="1">
        <w:r>
          <w:rPr>
            <w:rStyle w:val="af9"/>
            <w:rFonts w:ascii="Verdana" w:hAnsi="Verdana"/>
            <w:sz w:val="20"/>
            <w:szCs w:val="20"/>
          </w:rPr>
          <w:t>https://www.statista.com/topics/871/online-shopping/</w:t>
        </w:r>
      </w:hyperlink>
    </w:p>
    <w:p w:rsidR="005C3F63" w:rsidRDefault="005C3F63">
      <w:pPr>
        <w:rPr>
          <w:rFonts w:ascii="Verdana" w:hAnsi="Verdana"/>
          <w:color w:val="000000" w:themeColor="text1"/>
          <w:sz w:val="20"/>
          <w:szCs w:val="20"/>
        </w:rPr>
      </w:pPr>
    </w:p>
    <w:p w:rsidR="005C3F63" w:rsidRDefault="006536E7">
      <w:pPr>
        <w:rPr>
          <w:rFonts w:ascii="Verdana" w:hAnsi="Verdana"/>
          <w:sz w:val="20"/>
          <w:szCs w:val="20"/>
          <w:u w:val="single"/>
        </w:rPr>
      </w:pPr>
      <w:r>
        <w:rPr>
          <w:rFonts w:ascii="Verdana" w:hAnsi="Verdana"/>
          <w:color w:val="000000" w:themeColor="text1"/>
          <w:sz w:val="20"/>
          <w:szCs w:val="20"/>
        </w:rPr>
        <w:lastRenderedPageBreak/>
        <w:t xml:space="preserve">Halapsis, </w:t>
      </w:r>
      <w:r>
        <w:rPr>
          <w:rFonts w:ascii="Verdana" w:hAnsi="Verdana"/>
          <w:color w:val="000000" w:themeColor="text1"/>
          <w:sz w:val="20"/>
          <w:szCs w:val="20"/>
          <w:lang w:val="ru-RU"/>
        </w:rPr>
        <w:t>А</w:t>
      </w:r>
      <w:r>
        <w:rPr>
          <w:rFonts w:ascii="Verdana" w:hAnsi="Verdana"/>
          <w:color w:val="000000" w:themeColor="text1"/>
          <w:sz w:val="20"/>
          <w:szCs w:val="20"/>
        </w:rPr>
        <w:t xml:space="preserve">. (2017). </w:t>
      </w:r>
      <w:r>
        <w:rPr>
          <w:rFonts w:ascii="Verdana" w:hAnsi="Verdana"/>
          <w:sz w:val="20"/>
          <w:szCs w:val="20"/>
          <w:lang w:val="en"/>
        </w:rPr>
        <w:t>Globalization and the metric of history</w:t>
      </w:r>
      <w:r>
        <w:rPr>
          <w:rFonts w:ascii="Verdana" w:hAnsi="Verdana"/>
          <w:color w:val="000000" w:themeColor="text1"/>
          <w:sz w:val="20"/>
          <w:szCs w:val="20"/>
        </w:rPr>
        <w:t xml:space="preserve">. Received from: </w:t>
      </w:r>
      <w:r>
        <w:rPr>
          <w:rFonts w:ascii="Verdana" w:hAnsi="Verdana"/>
          <w:color w:val="000000" w:themeColor="text1"/>
          <w:sz w:val="20"/>
          <w:szCs w:val="20"/>
          <w:u w:val="single"/>
        </w:rPr>
        <w:t xml:space="preserve">http://halapsis. net/globalizatsiya-i-metrika-istorii  </w:t>
      </w:r>
    </w:p>
    <w:p w:rsidR="005C3F63" w:rsidRDefault="005C3F63">
      <w:pPr>
        <w:rPr>
          <w:rFonts w:ascii="Verdana" w:hAnsi="Verdana"/>
          <w:color w:val="000000" w:themeColor="text1"/>
          <w:sz w:val="20"/>
          <w:szCs w:val="20"/>
        </w:rPr>
      </w:pPr>
    </w:p>
    <w:p w:rsidR="005C3F63" w:rsidRDefault="006536E7">
      <w:pPr>
        <w:rPr>
          <w:rFonts w:ascii="Verdana" w:hAnsi="Verdana"/>
          <w:color w:val="000000" w:themeColor="text1"/>
          <w:sz w:val="20"/>
          <w:szCs w:val="20"/>
        </w:rPr>
      </w:pPr>
      <w:r>
        <w:rPr>
          <w:rFonts w:ascii="Verdana" w:hAnsi="Verdana"/>
          <w:color w:val="000000" w:themeColor="text1"/>
          <w:sz w:val="20"/>
          <w:szCs w:val="20"/>
        </w:rPr>
        <w:t xml:space="preserve">Kuprina, </w:t>
      </w:r>
      <w:r>
        <w:rPr>
          <w:rFonts w:ascii="Verdana" w:hAnsi="Verdana"/>
          <w:color w:val="000000" w:themeColor="text1"/>
          <w:sz w:val="20"/>
          <w:szCs w:val="20"/>
          <w:lang w:val="ru-RU"/>
        </w:rPr>
        <w:t>К</w:t>
      </w:r>
      <w:r>
        <w:rPr>
          <w:rFonts w:ascii="Verdana" w:hAnsi="Verdana"/>
          <w:color w:val="000000" w:themeColor="text1"/>
          <w:sz w:val="20"/>
          <w:szCs w:val="20"/>
        </w:rPr>
        <w:t xml:space="preserve">. </w:t>
      </w:r>
      <w:r>
        <w:rPr>
          <w:rFonts w:ascii="Verdana" w:hAnsi="Verdana"/>
          <w:color w:val="000000" w:themeColor="text1"/>
          <w:sz w:val="20"/>
          <w:szCs w:val="20"/>
          <w:lang w:val="ru-RU"/>
        </w:rPr>
        <w:t>А</w:t>
      </w:r>
      <w:r>
        <w:rPr>
          <w:rFonts w:ascii="Verdana" w:hAnsi="Verdana"/>
          <w:color w:val="000000" w:themeColor="text1"/>
          <w:sz w:val="20"/>
          <w:szCs w:val="20"/>
        </w:rPr>
        <w:t xml:space="preserve">. (2016). </w:t>
      </w:r>
      <w:r>
        <w:rPr>
          <w:rFonts w:ascii="Verdana" w:hAnsi="Verdana"/>
          <w:sz w:val="20"/>
          <w:szCs w:val="20"/>
          <w:lang w:val="en"/>
        </w:rPr>
        <w:t xml:space="preserve">Digitalization: concept, preconditions of origin and scope of application. Bulletin of scientific conferences, </w:t>
      </w:r>
      <w:r>
        <w:rPr>
          <w:rFonts w:ascii="Verdana" w:hAnsi="Verdana"/>
          <w:color w:val="000000" w:themeColor="text1"/>
          <w:sz w:val="20"/>
          <w:szCs w:val="20"/>
        </w:rPr>
        <w:t>Vol 5-5 (9), pp. 259-262</w:t>
      </w:r>
    </w:p>
    <w:p w:rsidR="005C3F63" w:rsidRDefault="006536E7">
      <w:pPr>
        <w:pStyle w:val="af3"/>
        <w:jc w:val="both"/>
        <w:rPr>
          <w:rFonts w:ascii="Verdana" w:hAnsi="Verdana"/>
          <w:sz w:val="20"/>
          <w:szCs w:val="20"/>
        </w:rPr>
      </w:pPr>
      <w:r>
        <w:rPr>
          <w:rFonts w:ascii="Verdana" w:hAnsi="Verdana"/>
          <w:color w:val="000000" w:themeColor="text1"/>
          <w:sz w:val="20"/>
          <w:szCs w:val="20"/>
        </w:rPr>
        <w:t xml:space="preserve">Lihonenko, L., Hripko, A., Domanskyy, A.  (2018). </w:t>
      </w:r>
      <w:r>
        <w:rPr>
          <w:rFonts w:ascii="Verdana" w:hAnsi="Verdana"/>
          <w:sz w:val="20"/>
          <w:szCs w:val="20"/>
          <w:lang w:val="en"/>
        </w:rPr>
        <w:t>Content and mechanism of digitalization strategy formation in business organizations</w:t>
      </w:r>
      <w:r>
        <w:rPr>
          <w:rFonts w:ascii="Verdana" w:hAnsi="Verdana"/>
          <w:sz w:val="20"/>
          <w:szCs w:val="20"/>
        </w:rPr>
        <w:t>. Kyiv: Іnternаtіоnаl Scіentіfіc Jоurnаl “Іnternаukа”</w:t>
      </w:r>
      <w:r>
        <w:rPr>
          <w:rFonts w:ascii="Verdana" w:hAnsi="Verdana"/>
          <w:color w:val="000000" w:themeColor="text1"/>
          <w:sz w:val="20"/>
          <w:szCs w:val="20"/>
        </w:rPr>
        <w:t>, Vol. № 2, pp. 20–25</w:t>
      </w:r>
    </w:p>
    <w:p w:rsidR="005C3F63" w:rsidRDefault="006536E7">
      <w:pPr>
        <w:rPr>
          <w:rStyle w:val="lsc"/>
          <w:rFonts w:ascii="Verdana" w:hAnsi="Verdana"/>
          <w:color w:val="000000" w:themeColor="text1"/>
          <w:sz w:val="20"/>
          <w:szCs w:val="20"/>
        </w:rPr>
      </w:pPr>
      <w:r>
        <w:rPr>
          <w:rFonts w:ascii="Verdana" w:hAnsi="Verdana"/>
          <w:color w:val="000000" w:themeColor="text1"/>
          <w:sz w:val="20"/>
          <w:szCs w:val="20"/>
        </w:rPr>
        <w:t xml:space="preserve">Procházka, D. (2010). The development of financial and management accounting after the IFRS adoption: a case from the Czech Republic. </w:t>
      </w:r>
      <w:hyperlink r:id="rId152" w:tgtFrame="_blank" w:history="1">
        <w:r>
          <w:rPr>
            <w:rStyle w:val="af9"/>
            <w:rFonts w:ascii="Verdana" w:hAnsi="Verdana"/>
            <w:color w:val="000000" w:themeColor="text1"/>
            <w:sz w:val="20"/>
            <w:szCs w:val="20"/>
          </w:rPr>
          <w:t>SSRN Electronic Journal</w:t>
        </w:r>
      </w:hyperlink>
      <w:r>
        <w:rPr>
          <w:rFonts w:ascii="Verdana" w:hAnsi="Verdana"/>
          <w:color w:val="000000" w:themeColor="text1"/>
          <w:sz w:val="20"/>
          <w:szCs w:val="20"/>
        </w:rPr>
        <w:t>. Working paper, 2</w:t>
      </w:r>
      <w:r>
        <w:rPr>
          <w:rStyle w:val="fs4"/>
          <w:rFonts w:ascii="Verdana" w:hAnsi="Verdana"/>
          <w:color w:val="000000" w:themeColor="text1"/>
          <w:sz w:val="20"/>
          <w:szCs w:val="20"/>
        </w:rPr>
        <w:t>nd</w:t>
      </w:r>
      <w:r>
        <w:rPr>
          <w:rStyle w:val="lsc"/>
          <w:rFonts w:ascii="Verdana" w:hAnsi="Verdana"/>
          <w:color w:val="000000" w:themeColor="text1"/>
          <w:sz w:val="20"/>
          <w:szCs w:val="20"/>
        </w:rPr>
        <w:t xml:space="preserve"> version. Received from: </w:t>
      </w:r>
      <w:hyperlink r:id="rId153" w:history="1">
        <w:r>
          <w:rPr>
            <w:rStyle w:val="af9"/>
            <w:rFonts w:ascii="Verdana" w:hAnsi="Verdana"/>
            <w:sz w:val="20"/>
            <w:szCs w:val="20"/>
          </w:rPr>
          <w:t>https://www.researchgate.net/publication/228295305_The_Development_of_Financial_and_Management_Accounting_After_the_IFRS_Adoption_A_Case_from_the_Czech_Republic</w:t>
        </w:r>
      </w:hyperlink>
      <w:r>
        <w:rPr>
          <w:rStyle w:val="lsc"/>
          <w:rFonts w:ascii="Verdana" w:hAnsi="Verdana"/>
          <w:color w:val="000000" w:themeColor="text1"/>
          <w:sz w:val="20"/>
          <w:szCs w:val="20"/>
          <w:u w:val="single"/>
        </w:rPr>
        <w:t xml:space="preserve"> </w:t>
      </w:r>
    </w:p>
    <w:p w:rsidR="005C3F63" w:rsidRDefault="005C3F63">
      <w:pPr>
        <w:rPr>
          <w:rStyle w:val="authorsname"/>
          <w:rFonts w:ascii="Verdana" w:hAnsi="Verdana"/>
          <w:color w:val="000000" w:themeColor="text1"/>
          <w:sz w:val="20"/>
          <w:szCs w:val="20"/>
        </w:rPr>
      </w:pPr>
    </w:p>
    <w:p w:rsidR="005C3F63" w:rsidRDefault="006536E7">
      <w:pPr>
        <w:rPr>
          <w:rStyle w:val="page-numbers-info"/>
          <w:rFonts w:ascii="Verdana" w:hAnsi="Verdana"/>
          <w:color w:val="000000" w:themeColor="text1"/>
          <w:sz w:val="20"/>
          <w:szCs w:val="20"/>
        </w:rPr>
      </w:pPr>
      <w:r>
        <w:rPr>
          <w:rStyle w:val="authorsname"/>
          <w:rFonts w:ascii="Verdana" w:hAnsi="Verdana"/>
          <w:color w:val="000000" w:themeColor="text1"/>
          <w:sz w:val="20"/>
          <w:szCs w:val="20"/>
        </w:rPr>
        <w:t>Tuzarová</w:t>
      </w:r>
      <w:r>
        <w:rPr>
          <w:rStyle w:val="authorsname"/>
          <w:rFonts w:ascii="Verdana" w:hAnsi="Verdana"/>
          <w:color w:val="000000" w:themeColor="text1"/>
          <w:sz w:val="20"/>
          <w:szCs w:val="20"/>
          <w:lang w:val="uk-UA"/>
        </w:rPr>
        <w:t xml:space="preserve">, </w:t>
      </w:r>
      <w:r>
        <w:rPr>
          <w:rStyle w:val="authorsname"/>
          <w:rFonts w:ascii="Verdana" w:hAnsi="Verdana"/>
          <w:color w:val="000000" w:themeColor="text1"/>
          <w:sz w:val="20"/>
          <w:szCs w:val="20"/>
        </w:rPr>
        <w:t xml:space="preserve">S., Mejzlík, L. (2017). </w:t>
      </w:r>
      <w:r>
        <w:rPr>
          <w:rFonts w:ascii="Verdana" w:hAnsi="Verdana"/>
          <w:color w:val="000000" w:themeColor="text1"/>
          <w:sz w:val="20"/>
          <w:szCs w:val="20"/>
          <w:lang w:val="en"/>
        </w:rPr>
        <w:t>The IFRS Assessment by Publicly Traded Companies</w:t>
      </w:r>
      <w:r>
        <w:rPr>
          <w:rFonts w:ascii="Verdana" w:hAnsi="Verdana"/>
          <w:color w:val="000000" w:themeColor="text1"/>
          <w:sz w:val="20"/>
          <w:szCs w:val="20"/>
          <w:lang w:val="uk-UA"/>
        </w:rPr>
        <w:t>.</w:t>
      </w:r>
      <w:hyperlink r:id="rId154" w:history="1">
        <w:r>
          <w:rPr>
            <w:rStyle w:val="af9"/>
            <w:rFonts w:ascii="Verdana" w:hAnsi="Verdana"/>
            <w:color w:val="000000" w:themeColor="text1"/>
            <w:sz w:val="20"/>
            <w:szCs w:val="20"/>
          </w:rPr>
          <w:t>The Impact of Globalization on International Finance and Accounting</w:t>
        </w:r>
      </w:hyperlink>
      <w:r>
        <w:rPr>
          <w:rStyle w:val="booktitle"/>
          <w:color w:val="000000" w:themeColor="text1"/>
          <w:sz w:val="20"/>
          <w:szCs w:val="20"/>
        </w:rPr>
        <w:t>,</w:t>
      </w:r>
      <w:r>
        <w:rPr>
          <w:rStyle w:val="page-numbers-info"/>
          <w:rFonts w:ascii="Verdana" w:hAnsi="Verdana"/>
          <w:color w:val="000000" w:themeColor="text1"/>
          <w:sz w:val="20"/>
          <w:szCs w:val="20"/>
        </w:rPr>
        <w:t xml:space="preserve"> pp. 341-346</w:t>
      </w:r>
    </w:p>
    <w:p w:rsidR="005C3F63" w:rsidRDefault="006536E7">
      <w:pPr>
        <w:jc w:val="left"/>
        <w:rPr>
          <w:rStyle w:val="page-numbers-info"/>
          <w:rFonts w:ascii="Verdana" w:hAnsi="Verdana"/>
          <w:color w:val="000000" w:themeColor="text1"/>
          <w:sz w:val="20"/>
          <w:szCs w:val="20"/>
        </w:rPr>
      </w:pPr>
      <w:r>
        <w:rPr>
          <w:rStyle w:val="page-numbers-info"/>
          <w:rFonts w:ascii="Verdana" w:hAnsi="Verdana"/>
          <w:color w:val="000000" w:themeColor="text1"/>
          <w:sz w:val="20"/>
          <w:szCs w:val="20"/>
        </w:rPr>
        <w:br w:type="page"/>
      </w:r>
    </w:p>
    <w:p w:rsidR="005C3F63" w:rsidRDefault="006536E7">
      <w:pPr>
        <w:pStyle w:val="1"/>
      </w:pPr>
      <w:bookmarkStart w:id="370" w:name="_Toc47951520"/>
      <w:r>
        <w:lastRenderedPageBreak/>
        <w:t>Transposition of International Standards for Small and Medium-sized Entities in Ukraine</w:t>
      </w:r>
      <w:bookmarkEnd w:id="370"/>
    </w:p>
    <w:p w:rsidR="005C3F63" w:rsidRDefault="005C3F63">
      <w:pPr>
        <w:ind w:firstLine="709"/>
        <w:jc w:val="center"/>
        <w:rPr>
          <w:rFonts w:ascii="Verdana" w:hAnsi="Verdana"/>
          <w:b/>
        </w:rPr>
      </w:pPr>
    </w:p>
    <w:p w:rsidR="005C3F63" w:rsidRDefault="006536E7">
      <w:pPr>
        <w:pStyle w:val="Autor"/>
      </w:pPr>
      <w:bookmarkStart w:id="371" w:name="_Toc47948786"/>
      <w:bookmarkStart w:id="372" w:name="_Toc47951521"/>
      <w:bookmarkStart w:id="373" w:name="_Toc47951363"/>
      <w:bookmarkStart w:id="374" w:name="_Toc47951456"/>
      <w:bookmarkStart w:id="375" w:name="_Toc47451146"/>
      <w:bookmarkStart w:id="376" w:name="_Toc47948984"/>
      <w:bookmarkStart w:id="377" w:name="_Toc47448189"/>
      <w:bookmarkStart w:id="378" w:name="_Toc47948725"/>
      <w:bookmarkStart w:id="379" w:name="_Toc47448830"/>
      <w:bookmarkStart w:id="380" w:name="_Toc47448549"/>
      <w:bookmarkStart w:id="381" w:name="_Toc47448107"/>
      <w:bookmarkStart w:id="382" w:name="_Toc47949298"/>
      <w:bookmarkStart w:id="383" w:name="_Toc47448053"/>
      <w:bookmarkStart w:id="384" w:name="_Toc47447971"/>
      <w:bookmarkStart w:id="385" w:name="_Toc47448311"/>
      <w:bookmarkStart w:id="386" w:name="_Toc47447151"/>
      <w:bookmarkStart w:id="387" w:name="_Toc47448604"/>
      <w:bookmarkStart w:id="388" w:name="_Toc47449305"/>
      <w:bookmarkStart w:id="389" w:name="_Toc47447917"/>
      <w:r>
        <w:t>Valentyna Kostyuchenko¹, Anastasia Коvalova², Serhii Holov</w:t>
      </w:r>
      <w:r>
        <w:rPr>
          <w:vertAlign w:val="superscript"/>
        </w:rPr>
        <w:t>3</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r>
        <w:t xml:space="preserve"> </w:t>
      </w:r>
    </w:p>
    <w:p w:rsidR="005C3F63" w:rsidRDefault="005C3F63">
      <w:pPr>
        <w:ind w:firstLine="709"/>
        <w:rPr>
          <w:b/>
          <w:sz w:val="12"/>
          <w:szCs w:val="12"/>
        </w:rPr>
      </w:pPr>
    </w:p>
    <w:p w:rsidR="005C3F63" w:rsidRDefault="006536E7">
      <w:pPr>
        <w:ind w:firstLine="709"/>
        <w:jc w:val="center"/>
        <w:rPr>
          <w:rFonts w:ascii="Verdana" w:hAnsi="Verdana"/>
          <w:sz w:val="18"/>
          <w:szCs w:val="18"/>
        </w:rPr>
      </w:pPr>
      <w:r>
        <w:rPr>
          <w:rFonts w:ascii="Verdana" w:hAnsi="Verdana"/>
          <w:bCs/>
          <w:color w:val="000000" w:themeColor="text1"/>
          <w:sz w:val="18"/>
          <w:szCs w:val="18"/>
        </w:rPr>
        <w:t>¹</w:t>
      </w:r>
      <w:r>
        <w:rPr>
          <w:rFonts w:ascii="Verdana" w:hAnsi="Verdana"/>
          <w:sz w:val="18"/>
          <w:szCs w:val="18"/>
        </w:rPr>
        <w:t xml:space="preserve">Kyiv National University of Trade and Economics </w:t>
      </w:r>
    </w:p>
    <w:p w:rsidR="005C3F63" w:rsidRDefault="006536E7">
      <w:pPr>
        <w:ind w:firstLine="709"/>
        <w:jc w:val="center"/>
        <w:rPr>
          <w:rFonts w:ascii="Verdana" w:hAnsi="Verdana"/>
          <w:sz w:val="18"/>
          <w:szCs w:val="18"/>
        </w:rPr>
      </w:pPr>
      <w:r>
        <w:rPr>
          <w:rFonts w:ascii="Verdana" w:hAnsi="Verdana"/>
          <w:sz w:val="18"/>
          <w:szCs w:val="18"/>
        </w:rPr>
        <w:t>Faculty of Finance and Accounting, Accounting and Taxation Department</w:t>
      </w:r>
    </w:p>
    <w:p w:rsidR="005C3F63" w:rsidRDefault="006536E7">
      <w:pPr>
        <w:ind w:firstLine="709"/>
        <w:jc w:val="center"/>
        <w:rPr>
          <w:rFonts w:ascii="Verdana" w:hAnsi="Verdana"/>
          <w:sz w:val="18"/>
          <w:szCs w:val="18"/>
        </w:rPr>
      </w:pPr>
      <w:r>
        <w:rPr>
          <w:rFonts w:ascii="Verdana" w:hAnsi="Verdana"/>
          <w:sz w:val="18"/>
          <w:szCs w:val="18"/>
        </w:rPr>
        <w:t>Kyoto street 19, 02156, Kyiv, Ukraine</w:t>
      </w:r>
    </w:p>
    <w:p w:rsidR="005C3F63" w:rsidRDefault="006536E7">
      <w:pPr>
        <w:ind w:firstLine="709"/>
        <w:jc w:val="center"/>
        <w:rPr>
          <w:rFonts w:ascii="Verdana" w:hAnsi="Verdana"/>
          <w:sz w:val="18"/>
          <w:szCs w:val="18"/>
        </w:rPr>
      </w:pPr>
      <w:r>
        <w:rPr>
          <w:rFonts w:ascii="Verdana" w:hAnsi="Verdana"/>
          <w:sz w:val="18"/>
          <w:szCs w:val="18"/>
        </w:rPr>
        <w:t>E-mail: valentynak1098@gmail.com</w:t>
      </w:r>
    </w:p>
    <w:p w:rsidR="005C3F63" w:rsidRDefault="005C3F63">
      <w:pPr>
        <w:ind w:firstLine="709"/>
        <w:jc w:val="center"/>
        <w:rPr>
          <w:rFonts w:ascii="Verdana" w:hAnsi="Verdana"/>
          <w:sz w:val="18"/>
          <w:szCs w:val="18"/>
        </w:rPr>
      </w:pPr>
    </w:p>
    <w:p w:rsidR="005C3F63" w:rsidRDefault="006536E7">
      <w:pPr>
        <w:ind w:firstLine="709"/>
        <w:jc w:val="center"/>
        <w:rPr>
          <w:rFonts w:ascii="Verdana" w:hAnsi="Verdana"/>
          <w:sz w:val="18"/>
          <w:szCs w:val="18"/>
        </w:rPr>
      </w:pPr>
      <w:r>
        <w:rPr>
          <w:rFonts w:ascii="Verdana" w:hAnsi="Verdana"/>
          <w:bCs/>
          <w:color w:val="000000" w:themeColor="text1"/>
          <w:sz w:val="18"/>
          <w:szCs w:val="18"/>
        </w:rPr>
        <w:t>²</w:t>
      </w:r>
      <w:r>
        <w:rPr>
          <w:rFonts w:ascii="Verdana" w:hAnsi="Verdana"/>
          <w:sz w:val="18"/>
          <w:szCs w:val="18"/>
        </w:rPr>
        <w:t xml:space="preserve">Kyiv National University of Trade and Economics </w:t>
      </w:r>
    </w:p>
    <w:p w:rsidR="005C3F63" w:rsidRDefault="006536E7">
      <w:pPr>
        <w:ind w:firstLine="709"/>
        <w:jc w:val="center"/>
        <w:rPr>
          <w:rFonts w:ascii="Verdana" w:hAnsi="Verdana"/>
          <w:sz w:val="18"/>
          <w:szCs w:val="18"/>
        </w:rPr>
      </w:pPr>
      <w:r>
        <w:rPr>
          <w:rFonts w:ascii="Verdana" w:hAnsi="Verdana"/>
          <w:sz w:val="18"/>
          <w:szCs w:val="18"/>
        </w:rPr>
        <w:t>Faculty of Finance and Accounting, Accounting and Taxation Department</w:t>
      </w:r>
    </w:p>
    <w:p w:rsidR="005C3F63" w:rsidRDefault="006536E7">
      <w:pPr>
        <w:ind w:firstLine="709"/>
        <w:jc w:val="center"/>
        <w:rPr>
          <w:rFonts w:ascii="Verdana" w:hAnsi="Verdana"/>
          <w:sz w:val="18"/>
          <w:szCs w:val="18"/>
        </w:rPr>
      </w:pPr>
      <w:r>
        <w:rPr>
          <w:rFonts w:ascii="Verdana" w:hAnsi="Verdana"/>
          <w:sz w:val="18"/>
          <w:szCs w:val="18"/>
        </w:rPr>
        <w:t>Kyoto street 19, 02156, Kyiv, Ukraine</w:t>
      </w:r>
    </w:p>
    <w:p w:rsidR="005C3F63" w:rsidRDefault="006536E7">
      <w:pPr>
        <w:jc w:val="center"/>
        <w:rPr>
          <w:rStyle w:val="af9"/>
          <w:rFonts w:ascii="Verdana" w:hAnsi="Verdana"/>
          <w:sz w:val="18"/>
          <w:szCs w:val="18"/>
          <w:shd w:val="clear" w:color="auto" w:fill="FFFFFF"/>
        </w:rPr>
      </w:pPr>
      <w:r>
        <w:rPr>
          <w:rFonts w:ascii="Verdana" w:hAnsi="Verdana"/>
          <w:sz w:val="18"/>
          <w:szCs w:val="18"/>
        </w:rPr>
        <w:t>E-mail:</w:t>
      </w:r>
      <w:r>
        <w:rPr>
          <w:rFonts w:ascii="Verdana" w:hAnsi="Verdana"/>
          <w:color w:val="555555"/>
          <w:sz w:val="18"/>
          <w:szCs w:val="18"/>
          <w:shd w:val="clear" w:color="auto" w:fill="FFFFFF"/>
        </w:rPr>
        <w:t xml:space="preserve"> </w:t>
      </w:r>
      <w:r>
        <w:rPr>
          <w:rFonts w:ascii="Verdana" w:hAnsi="Verdana"/>
          <w:sz w:val="18"/>
          <w:szCs w:val="18"/>
          <w:shd w:val="clear" w:color="auto" w:fill="FFFFFF"/>
        </w:rPr>
        <w:t>kovaleva.anast1997@gmail.com</w:t>
      </w:r>
    </w:p>
    <w:p w:rsidR="005C3F63" w:rsidRDefault="005C3F63">
      <w:pPr>
        <w:jc w:val="center"/>
        <w:rPr>
          <w:rFonts w:ascii="Verdana" w:hAnsi="Verdana"/>
          <w:color w:val="555555"/>
          <w:sz w:val="18"/>
          <w:szCs w:val="18"/>
          <w:shd w:val="clear" w:color="auto" w:fill="FFFFFF"/>
        </w:rPr>
      </w:pPr>
    </w:p>
    <w:p w:rsidR="005C3F63" w:rsidRDefault="006536E7">
      <w:pPr>
        <w:jc w:val="center"/>
        <w:rPr>
          <w:rFonts w:ascii="Verdana" w:hAnsi="Verdana"/>
          <w:color w:val="000000" w:themeColor="text1"/>
          <w:sz w:val="18"/>
          <w:szCs w:val="18"/>
          <w:shd w:val="clear" w:color="auto" w:fill="FFFFFF"/>
        </w:rPr>
      </w:pPr>
      <w:r>
        <w:rPr>
          <w:rFonts w:ascii="Verdana" w:hAnsi="Verdana"/>
          <w:sz w:val="18"/>
          <w:szCs w:val="18"/>
          <w:vertAlign w:val="superscript"/>
        </w:rPr>
        <w:t>3</w:t>
      </w:r>
      <w:r>
        <w:rPr>
          <w:rFonts w:ascii="Verdana" w:hAnsi="Verdana"/>
          <w:color w:val="000000" w:themeColor="text1"/>
          <w:sz w:val="18"/>
          <w:szCs w:val="18"/>
          <w:shd w:val="clear" w:color="auto" w:fill="FFFFFF"/>
        </w:rPr>
        <w:t>International Management Institute (MIM-Kyiv)</w:t>
      </w:r>
    </w:p>
    <w:p w:rsidR="005C3F63" w:rsidRDefault="006536E7">
      <w:pPr>
        <w:ind w:firstLine="709"/>
        <w:jc w:val="center"/>
        <w:rPr>
          <w:rFonts w:ascii="Verdana" w:hAnsi="Verdana"/>
          <w:sz w:val="18"/>
          <w:szCs w:val="18"/>
        </w:rPr>
      </w:pPr>
      <w:r>
        <w:rPr>
          <w:rFonts w:ascii="Verdana" w:hAnsi="Verdana"/>
          <w:color w:val="000000" w:themeColor="text1"/>
          <w:sz w:val="18"/>
          <w:szCs w:val="18"/>
          <w:shd w:val="clear" w:color="auto" w:fill="FFFFFF"/>
        </w:rPr>
        <w:t xml:space="preserve">Management and Economy </w:t>
      </w:r>
      <w:r>
        <w:rPr>
          <w:rFonts w:ascii="Verdana" w:hAnsi="Verdana"/>
          <w:sz w:val="18"/>
          <w:szCs w:val="18"/>
        </w:rPr>
        <w:t>Department</w:t>
      </w:r>
    </w:p>
    <w:p w:rsidR="005C3F63" w:rsidRDefault="006536E7">
      <w:pPr>
        <w:jc w:val="center"/>
        <w:rPr>
          <w:rFonts w:ascii="Verdana" w:hAnsi="Verdana"/>
          <w:sz w:val="18"/>
          <w:szCs w:val="18"/>
        </w:rPr>
      </w:pPr>
      <w:r>
        <w:rPr>
          <w:rFonts w:ascii="Verdana" w:hAnsi="Verdana"/>
          <w:color w:val="000000" w:themeColor="text1"/>
          <w:sz w:val="18"/>
          <w:szCs w:val="18"/>
          <w:shd w:val="clear" w:color="auto" w:fill="FFFFFF"/>
        </w:rPr>
        <w:t xml:space="preserve">Shulyavska </w:t>
      </w:r>
      <w:r>
        <w:rPr>
          <w:rFonts w:ascii="Verdana" w:hAnsi="Verdana"/>
          <w:sz w:val="18"/>
          <w:szCs w:val="18"/>
        </w:rPr>
        <w:t>street 10/12 B, Kyiv, Ukraine</w:t>
      </w:r>
    </w:p>
    <w:p w:rsidR="005C3F63" w:rsidRDefault="006536E7">
      <w:pPr>
        <w:jc w:val="center"/>
        <w:rPr>
          <w:rFonts w:ascii="Verdana" w:hAnsi="Verdana"/>
          <w:color w:val="555555"/>
          <w:sz w:val="18"/>
          <w:szCs w:val="18"/>
          <w:shd w:val="clear" w:color="auto" w:fill="FFFFFF"/>
        </w:rPr>
      </w:pPr>
      <w:r>
        <w:rPr>
          <w:rFonts w:ascii="Verdana" w:hAnsi="Verdana"/>
          <w:sz w:val="18"/>
          <w:szCs w:val="18"/>
        </w:rPr>
        <w:t xml:space="preserve">E-mail: golov@mim.kiev.ua </w:t>
      </w:r>
    </w:p>
    <w:p w:rsidR="005C3F63" w:rsidRDefault="005C3F63">
      <w:pPr>
        <w:rPr>
          <w:rFonts w:ascii="Verdana" w:hAnsi="Verdana"/>
          <w:sz w:val="18"/>
          <w:szCs w:val="18"/>
        </w:rPr>
      </w:pPr>
    </w:p>
    <w:p w:rsidR="005C3F63" w:rsidRDefault="006536E7">
      <w:pPr>
        <w:rPr>
          <w:rFonts w:ascii="Verdana" w:hAnsi="Verdana"/>
          <w:i/>
          <w:sz w:val="20"/>
          <w:szCs w:val="20"/>
        </w:rPr>
      </w:pPr>
      <w:r>
        <w:rPr>
          <w:rFonts w:ascii="Verdana" w:hAnsi="Verdana"/>
          <w:b/>
          <w:i/>
          <w:sz w:val="20"/>
          <w:szCs w:val="20"/>
        </w:rPr>
        <w:t xml:space="preserve">Abstract: </w:t>
      </w:r>
      <w:r>
        <w:rPr>
          <w:rFonts w:ascii="Verdana" w:hAnsi="Verdana"/>
          <w:i/>
          <w:sz w:val="20"/>
          <w:szCs w:val="20"/>
        </w:rPr>
        <w:t xml:space="preserve">The current state of the national accounting system necessitates the introduction of International Financial Reporting Standards in the practice of small and medium-sized business enterprises. The transition of Ukrainian small and medium enterprises to IFRS is a requirement of time, introduction of market relations and is due to the need to fulfill Ukraine’s contractual obligations for further integration into the European Union. The analysis of the practice of accounting by small and medium enterprises conducted in the article revealed a number of problematic aspects and outlined the directions of their improvement in accordance with the conditions of the Ukrainian present. </w:t>
      </w:r>
    </w:p>
    <w:p w:rsidR="005C3F63" w:rsidRDefault="005C3F63">
      <w:pPr>
        <w:ind w:firstLine="709"/>
        <w:rPr>
          <w:rFonts w:ascii="Verdana" w:hAnsi="Verdana"/>
          <w:b/>
          <w:i/>
          <w:sz w:val="20"/>
          <w:szCs w:val="20"/>
        </w:rPr>
      </w:pPr>
    </w:p>
    <w:p w:rsidR="005C3F63" w:rsidRDefault="006536E7">
      <w:pPr>
        <w:rPr>
          <w:rFonts w:ascii="Verdana" w:hAnsi="Verdana"/>
          <w:i/>
          <w:sz w:val="20"/>
          <w:szCs w:val="20"/>
        </w:rPr>
      </w:pPr>
      <w:r>
        <w:rPr>
          <w:rFonts w:ascii="Verdana" w:hAnsi="Verdana"/>
          <w:b/>
          <w:i/>
          <w:sz w:val="20"/>
          <w:szCs w:val="20"/>
        </w:rPr>
        <w:t>Keywords:</w:t>
      </w:r>
      <w:r>
        <w:rPr>
          <w:rFonts w:ascii="Verdana" w:hAnsi="Verdana"/>
          <w:i/>
          <w:sz w:val="20"/>
          <w:szCs w:val="20"/>
        </w:rPr>
        <w:t xml:space="preserve"> financial statement, International financial reporting standards, transformation, small and medium business enterprises.</w:t>
      </w:r>
    </w:p>
    <w:p w:rsidR="005C3F63" w:rsidRDefault="005C3F63">
      <w:pPr>
        <w:ind w:firstLine="709"/>
        <w:rPr>
          <w:rFonts w:ascii="Verdana" w:hAnsi="Verdana"/>
          <w:i/>
          <w:sz w:val="20"/>
          <w:szCs w:val="20"/>
        </w:rPr>
      </w:pPr>
    </w:p>
    <w:p w:rsidR="005C3F63" w:rsidRDefault="006536E7">
      <w:pPr>
        <w:rPr>
          <w:rFonts w:ascii="Verdana" w:hAnsi="Verdana"/>
          <w:i/>
          <w:sz w:val="20"/>
          <w:szCs w:val="20"/>
        </w:rPr>
      </w:pPr>
      <w:r>
        <w:rPr>
          <w:rFonts w:ascii="Verdana" w:hAnsi="Verdana"/>
          <w:i/>
          <w:sz w:val="20"/>
          <w:szCs w:val="20"/>
        </w:rPr>
        <w:t xml:space="preserve">JEL </w:t>
      </w:r>
      <w:r>
        <w:rPr>
          <w:rFonts w:ascii="Verdana" w:hAnsi="Verdana"/>
          <w:i/>
          <w:sz w:val="20"/>
          <w:szCs w:val="20"/>
          <w:lang w:val="sk-SK"/>
        </w:rPr>
        <w:t>c</w:t>
      </w:r>
      <w:r>
        <w:rPr>
          <w:rFonts w:ascii="Verdana" w:hAnsi="Verdana"/>
          <w:i/>
          <w:sz w:val="20"/>
          <w:szCs w:val="20"/>
        </w:rPr>
        <w:t>ode</w:t>
      </w:r>
      <w:r>
        <w:rPr>
          <w:rFonts w:ascii="Verdana" w:hAnsi="Verdana"/>
          <w:i/>
          <w:sz w:val="20"/>
          <w:szCs w:val="20"/>
          <w:lang w:val="sk-SK"/>
        </w:rPr>
        <w:t>s</w:t>
      </w:r>
      <w:r>
        <w:rPr>
          <w:rFonts w:ascii="Verdana" w:hAnsi="Verdana"/>
          <w:i/>
          <w:sz w:val="20"/>
          <w:szCs w:val="20"/>
        </w:rPr>
        <w:t>:</w:t>
      </w:r>
      <w:r>
        <w:rPr>
          <w:rFonts w:ascii="Verdana" w:hAnsi="Verdana"/>
          <w:sz w:val="20"/>
          <w:szCs w:val="20"/>
        </w:rPr>
        <w:t xml:space="preserve"> </w:t>
      </w:r>
      <w:r>
        <w:rPr>
          <w:rFonts w:ascii="Verdana" w:hAnsi="Verdana"/>
          <w:i/>
          <w:sz w:val="20"/>
          <w:szCs w:val="20"/>
        </w:rPr>
        <w:t>M41, M48</w:t>
      </w:r>
    </w:p>
    <w:p w:rsidR="005C3F63" w:rsidRDefault="005C3F63">
      <w:pPr>
        <w:rPr>
          <w:rFonts w:ascii="Verdana" w:hAnsi="Verdana"/>
          <w:b/>
          <w:sz w:val="22"/>
          <w:szCs w:val="20"/>
          <w:lang w:val="uk-UA"/>
        </w:rPr>
      </w:pPr>
    </w:p>
    <w:p w:rsidR="005C3F63" w:rsidRDefault="006536E7">
      <w:pPr>
        <w:rPr>
          <w:rFonts w:ascii="Verdana" w:hAnsi="Verdana"/>
          <w:b/>
          <w:sz w:val="12"/>
          <w:szCs w:val="12"/>
        </w:rPr>
      </w:pPr>
      <w:r>
        <w:rPr>
          <w:rFonts w:ascii="Verdana" w:hAnsi="Verdana"/>
          <w:b/>
          <w:sz w:val="22"/>
          <w:szCs w:val="20"/>
          <w:lang w:val="uk-UA"/>
        </w:rPr>
        <w:t xml:space="preserve">1 </w:t>
      </w:r>
      <w:r>
        <w:rPr>
          <w:rFonts w:ascii="Verdana" w:hAnsi="Verdana"/>
          <w:b/>
          <w:sz w:val="22"/>
          <w:szCs w:val="20"/>
        </w:rPr>
        <w:t>Introduction</w:t>
      </w:r>
    </w:p>
    <w:p w:rsidR="005C3F63" w:rsidRDefault="005C3F63">
      <w:pPr>
        <w:ind w:firstLine="709"/>
        <w:rPr>
          <w:rFonts w:ascii="Verdana" w:hAnsi="Verdana"/>
          <w:sz w:val="12"/>
          <w:szCs w:val="12"/>
        </w:rPr>
      </w:pPr>
    </w:p>
    <w:p w:rsidR="005C3F63" w:rsidRDefault="006536E7">
      <w:pPr>
        <w:rPr>
          <w:rFonts w:ascii="Verdana" w:hAnsi="Verdana"/>
          <w:sz w:val="20"/>
          <w:szCs w:val="20"/>
        </w:rPr>
      </w:pPr>
      <w:r>
        <w:rPr>
          <w:rFonts w:ascii="Verdana" w:hAnsi="Verdana"/>
          <w:sz w:val="20"/>
          <w:szCs w:val="20"/>
        </w:rPr>
        <w:t>The signing of an agreement with the European Union and the creation of a free trade zone has become a significant challenge for Ukrainian enterprises, in particular for small businesses, which are currently an important element of economic development. Reducing customs tariffs, opening new capital markets, facilitating access of Ukrainian goods to EU markets, using EU tools and mechanisms for small and medium business development (COSME) are just a few of the benefits of signing this agreement. The implementation of the relevant points stands at the time of transposition of international standards and requirements of the European Union, equalization of business conditions between Ukraine and EU member states through harmonization of legislation.</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Well-known foreign and domestic scientists have made an important contribution to the study of the transition of small and medium-sized enterprises to IFRS, improving the existing accounting system and bringing it closer to international requirements.</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 xml:space="preserve">The results of the study by M. Pasekova, L. Mullerova, J. Strouhal, L. Chyzhevska (2010) are interesting. They explore the advantages and limitations of applying International Financial Reporting Standards to small and medium-sized enterprises in the Czech Republic and Ukraine. K. Bezverkhy’s research (2013) is related to the study of the experience of the world’s leading countries on the transition to IFRS, highlighting the importance of the corresponding transition for Ukrainian enterprises. No less important is the contribution of such a cohort of domestic scientists as S. Holov, V. Kostyuchenko, O. </w:t>
      </w:r>
      <w:r>
        <w:rPr>
          <w:rFonts w:ascii="Verdana" w:hAnsi="Verdana"/>
          <w:sz w:val="20"/>
          <w:szCs w:val="20"/>
        </w:rPr>
        <w:lastRenderedPageBreak/>
        <w:t>Kulaga (2013), O. Kharlamova (2011), whose scientific works are devoted to the application of IFRS directly to the sub small and medium-sized businesses and the need to transform financial statements in accordance with IFRS. Despite many years of research by well-known scientists today, a significant number of problematic issues remain, namely: inconsistency of criteria for classifying enterprises as small businesses in existing regulations; organizational and methodological problems of preparation of the first financial statements according to international standards; lack of explanations for small and medium-sized businesses on their transition from the state; convergence of national forms of reporting with the requirements of IFRS.</w:t>
      </w:r>
    </w:p>
    <w:p w:rsidR="005C3F63" w:rsidRDefault="005C3F63">
      <w:pPr>
        <w:rPr>
          <w:rFonts w:ascii="Verdana" w:hAnsi="Verdana"/>
          <w:bCs/>
          <w:iCs/>
          <w:sz w:val="20"/>
          <w:szCs w:val="20"/>
          <w:shd w:val="clear" w:color="auto" w:fill="FFFFFF"/>
        </w:rPr>
      </w:pPr>
    </w:p>
    <w:p w:rsidR="005C3F63" w:rsidRDefault="006536E7">
      <w:pPr>
        <w:rPr>
          <w:rFonts w:ascii="Verdana" w:hAnsi="Verdana"/>
          <w:bCs/>
          <w:iCs/>
          <w:sz w:val="20"/>
          <w:szCs w:val="20"/>
          <w:shd w:val="clear" w:color="auto" w:fill="FFFFFF"/>
        </w:rPr>
      </w:pPr>
      <w:r>
        <w:rPr>
          <w:rFonts w:ascii="Verdana" w:hAnsi="Verdana"/>
          <w:bCs/>
          <w:iCs/>
          <w:sz w:val="20"/>
          <w:szCs w:val="20"/>
          <w:shd w:val="clear" w:color="auto" w:fill="FFFFFF"/>
        </w:rPr>
        <w:t>The purpose of the article is to deepen the theoretical foundations of the introduction of IFRS for small and medium-sized businesses with a justification of practical recommendations for their implementation.</w:t>
      </w:r>
    </w:p>
    <w:p w:rsidR="005C3F63" w:rsidRDefault="005C3F63">
      <w:pPr>
        <w:rPr>
          <w:rFonts w:ascii="Verdana" w:hAnsi="Verdana"/>
          <w:b/>
          <w:bCs/>
          <w:iCs/>
          <w:sz w:val="22"/>
          <w:shd w:val="clear" w:color="auto" w:fill="FFFFFF"/>
        </w:rPr>
      </w:pPr>
    </w:p>
    <w:p w:rsidR="005C3F63" w:rsidRDefault="006536E7">
      <w:pPr>
        <w:rPr>
          <w:rFonts w:ascii="Verdana" w:hAnsi="Verdana"/>
          <w:b/>
          <w:bCs/>
          <w:iCs/>
          <w:sz w:val="22"/>
          <w:shd w:val="clear" w:color="auto" w:fill="FFFFFF"/>
          <w:lang w:val="uk-UA"/>
        </w:rPr>
      </w:pPr>
      <w:r>
        <w:rPr>
          <w:rFonts w:ascii="Verdana" w:hAnsi="Verdana"/>
          <w:b/>
          <w:bCs/>
          <w:iCs/>
          <w:sz w:val="22"/>
          <w:shd w:val="clear" w:color="auto" w:fill="FFFFFF"/>
          <w:lang w:val="uk-UA"/>
        </w:rPr>
        <w:t xml:space="preserve">2 </w:t>
      </w:r>
      <w:r>
        <w:rPr>
          <w:rFonts w:ascii="Verdana" w:hAnsi="Verdana"/>
          <w:b/>
          <w:bCs/>
          <w:iCs/>
          <w:sz w:val="22"/>
          <w:shd w:val="clear" w:color="auto" w:fill="FFFFFF"/>
        </w:rPr>
        <w:t>Methodology</w:t>
      </w:r>
      <w:r>
        <w:rPr>
          <w:rFonts w:ascii="Verdana" w:hAnsi="Verdana"/>
          <w:b/>
          <w:bCs/>
          <w:iCs/>
          <w:sz w:val="22"/>
          <w:shd w:val="clear" w:color="auto" w:fill="FFFFFF"/>
          <w:lang w:val="uk-UA"/>
        </w:rPr>
        <w:t xml:space="preserve"> </w:t>
      </w:r>
      <w:r>
        <w:rPr>
          <w:rFonts w:ascii="Verdana" w:hAnsi="Verdana"/>
          <w:b/>
          <w:bCs/>
          <w:iCs/>
          <w:sz w:val="22"/>
          <w:shd w:val="clear" w:color="auto" w:fill="FFFFFF"/>
        </w:rPr>
        <w:t>and</w:t>
      </w:r>
      <w:r>
        <w:rPr>
          <w:rFonts w:ascii="Verdana" w:hAnsi="Verdana"/>
          <w:b/>
          <w:bCs/>
          <w:iCs/>
          <w:sz w:val="22"/>
          <w:shd w:val="clear" w:color="auto" w:fill="FFFFFF"/>
          <w:lang w:val="uk-UA"/>
        </w:rPr>
        <w:t xml:space="preserve"> </w:t>
      </w:r>
      <w:r>
        <w:rPr>
          <w:rFonts w:ascii="Verdana" w:hAnsi="Verdana"/>
          <w:b/>
          <w:bCs/>
          <w:iCs/>
          <w:sz w:val="22"/>
          <w:shd w:val="clear" w:color="auto" w:fill="FFFFFF"/>
        </w:rPr>
        <w:t>Data</w:t>
      </w:r>
      <w:r>
        <w:rPr>
          <w:rFonts w:ascii="Verdana" w:hAnsi="Verdana"/>
          <w:b/>
          <w:bCs/>
          <w:iCs/>
          <w:sz w:val="22"/>
          <w:shd w:val="clear" w:color="auto" w:fill="FFFFFF"/>
          <w:lang w:val="uk-UA"/>
        </w:rPr>
        <w:t xml:space="preserve"> </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In Ukraine, until 2012, small enterprises included enterprises with up to 50 employees and annual income of up to UAH 70 million, and medium-sized enterprises with up to 250 employees and annual income of UAH 70 to 100 million. In 2017, the Law on Accounting and Financial Reporting was amended with regard to indicators for classifying enterprises as a certain type. In the table 1 shows the classification of enterprises depending on the established indicators.</w:t>
      </w:r>
    </w:p>
    <w:p w:rsidR="005C3F63" w:rsidRDefault="005C3F63">
      <w:pPr>
        <w:ind w:firstLine="709"/>
        <w:rPr>
          <w:rFonts w:ascii="Verdana" w:hAnsi="Verdana"/>
          <w:b/>
          <w:bCs/>
          <w:iCs/>
          <w:sz w:val="12"/>
          <w:szCs w:val="12"/>
          <w:shd w:val="clear" w:color="auto" w:fill="FFFFFF"/>
        </w:rPr>
      </w:pPr>
    </w:p>
    <w:p w:rsidR="005C3F63" w:rsidRDefault="005C3F63">
      <w:pPr>
        <w:ind w:firstLine="567"/>
        <w:jc w:val="center"/>
        <w:rPr>
          <w:rFonts w:ascii="Verdana" w:hAnsi="Verdana"/>
          <w:b/>
          <w:sz w:val="20"/>
          <w:szCs w:val="20"/>
        </w:rPr>
      </w:pPr>
    </w:p>
    <w:p w:rsidR="005C3F63" w:rsidRDefault="006536E7">
      <w:pPr>
        <w:ind w:firstLine="567"/>
        <w:jc w:val="center"/>
        <w:rPr>
          <w:rFonts w:ascii="Verdana" w:hAnsi="Verdana"/>
          <w:b/>
          <w:sz w:val="20"/>
          <w:szCs w:val="20"/>
        </w:rPr>
      </w:pPr>
      <w:r>
        <w:rPr>
          <w:rFonts w:ascii="Verdana" w:hAnsi="Verdana"/>
          <w:b/>
          <w:sz w:val="20"/>
          <w:szCs w:val="20"/>
        </w:rPr>
        <w:t xml:space="preserve">Table 1. </w:t>
      </w:r>
      <w:r>
        <w:rPr>
          <w:rFonts w:ascii="Verdana" w:hAnsi="Verdana"/>
          <w:sz w:val="20"/>
          <w:szCs w:val="20"/>
        </w:rPr>
        <w:t>Classification indicators for small, medium and large enterprises in Ukraine</w:t>
      </w:r>
    </w:p>
    <w:tbl>
      <w:tblPr>
        <w:tblW w:w="0" w:type="auto"/>
        <w:tblBorders>
          <w:top w:val="single" w:sz="4" w:space="0" w:color="000000" w:themeColor="text1"/>
          <w:bottom w:val="single" w:sz="4" w:space="0" w:color="000000" w:themeColor="text1"/>
          <w:insideH w:val="single" w:sz="4" w:space="0" w:color="000000" w:themeColor="text1"/>
        </w:tblBorders>
        <w:tblLayout w:type="fixed"/>
        <w:tblLook w:val="04A0" w:firstRow="1" w:lastRow="0" w:firstColumn="1" w:lastColumn="0" w:noHBand="0" w:noVBand="1"/>
      </w:tblPr>
      <w:tblGrid>
        <w:gridCol w:w="2660"/>
        <w:gridCol w:w="2551"/>
        <w:gridCol w:w="2268"/>
        <w:gridCol w:w="1807"/>
      </w:tblGrid>
      <w:tr w:rsidR="005C3F63">
        <w:tc>
          <w:tcPr>
            <w:tcW w:w="2660" w:type="dxa"/>
          </w:tcPr>
          <w:p w:rsidR="005C3F63" w:rsidRDefault="006536E7">
            <w:pPr>
              <w:jc w:val="center"/>
              <w:rPr>
                <w:rFonts w:ascii="Verdana" w:hAnsi="Verdana"/>
                <w:b/>
                <w:sz w:val="18"/>
                <w:szCs w:val="18"/>
              </w:rPr>
            </w:pPr>
            <w:r>
              <w:rPr>
                <w:rFonts w:ascii="Verdana" w:hAnsi="Verdana"/>
                <w:b/>
                <w:sz w:val="18"/>
                <w:szCs w:val="18"/>
              </w:rPr>
              <w:t>Type of business entity</w:t>
            </w:r>
          </w:p>
        </w:tc>
        <w:tc>
          <w:tcPr>
            <w:tcW w:w="2551" w:type="dxa"/>
          </w:tcPr>
          <w:p w:rsidR="005C3F63" w:rsidRDefault="006536E7">
            <w:pPr>
              <w:jc w:val="center"/>
              <w:rPr>
                <w:rFonts w:ascii="Verdana" w:hAnsi="Verdana"/>
                <w:b/>
                <w:sz w:val="18"/>
                <w:szCs w:val="18"/>
              </w:rPr>
            </w:pPr>
            <w:r>
              <w:rPr>
                <w:rFonts w:ascii="Verdana" w:hAnsi="Verdana"/>
                <w:b/>
                <w:sz w:val="18"/>
                <w:szCs w:val="18"/>
              </w:rPr>
              <w:t>Book value of assets,</w:t>
            </w:r>
          </w:p>
          <w:p w:rsidR="005C3F63" w:rsidRDefault="006536E7">
            <w:pPr>
              <w:jc w:val="center"/>
              <w:rPr>
                <w:rFonts w:ascii="Verdana" w:hAnsi="Verdana"/>
                <w:b/>
                <w:sz w:val="18"/>
                <w:szCs w:val="18"/>
              </w:rPr>
            </w:pPr>
            <w:r>
              <w:rPr>
                <w:rFonts w:ascii="Verdana" w:hAnsi="Verdana"/>
                <w:b/>
                <w:sz w:val="18"/>
                <w:szCs w:val="18"/>
              </w:rPr>
              <w:t xml:space="preserve">  euro</w:t>
            </w:r>
          </w:p>
        </w:tc>
        <w:tc>
          <w:tcPr>
            <w:tcW w:w="2268" w:type="dxa"/>
          </w:tcPr>
          <w:p w:rsidR="005C3F63" w:rsidRDefault="006536E7">
            <w:pPr>
              <w:jc w:val="center"/>
              <w:rPr>
                <w:rFonts w:ascii="Verdana" w:hAnsi="Verdana"/>
                <w:b/>
                <w:sz w:val="18"/>
                <w:szCs w:val="18"/>
              </w:rPr>
            </w:pPr>
            <w:r>
              <w:rPr>
                <w:rFonts w:ascii="Verdana" w:hAnsi="Verdana"/>
                <w:b/>
                <w:sz w:val="18"/>
                <w:szCs w:val="18"/>
              </w:rPr>
              <w:t>Net income from sales of products,</w:t>
            </w:r>
          </w:p>
          <w:p w:rsidR="005C3F63" w:rsidRDefault="006536E7">
            <w:pPr>
              <w:jc w:val="center"/>
              <w:rPr>
                <w:rFonts w:ascii="Verdana" w:hAnsi="Verdana"/>
                <w:b/>
                <w:sz w:val="18"/>
                <w:szCs w:val="18"/>
              </w:rPr>
            </w:pPr>
            <w:r>
              <w:rPr>
                <w:rFonts w:ascii="Verdana" w:hAnsi="Verdana"/>
                <w:b/>
                <w:sz w:val="18"/>
                <w:szCs w:val="18"/>
              </w:rPr>
              <w:t>thousand euros</w:t>
            </w:r>
          </w:p>
        </w:tc>
        <w:tc>
          <w:tcPr>
            <w:tcW w:w="1807" w:type="dxa"/>
          </w:tcPr>
          <w:p w:rsidR="005C3F63" w:rsidRDefault="006536E7">
            <w:pPr>
              <w:jc w:val="center"/>
              <w:rPr>
                <w:rFonts w:ascii="Verdana" w:hAnsi="Verdana"/>
                <w:b/>
                <w:sz w:val="18"/>
                <w:szCs w:val="18"/>
              </w:rPr>
            </w:pPr>
            <w:r>
              <w:rPr>
                <w:rFonts w:ascii="Verdana" w:hAnsi="Verdana"/>
                <w:b/>
                <w:sz w:val="18"/>
                <w:szCs w:val="18"/>
              </w:rPr>
              <w:t>The average number of employees,</w:t>
            </w:r>
          </w:p>
          <w:p w:rsidR="005C3F63" w:rsidRDefault="006536E7">
            <w:pPr>
              <w:jc w:val="center"/>
              <w:rPr>
                <w:rFonts w:ascii="Verdana" w:hAnsi="Verdana"/>
                <w:b/>
                <w:sz w:val="18"/>
                <w:szCs w:val="18"/>
              </w:rPr>
            </w:pPr>
            <w:r>
              <w:rPr>
                <w:rFonts w:ascii="Verdana" w:hAnsi="Verdana"/>
                <w:b/>
                <w:sz w:val="18"/>
                <w:szCs w:val="18"/>
              </w:rPr>
              <w:t>persons</w:t>
            </w:r>
          </w:p>
        </w:tc>
      </w:tr>
      <w:tr w:rsidR="005C3F63">
        <w:tc>
          <w:tcPr>
            <w:tcW w:w="2660" w:type="dxa"/>
          </w:tcPr>
          <w:p w:rsidR="005C3F63" w:rsidRDefault="006536E7">
            <w:pPr>
              <w:jc w:val="center"/>
              <w:rPr>
                <w:rFonts w:ascii="Verdana" w:hAnsi="Verdana"/>
                <w:b/>
                <w:sz w:val="18"/>
                <w:szCs w:val="18"/>
              </w:rPr>
            </w:pPr>
            <w:r>
              <w:rPr>
                <w:rFonts w:ascii="Verdana" w:hAnsi="Verdana"/>
                <w:b/>
                <w:sz w:val="18"/>
                <w:szCs w:val="18"/>
              </w:rPr>
              <w:t>Micro-enterprises</w:t>
            </w:r>
          </w:p>
        </w:tc>
        <w:tc>
          <w:tcPr>
            <w:tcW w:w="2551" w:type="dxa"/>
          </w:tcPr>
          <w:p w:rsidR="005C3F63" w:rsidRDefault="006536E7">
            <w:pPr>
              <w:jc w:val="center"/>
              <w:rPr>
                <w:rFonts w:ascii="Verdana" w:hAnsi="Verdana"/>
                <w:sz w:val="18"/>
                <w:szCs w:val="18"/>
              </w:rPr>
            </w:pPr>
            <w:r>
              <w:rPr>
                <w:rFonts w:ascii="Verdana" w:hAnsi="Verdana"/>
                <w:sz w:val="18"/>
                <w:szCs w:val="18"/>
              </w:rPr>
              <w:t>up to 350,000</w:t>
            </w:r>
          </w:p>
        </w:tc>
        <w:tc>
          <w:tcPr>
            <w:tcW w:w="2268" w:type="dxa"/>
          </w:tcPr>
          <w:p w:rsidR="005C3F63" w:rsidRDefault="006536E7">
            <w:pPr>
              <w:jc w:val="center"/>
              <w:rPr>
                <w:rFonts w:ascii="Verdana" w:hAnsi="Verdana"/>
                <w:sz w:val="18"/>
                <w:szCs w:val="18"/>
              </w:rPr>
            </w:pPr>
            <w:r>
              <w:rPr>
                <w:rFonts w:ascii="Verdana" w:hAnsi="Verdana"/>
                <w:bCs/>
                <w:sz w:val="18"/>
                <w:szCs w:val="18"/>
              </w:rPr>
              <w:t>up to 700</w:t>
            </w:r>
          </w:p>
        </w:tc>
        <w:tc>
          <w:tcPr>
            <w:tcW w:w="1807" w:type="dxa"/>
          </w:tcPr>
          <w:p w:rsidR="005C3F63" w:rsidRDefault="006536E7">
            <w:pPr>
              <w:jc w:val="center"/>
              <w:rPr>
                <w:rFonts w:ascii="Verdana" w:hAnsi="Verdana"/>
                <w:sz w:val="18"/>
                <w:szCs w:val="18"/>
              </w:rPr>
            </w:pPr>
            <w:r>
              <w:rPr>
                <w:rFonts w:ascii="Verdana" w:hAnsi="Verdana"/>
                <w:sz w:val="18"/>
                <w:szCs w:val="18"/>
              </w:rPr>
              <w:t>to 10</w:t>
            </w:r>
          </w:p>
        </w:tc>
      </w:tr>
      <w:tr w:rsidR="005C3F63">
        <w:tc>
          <w:tcPr>
            <w:tcW w:w="2660" w:type="dxa"/>
          </w:tcPr>
          <w:p w:rsidR="005C3F63" w:rsidRDefault="006536E7">
            <w:pPr>
              <w:jc w:val="center"/>
              <w:rPr>
                <w:rFonts w:ascii="Verdana" w:hAnsi="Verdana"/>
                <w:b/>
                <w:sz w:val="18"/>
                <w:szCs w:val="18"/>
              </w:rPr>
            </w:pPr>
            <w:r>
              <w:rPr>
                <w:rFonts w:ascii="Verdana" w:hAnsi="Verdana"/>
                <w:b/>
                <w:sz w:val="18"/>
                <w:szCs w:val="18"/>
              </w:rPr>
              <w:t>Small enterprises</w:t>
            </w:r>
          </w:p>
        </w:tc>
        <w:tc>
          <w:tcPr>
            <w:tcW w:w="2551" w:type="dxa"/>
          </w:tcPr>
          <w:p w:rsidR="005C3F63" w:rsidRDefault="006536E7">
            <w:pPr>
              <w:jc w:val="center"/>
              <w:rPr>
                <w:rFonts w:ascii="Verdana" w:hAnsi="Verdana"/>
                <w:sz w:val="18"/>
                <w:szCs w:val="18"/>
              </w:rPr>
            </w:pPr>
            <w:r>
              <w:rPr>
                <w:rFonts w:ascii="Verdana" w:hAnsi="Verdana"/>
                <w:sz w:val="18"/>
                <w:szCs w:val="18"/>
              </w:rPr>
              <w:t>book value of assets - up to</w:t>
            </w:r>
          </w:p>
          <w:p w:rsidR="005C3F63" w:rsidRDefault="006536E7">
            <w:pPr>
              <w:jc w:val="center"/>
              <w:rPr>
                <w:rFonts w:ascii="Verdana" w:hAnsi="Verdana"/>
                <w:sz w:val="18"/>
                <w:szCs w:val="18"/>
              </w:rPr>
            </w:pPr>
            <w:r>
              <w:rPr>
                <w:rFonts w:ascii="Verdana" w:hAnsi="Verdana"/>
                <w:sz w:val="18"/>
                <w:szCs w:val="18"/>
              </w:rPr>
              <w:t>4,000,000</w:t>
            </w:r>
          </w:p>
        </w:tc>
        <w:tc>
          <w:tcPr>
            <w:tcW w:w="2268" w:type="dxa"/>
          </w:tcPr>
          <w:p w:rsidR="005C3F63" w:rsidRDefault="006536E7">
            <w:pPr>
              <w:jc w:val="center"/>
              <w:rPr>
                <w:rFonts w:ascii="Verdana" w:hAnsi="Verdana"/>
                <w:sz w:val="18"/>
                <w:szCs w:val="18"/>
              </w:rPr>
            </w:pPr>
            <w:r>
              <w:rPr>
                <w:rFonts w:ascii="Verdana" w:hAnsi="Verdana"/>
                <w:bCs/>
                <w:sz w:val="18"/>
                <w:szCs w:val="18"/>
              </w:rPr>
              <w:t>up to 8,000,000</w:t>
            </w:r>
          </w:p>
        </w:tc>
        <w:tc>
          <w:tcPr>
            <w:tcW w:w="1807" w:type="dxa"/>
          </w:tcPr>
          <w:p w:rsidR="005C3F63" w:rsidRDefault="006536E7">
            <w:pPr>
              <w:jc w:val="center"/>
              <w:rPr>
                <w:rFonts w:ascii="Verdana" w:hAnsi="Verdana"/>
                <w:sz w:val="18"/>
                <w:szCs w:val="18"/>
              </w:rPr>
            </w:pPr>
            <w:r>
              <w:rPr>
                <w:rFonts w:ascii="Verdana" w:hAnsi="Verdana"/>
                <w:sz w:val="18"/>
                <w:szCs w:val="18"/>
              </w:rPr>
              <w:t>up to 50</w:t>
            </w:r>
          </w:p>
        </w:tc>
      </w:tr>
      <w:tr w:rsidR="005C3F63">
        <w:tc>
          <w:tcPr>
            <w:tcW w:w="2660" w:type="dxa"/>
          </w:tcPr>
          <w:p w:rsidR="005C3F63" w:rsidRDefault="006536E7">
            <w:pPr>
              <w:jc w:val="center"/>
              <w:rPr>
                <w:rFonts w:ascii="Verdana" w:hAnsi="Verdana"/>
                <w:b/>
                <w:sz w:val="18"/>
                <w:szCs w:val="18"/>
              </w:rPr>
            </w:pPr>
            <w:r>
              <w:rPr>
                <w:rFonts w:ascii="Verdana" w:hAnsi="Verdana"/>
                <w:b/>
                <w:sz w:val="18"/>
                <w:szCs w:val="18"/>
              </w:rPr>
              <w:t>Medium enterprises</w:t>
            </w:r>
          </w:p>
        </w:tc>
        <w:tc>
          <w:tcPr>
            <w:tcW w:w="2551" w:type="dxa"/>
          </w:tcPr>
          <w:p w:rsidR="005C3F63" w:rsidRDefault="006536E7">
            <w:pPr>
              <w:jc w:val="center"/>
              <w:rPr>
                <w:rFonts w:ascii="Verdana" w:hAnsi="Verdana"/>
                <w:sz w:val="18"/>
                <w:szCs w:val="18"/>
              </w:rPr>
            </w:pPr>
            <w:r>
              <w:rPr>
                <w:rFonts w:ascii="Verdana" w:hAnsi="Verdana"/>
                <w:sz w:val="18"/>
                <w:szCs w:val="18"/>
              </w:rPr>
              <w:t>book value of assets - up to</w:t>
            </w:r>
          </w:p>
          <w:p w:rsidR="005C3F63" w:rsidRDefault="006536E7">
            <w:pPr>
              <w:jc w:val="center"/>
              <w:rPr>
                <w:rFonts w:ascii="Verdana" w:hAnsi="Verdana"/>
                <w:sz w:val="18"/>
                <w:szCs w:val="18"/>
              </w:rPr>
            </w:pPr>
            <w:r>
              <w:rPr>
                <w:rFonts w:ascii="Verdana" w:hAnsi="Verdana"/>
                <w:sz w:val="18"/>
                <w:szCs w:val="18"/>
              </w:rPr>
              <w:t>20,000,000</w:t>
            </w:r>
          </w:p>
        </w:tc>
        <w:tc>
          <w:tcPr>
            <w:tcW w:w="2268" w:type="dxa"/>
          </w:tcPr>
          <w:p w:rsidR="005C3F63" w:rsidRDefault="006536E7">
            <w:pPr>
              <w:jc w:val="center"/>
              <w:rPr>
                <w:rFonts w:ascii="Verdana" w:hAnsi="Verdana"/>
                <w:sz w:val="18"/>
                <w:szCs w:val="18"/>
              </w:rPr>
            </w:pPr>
            <w:r>
              <w:rPr>
                <w:rFonts w:ascii="Verdana" w:hAnsi="Verdana"/>
                <w:sz w:val="18"/>
                <w:szCs w:val="18"/>
              </w:rPr>
              <w:t>up to 40,000,000</w:t>
            </w:r>
          </w:p>
        </w:tc>
        <w:tc>
          <w:tcPr>
            <w:tcW w:w="1807" w:type="dxa"/>
          </w:tcPr>
          <w:p w:rsidR="005C3F63" w:rsidRDefault="006536E7">
            <w:pPr>
              <w:jc w:val="center"/>
              <w:rPr>
                <w:rFonts w:ascii="Verdana" w:hAnsi="Verdana"/>
                <w:sz w:val="18"/>
                <w:szCs w:val="18"/>
              </w:rPr>
            </w:pPr>
            <w:r>
              <w:rPr>
                <w:rFonts w:ascii="Verdana" w:hAnsi="Verdana"/>
                <w:sz w:val="18"/>
                <w:szCs w:val="18"/>
              </w:rPr>
              <w:t>up to 250</w:t>
            </w:r>
          </w:p>
        </w:tc>
      </w:tr>
      <w:tr w:rsidR="005C3F63">
        <w:tc>
          <w:tcPr>
            <w:tcW w:w="2660" w:type="dxa"/>
          </w:tcPr>
          <w:p w:rsidR="005C3F63" w:rsidRDefault="006536E7">
            <w:pPr>
              <w:jc w:val="center"/>
              <w:rPr>
                <w:rFonts w:ascii="Verdana" w:hAnsi="Verdana"/>
                <w:b/>
                <w:sz w:val="18"/>
                <w:szCs w:val="18"/>
              </w:rPr>
            </w:pPr>
            <w:r>
              <w:rPr>
                <w:rFonts w:ascii="Verdana" w:hAnsi="Verdana"/>
                <w:b/>
                <w:sz w:val="18"/>
                <w:szCs w:val="18"/>
              </w:rPr>
              <w:t>Large enterprises</w:t>
            </w:r>
          </w:p>
        </w:tc>
        <w:tc>
          <w:tcPr>
            <w:tcW w:w="2551" w:type="dxa"/>
          </w:tcPr>
          <w:p w:rsidR="005C3F63" w:rsidRDefault="006536E7">
            <w:pPr>
              <w:jc w:val="center"/>
              <w:rPr>
                <w:rFonts w:ascii="Verdana" w:hAnsi="Verdana"/>
                <w:sz w:val="18"/>
                <w:szCs w:val="18"/>
              </w:rPr>
            </w:pPr>
            <w:r>
              <w:rPr>
                <w:rFonts w:ascii="Verdana" w:hAnsi="Verdana"/>
                <w:sz w:val="18"/>
                <w:szCs w:val="18"/>
              </w:rPr>
              <w:t>book value of assets - more</w:t>
            </w:r>
          </w:p>
          <w:p w:rsidR="005C3F63" w:rsidRDefault="006536E7">
            <w:pPr>
              <w:jc w:val="center"/>
              <w:rPr>
                <w:rFonts w:ascii="Verdana" w:hAnsi="Verdana"/>
                <w:sz w:val="18"/>
                <w:szCs w:val="18"/>
              </w:rPr>
            </w:pPr>
            <w:r>
              <w:rPr>
                <w:rFonts w:ascii="Verdana" w:hAnsi="Verdana"/>
                <w:sz w:val="18"/>
                <w:szCs w:val="18"/>
              </w:rPr>
              <w:t>20,000,000</w:t>
            </w:r>
          </w:p>
        </w:tc>
        <w:tc>
          <w:tcPr>
            <w:tcW w:w="2268" w:type="dxa"/>
          </w:tcPr>
          <w:p w:rsidR="005C3F63" w:rsidRDefault="006536E7">
            <w:pPr>
              <w:jc w:val="center"/>
              <w:rPr>
                <w:rFonts w:ascii="Verdana" w:hAnsi="Verdana"/>
                <w:sz w:val="18"/>
                <w:szCs w:val="18"/>
              </w:rPr>
            </w:pPr>
            <w:r>
              <w:rPr>
                <w:rFonts w:ascii="Verdana" w:hAnsi="Verdana"/>
                <w:bCs/>
                <w:sz w:val="18"/>
                <w:szCs w:val="18"/>
              </w:rPr>
              <w:t>over 40,000,000</w:t>
            </w:r>
          </w:p>
        </w:tc>
        <w:tc>
          <w:tcPr>
            <w:tcW w:w="1807" w:type="dxa"/>
          </w:tcPr>
          <w:p w:rsidR="005C3F63" w:rsidRDefault="006536E7">
            <w:pPr>
              <w:jc w:val="center"/>
              <w:rPr>
                <w:rFonts w:ascii="Verdana" w:hAnsi="Verdana"/>
                <w:sz w:val="18"/>
                <w:szCs w:val="18"/>
              </w:rPr>
            </w:pPr>
            <w:r>
              <w:rPr>
                <w:rFonts w:ascii="Verdana" w:hAnsi="Verdana"/>
                <w:sz w:val="18"/>
                <w:szCs w:val="18"/>
              </w:rPr>
              <w:t>over 250</w:t>
            </w:r>
          </w:p>
        </w:tc>
      </w:tr>
    </w:tbl>
    <w:p w:rsidR="005C3F63" w:rsidRDefault="006536E7">
      <w:pPr>
        <w:pStyle w:val="afd"/>
        <w:ind w:left="360"/>
        <w:jc w:val="center"/>
        <w:rPr>
          <w:rFonts w:ascii="Verdana" w:hAnsi="Verdana"/>
          <w:sz w:val="18"/>
          <w:szCs w:val="18"/>
        </w:rPr>
      </w:pPr>
      <w:r>
        <w:rPr>
          <w:rFonts w:ascii="Verdana" w:hAnsi="Verdana"/>
          <w:sz w:val="18"/>
          <w:szCs w:val="18"/>
        </w:rPr>
        <w:t>Source:</w:t>
      </w:r>
      <w:r>
        <w:rPr>
          <w:rFonts w:ascii="Verdana" w:hAnsi="Verdana"/>
          <w:i/>
          <w:sz w:val="18"/>
          <w:szCs w:val="18"/>
        </w:rPr>
        <w:t xml:space="preserve"> </w:t>
      </w:r>
      <w:r>
        <w:rPr>
          <w:rFonts w:ascii="Verdana" w:hAnsi="Verdana"/>
          <w:sz w:val="18"/>
          <w:szCs w:val="18"/>
        </w:rPr>
        <w:t>Law 996-XIV / 1999. On Accounting and Financial Reporting in Ukraine</w:t>
      </w:r>
    </w:p>
    <w:p w:rsidR="005C3F63" w:rsidRDefault="005C3F63">
      <w:pPr>
        <w:spacing w:line="360" w:lineRule="auto"/>
        <w:rPr>
          <w:rFonts w:ascii="Verdana" w:hAnsi="Verdana"/>
          <w:i/>
          <w:sz w:val="18"/>
          <w:szCs w:val="18"/>
        </w:rPr>
      </w:pPr>
    </w:p>
    <w:p w:rsidR="005C3F63" w:rsidRDefault="006536E7">
      <w:pPr>
        <w:rPr>
          <w:rFonts w:ascii="Verdana" w:hAnsi="Verdana"/>
          <w:sz w:val="20"/>
          <w:szCs w:val="20"/>
        </w:rPr>
      </w:pPr>
      <w:r>
        <w:rPr>
          <w:rFonts w:ascii="Verdana" w:hAnsi="Verdana"/>
          <w:sz w:val="20"/>
          <w:szCs w:val="20"/>
        </w:rPr>
        <w:t>The number of business entities by type is given in table 2. Table 2 summarizes the indicators of structural statistics by business entities according to the State Statistics Service of Ukraine.</w:t>
      </w:r>
    </w:p>
    <w:p w:rsidR="005C3F63" w:rsidRDefault="005C3F63">
      <w:pPr>
        <w:rPr>
          <w:rFonts w:ascii="Verdana" w:hAnsi="Verdana"/>
          <w:sz w:val="12"/>
          <w:szCs w:val="12"/>
        </w:rPr>
      </w:pPr>
    </w:p>
    <w:p w:rsidR="005C3F63" w:rsidRDefault="005C3F63">
      <w:pPr>
        <w:ind w:firstLine="709"/>
        <w:rPr>
          <w:rFonts w:ascii="Verdana" w:hAnsi="Verdana"/>
          <w:b/>
          <w:sz w:val="20"/>
          <w:szCs w:val="20"/>
        </w:rPr>
      </w:pPr>
    </w:p>
    <w:p w:rsidR="005C3F63" w:rsidRDefault="006536E7">
      <w:pPr>
        <w:ind w:firstLine="709"/>
        <w:rPr>
          <w:rFonts w:ascii="Verdana" w:hAnsi="Verdana"/>
          <w:sz w:val="20"/>
          <w:szCs w:val="20"/>
        </w:rPr>
      </w:pPr>
      <w:r>
        <w:rPr>
          <w:rFonts w:ascii="Verdana" w:hAnsi="Verdana"/>
          <w:b/>
          <w:sz w:val="20"/>
          <w:szCs w:val="20"/>
        </w:rPr>
        <w:t>Table 2.</w:t>
      </w:r>
      <w:r>
        <w:rPr>
          <w:rFonts w:ascii="Verdana" w:hAnsi="Verdana"/>
          <w:sz w:val="20"/>
          <w:szCs w:val="20"/>
        </w:rPr>
        <w:t xml:space="preserve"> Number of business entities depending on size</w:t>
      </w:r>
    </w:p>
    <w:tbl>
      <w:tblPr>
        <w:tblStyle w:val="afb"/>
        <w:tblW w:w="0" w:type="auto"/>
        <w:tblBorders>
          <w:left w:val="none" w:sz="0" w:space="0" w:color="auto"/>
          <w:right w:val="none" w:sz="0" w:space="0" w:color="auto"/>
        </w:tblBorders>
        <w:tblLook w:val="04A0" w:firstRow="1" w:lastRow="0" w:firstColumn="1" w:lastColumn="0" w:noHBand="0" w:noVBand="1"/>
      </w:tblPr>
      <w:tblGrid>
        <w:gridCol w:w="1293"/>
        <w:gridCol w:w="1374"/>
        <w:gridCol w:w="1414"/>
        <w:gridCol w:w="1371"/>
        <w:gridCol w:w="2423"/>
        <w:gridCol w:w="1411"/>
      </w:tblGrid>
      <w:tr w:rsidR="005C3F63">
        <w:tc>
          <w:tcPr>
            <w:tcW w:w="1293" w:type="dxa"/>
            <w:vMerge w:val="restart"/>
            <w:tcBorders>
              <w:right w:val="nil"/>
            </w:tcBorders>
          </w:tcPr>
          <w:p w:rsidR="005C3F63" w:rsidRDefault="006536E7">
            <w:pPr>
              <w:jc w:val="center"/>
              <w:rPr>
                <w:rFonts w:ascii="Verdana" w:hAnsi="Verdana"/>
                <w:b/>
                <w:sz w:val="18"/>
                <w:szCs w:val="18"/>
              </w:rPr>
            </w:pPr>
            <w:r>
              <w:rPr>
                <w:rFonts w:ascii="Verdana" w:hAnsi="Verdana"/>
                <w:b/>
                <w:sz w:val="18"/>
                <w:szCs w:val="18"/>
              </w:rPr>
              <w:t>Year</w:t>
            </w:r>
          </w:p>
        </w:tc>
        <w:tc>
          <w:tcPr>
            <w:tcW w:w="7993" w:type="dxa"/>
            <w:gridSpan w:val="5"/>
            <w:tcBorders>
              <w:left w:val="nil"/>
            </w:tcBorders>
          </w:tcPr>
          <w:p w:rsidR="005C3F63" w:rsidRDefault="006536E7">
            <w:pPr>
              <w:jc w:val="center"/>
              <w:rPr>
                <w:rFonts w:ascii="Verdana" w:hAnsi="Verdana"/>
                <w:b/>
                <w:sz w:val="18"/>
                <w:szCs w:val="18"/>
              </w:rPr>
            </w:pPr>
            <w:r>
              <w:rPr>
                <w:rFonts w:ascii="Verdana" w:hAnsi="Verdana"/>
                <w:b/>
                <w:sz w:val="18"/>
                <w:szCs w:val="18"/>
              </w:rPr>
              <w:t>Enterprises, units</w:t>
            </w:r>
          </w:p>
        </w:tc>
      </w:tr>
      <w:tr w:rsidR="005C3F63">
        <w:tc>
          <w:tcPr>
            <w:tcW w:w="1293" w:type="dxa"/>
            <w:vMerge/>
            <w:tcBorders>
              <w:right w:val="nil"/>
            </w:tcBorders>
          </w:tcPr>
          <w:p w:rsidR="005C3F63" w:rsidRDefault="005C3F63">
            <w:pPr>
              <w:jc w:val="center"/>
              <w:rPr>
                <w:rFonts w:ascii="Verdana" w:hAnsi="Verdana"/>
                <w:b/>
                <w:sz w:val="18"/>
                <w:szCs w:val="18"/>
                <w:lang w:val="uk-UA"/>
              </w:rPr>
            </w:pPr>
          </w:p>
        </w:tc>
        <w:tc>
          <w:tcPr>
            <w:tcW w:w="1374" w:type="dxa"/>
            <w:tcBorders>
              <w:left w:val="nil"/>
              <w:right w:val="nil"/>
            </w:tcBorders>
          </w:tcPr>
          <w:p w:rsidR="005C3F63" w:rsidRDefault="006536E7">
            <w:pPr>
              <w:jc w:val="center"/>
              <w:rPr>
                <w:rFonts w:ascii="Verdana" w:hAnsi="Verdana"/>
                <w:b/>
                <w:sz w:val="18"/>
                <w:szCs w:val="18"/>
              </w:rPr>
            </w:pPr>
            <w:r>
              <w:rPr>
                <w:rFonts w:ascii="Verdana" w:hAnsi="Verdana"/>
                <w:b/>
                <w:sz w:val="18"/>
                <w:szCs w:val="18"/>
              </w:rPr>
              <w:t>Large</w:t>
            </w:r>
          </w:p>
        </w:tc>
        <w:tc>
          <w:tcPr>
            <w:tcW w:w="1414" w:type="dxa"/>
            <w:tcBorders>
              <w:left w:val="nil"/>
              <w:right w:val="nil"/>
            </w:tcBorders>
          </w:tcPr>
          <w:p w:rsidR="005C3F63" w:rsidRDefault="006536E7">
            <w:pPr>
              <w:jc w:val="center"/>
              <w:rPr>
                <w:rFonts w:ascii="Verdana" w:hAnsi="Verdana"/>
                <w:b/>
                <w:sz w:val="18"/>
                <w:szCs w:val="18"/>
              </w:rPr>
            </w:pPr>
            <w:r>
              <w:rPr>
                <w:rFonts w:ascii="Verdana" w:hAnsi="Verdana"/>
                <w:b/>
                <w:sz w:val="18"/>
                <w:szCs w:val="18"/>
              </w:rPr>
              <w:t>Medium</w:t>
            </w:r>
          </w:p>
        </w:tc>
        <w:tc>
          <w:tcPr>
            <w:tcW w:w="1371" w:type="dxa"/>
            <w:tcBorders>
              <w:left w:val="nil"/>
              <w:right w:val="nil"/>
            </w:tcBorders>
          </w:tcPr>
          <w:p w:rsidR="005C3F63" w:rsidRDefault="006536E7">
            <w:pPr>
              <w:jc w:val="center"/>
              <w:rPr>
                <w:rFonts w:ascii="Verdana" w:hAnsi="Verdana"/>
                <w:b/>
                <w:sz w:val="18"/>
                <w:szCs w:val="18"/>
              </w:rPr>
            </w:pPr>
            <w:r>
              <w:rPr>
                <w:rFonts w:ascii="Verdana" w:hAnsi="Verdana"/>
                <w:b/>
                <w:sz w:val="18"/>
                <w:szCs w:val="18"/>
              </w:rPr>
              <w:t>Small</w:t>
            </w:r>
          </w:p>
        </w:tc>
        <w:tc>
          <w:tcPr>
            <w:tcW w:w="2423" w:type="dxa"/>
            <w:tcBorders>
              <w:left w:val="nil"/>
              <w:right w:val="nil"/>
            </w:tcBorders>
          </w:tcPr>
          <w:p w:rsidR="005C3F63" w:rsidRDefault="006536E7">
            <w:pPr>
              <w:jc w:val="center"/>
              <w:rPr>
                <w:rFonts w:ascii="Verdana" w:hAnsi="Verdana"/>
                <w:b/>
                <w:sz w:val="18"/>
                <w:szCs w:val="18"/>
              </w:rPr>
            </w:pPr>
            <w:r>
              <w:rPr>
                <w:rFonts w:ascii="Verdana" w:hAnsi="Verdana"/>
                <w:b/>
                <w:sz w:val="18"/>
                <w:szCs w:val="18"/>
              </w:rPr>
              <w:t>Of these, micro-enterprises</w:t>
            </w:r>
          </w:p>
        </w:tc>
        <w:tc>
          <w:tcPr>
            <w:tcW w:w="1411" w:type="dxa"/>
            <w:tcBorders>
              <w:left w:val="nil"/>
            </w:tcBorders>
          </w:tcPr>
          <w:p w:rsidR="005C3F63" w:rsidRDefault="006536E7">
            <w:pPr>
              <w:jc w:val="center"/>
              <w:rPr>
                <w:rFonts w:ascii="Verdana" w:hAnsi="Verdana"/>
                <w:b/>
                <w:sz w:val="18"/>
                <w:szCs w:val="18"/>
              </w:rPr>
            </w:pPr>
            <w:r>
              <w:rPr>
                <w:rFonts w:ascii="Verdana" w:hAnsi="Verdana"/>
                <w:b/>
                <w:sz w:val="18"/>
                <w:szCs w:val="18"/>
              </w:rPr>
              <w:t>Total</w:t>
            </w:r>
          </w:p>
        </w:tc>
      </w:tr>
      <w:tr w:rsidR="005C3F63">
        <w:tc>
          <w:tcPr>
            <w:tcW w:w="1293" w:type="dxa"/>
            <w:tcBorders>
              <w:right w:val="nil"/>
            </w:tcBorders>
          </w:tcPr>
          <w:p w:rsidR="005C3F63" w:rsidRDefault="006536E7">
            <w:pPr>
              <w:jc w:val="center"/>
              <w:rPr>
                <w:rFonts w:ascii="Verdana" w:hAnsi="Verdana"/>
                <w:b/>
                <w:sz w:val="18"/>
                <w:szCs w:val="18"/>
                <w:lang w:val="uk-UA"/>
              </w:rPr>
            </w:pPr>
            <w:r>
              <w:rPr>
                <w:rFonts w:ascii="Verdana" w:hAnsi="Verdana"/>
                <w:b/>
                <w:sz w:val="18"/>
                <w:szCs w:val="18"/>
                <w:lang w:val="uk-UA"/>
              </w:rPr>
              <w:t>2014</w:t>
            </w:r>
          </w:p>
        </w:tc>
        <w:tc>
          <w:tcPr>
            <w:tcW w:w="1374" w:type="dxa"/>
            <w:tcBorders>
              <w:left w:val="nil"/>
              <w:right w:val="nil"/>
            </w:tcBorders>
          </w:tcPr>
          <w:p w:rsidR="005C3F63" w:rsidRDefault="006536E7">
            <w:pPr>
              <w:jc w:val="center"/>
              <w:rPr>
                <w:rFonts w:ascii="Verdana" w:hAnsi="Verdana"/>
                <w:sz w:val="18"/>
                <w:szCs w:val="18"/>
                <w:lang w:val="uk-UA"/>
              </w:rPr>
            </w:pPr>
            <w:r>
              <w:rPr>
                <w:rFonts w:ascii="Verdana" w:hAnsi="Verdana"/>
                <w:sz w:val="18"/>
                <w:szCs w:val="18"/>
                <w:lang w:val="uk-UA"/>
              </w:rPr>
              <w:t>497</w:t>
            </w:r>
          </w:p>
        </w:tc>
        <w:tc>
          <w:tcPr>
            <w:tcW w:w="1414" w:type="dxa"/>
            <w:tcBorders>
              <w:left w:val="nil"/>
              <w:right w:val="nil"/>
            </w:tcBorders>
          </w:tcPr>
          <w:p w:rsidR="005C3F63" w:rsidRDefault="006536E7">
            <w:pPr>
              <w:jc w:val="center"/>
              <w:rPr>
                <w:rFonts w:ascii="Verdana" w:hAnsi="Verdana"/>
                <w:sz w:val="18"/>
                <w:szCs w:val="18"/>
                <w:lang w:val="uk-UA"/>
              </w:rPr>
            </w:pPr>
            <w:r>
              <w:rPr>
                <w:rFonts w:ascii="Verdana" w:hAnsi="Verdana"/>
                <w:sz w:val="18"/>
                <w:szCs w:val="18"/>
                <w:lang w:val="uk-UA"/>
              </w:rPr>
              <w:t>15906</w:t>
            </w:r>
          </w:p>
        </w:tc>
        <w:tc>
          <w:tcPr>
            <w:tcW w:w="1371" w:type="dxa"/>
            <w:tcBorders>
              <w:left w:val="nil"/>
              <w:right w:val="nil"/>
            </w:tcBorders>
          </w:tcPr>
          <w:p w:rsidR="005C3F63" w:rsidRDefault="006536E7">
            <w:pPr>
              <w:jc w:val="center"/>
              <w:rPr>
                <w:rFonts w:ascii="Verdana" w:hAnsi="Verdana"/>
                <w:sz w:val="18"/>
                <w:szCs w:val="18"/>
                <w:lang w:val="uk-UA"/>
              </w:rPr>
            </w:pPr>
            <w:r>
              <w:rPr>
                <w:rFonts w:ascii="Verdana" w:hAnsi="Verdana"/>
                <w:sz w:val="18"/>
                <w:szCs w:val="18"/>
                <w:lang w:val="uk-UA"/>
              </w:rPr>
              <w:t>324598</w:t>
            </w:r>
          </w:p>
        </w:tc>
        <w:tc>
          <w:tcPr>
            <w:tcW w:w="2423" w:type="dxa"/>
            <w:tcBorders>
              <w:left w:val="nil"/>
              <w:right w:val="nil"/>
            </w:tcBorders>
          </w:tcPr>
          <w:p w:rsidR="005C3F63" w:rsidRDefault="006536E7">
            <w:pPr>
              <w:jc w:val="center"/>
              <w:rPr>
                <w:rFonts w:ascii="Verdana" w:hAnsi="Verdana"/>
                <w:sz w:val="18"/>
                <w:szCs w:val="18"/>
                <w:lang w:val="uk-UA"/>
              </w:rPr>
            </w:pPr>
            <w:r>
              <w:rPr>
                <w:rFonts w:ascii="Verdana" w:hAnsi="Verdana"/>
                <w:sz w:val="18"/>
                <w:szCs w:val="18"/>
                <w:lang w:val="uk-UA"/>
              </w:rPr>
              <w:t>278922</w:t>
            </w:r>
          </w:p>
        </w:tc>
        <w:tc>
          <w:tcPr>
            <w:tcW w:w="1411" w:type="dxa"/>
            <w:tcBorders>
              <w:left w:val="nil"/>
            </w:tcBorders>
          </w:tcPr>
          <w:p w:rsidR="005C3F63" w:rsidRDefault="006536E7">
            <w:pPr>
              <w:jc w:val="center"/>
              <w:rPr>
                <w:rFonts w:ascii="Verdana" w:hAnsi="Verdana"/>
                <w:sz w:val="18"/>
                <w:szCs w:val="18"/>
                <w:lang w:val="uk-UA"/>
              </w:rPr>
            </w:pPr>
            <w:r>
              <w:rPr>
                <w:rFonts w:ascii="Verdana" w:hAnsi="Verdana"/>
                <w:sz w:val="18"/>
                <w:szCs w:val="18"/>
                <w:lang w:val="uk-UA"/>
              </w:rPr>
              <w:t>1591160</w:t>
            </w:r>
          </w:p>
        </w:tc>
      </w:tr>
      <w:tr w:rsidR="005C3F63">
        <w:tc>
          <w:tcPr>
            <w:tcW w:w="1293" w:type="dxa"/>
            <w:tcBorders>
              <w:right w:val="nil"/>
            </w:tcBorders>
          </w:tcPr>
          <w:p w:rsidR="005C3F63" w:rsidRDefault="006536E7">
            <w:pPr>
              <w:jc w:val="center"/>
              <w:rPr>
                <w:rFonts w:ascii="Verdana" w:hAnsi="Verdana"/>
                <w:b/>
                <w:sz w:val="18"/>
                <w:szCs w:val="18"/>
                <w:lang w:val="uk-UA"/>
              </w:rPr>
            </w:pPr>
            <w:r>
              <w:rPr>
                <w:rFonts w:ascii="Verdana" w:hAnsi="Verdana"/>
                <w:b/>
                <w:sz w:val="18"/>
                <w:szCs w:val="18"/>
                <w:lang w:val="uk-UA"/>
              </w:rPr>
              <w:t>2015</w:t>
            </w:r>
          </w:p>
        </w:tc>
        <w:tc>
          <w:tcPr>
            <w:tcW w:w="1374" w:type="dxa"/>
            <w:tcBorders>
              <w:left w:val="nil"/>
              <w:right w:val="nil"/>
            </w:tcBorders>
          </w:tcPr>
          <w:p w:rsidR="005C3F63" w:rsidRDefault="006536E7">
            <w:pPr>
              <w:jc w:val="center"/>
              <w:rPr>
                <w:rFonts w:ascii="Verdana" w:hAnsi="Verdana"/>
                <w:sz w:val="18"/>
                <w:szCs w:val="18"/>
                <w:lang w:val="uk-UA"/>
              </w:rPr>
            </w:pPr>
            <w:r>
              <w:rPr>
                <w:rFonts w:ascii="Verdana" w:hAnsi="Verdana"/>
                <w:sz w:val="18"/>
                <w:szCs w:val="18"/>
                <w:lang w:val="uk-UA"/>
              </w:rPr>
              <w:t>423</w:t>
            </w:r>
          </w:p>
        </w:tc>
        <w:tc>
          <w:tcPr>
            <w:tcW w:w="1414" w:type="dxa"/>
            <w:tcBorders>
              <w:left w:val="nil"/>
              <w:right w:val="nil"/>
            </w:tcBorders>
          </w:tcPr>
          <w:p w:rsidR="005C3F63" w:rsidRDefault="006536E7">
            <w:pPr>
              <w:jc w:val="center"/>
              <w:rPr>
                <w:rFonts w:ascii="Verdana" w:hAnsi="Verdana"/>
                <w:sz w:val="18"/>
                <w:szCs w:val="18"/>
                <w:lang w:val="uk-UA"/>
              </w:rPr>
            </w:pPr>
            <w:r>
              <w:rPr>
                <w:rFonts w:ascii="Verdana" w:hAnsi="Verdana"/>
                <w:sz w:val="18"/>
                <w:szCs w:val="18"/>
                <w:lang w:val="uk-UA"/>
              </w:rPr>
              <w:t>15203</w:t>
            </w:r>
          </w:p>
        </w:tc>
        <w:tc>
          <w:tcPr>
            <w:tcW w:w="1371" w:type="dxa"/>
            <w:tcBorders>
              <w:left w:val="nil"/>
              <w:right w:val="nil"/>
            </w:tcBorders>
          </w:tcPr>
          <w:p w:rsidR="005C3F63" w:rsidRDefault="006536E7">
            <w:pPr>
              <w:jc w:val="center"/>
              <w:rPr>
                <w:rFonts w:ascii="Verdana" w:hAnsi="Verdana"/>
                <w:sz w:val="18"/>
                <w:szCs w:val="18"/>
                <w:lang w:val="uk-UA"/>
              </w:rPr>
            </w:pPr>
            <w:r>
              <w:rPr>
                <w:rFonts w:ascii="Verdana" w:hAnsi="Verdana"/>
                <w:sz w:val="18"/>
                <w:szCs w:val="18"/>
                <w:lang w:val="uk-UA"/>
              </w:rPr>
              <w:t>327814</w:t>
            </w:r>
          </w:p>
        </w:tc>
        <w:tc>
          <w:tcPr>
            <w:tcW w:w="2423" w:type="dxa"/>
            <w:tcBorders>
              <w:left w:val="nil"/>
              <w:right w:val="nil"/>
            </w:tcBorders>
          </w:tcPr>
          <w:p w:rsidR="005C3F63" w:rsidRDefault="006536E7">
            <w:pPr>
              <w:jc w:val="center"/>
              <w:rPr>
                <w:rFonts w:ascii="Verdana" w:hAnsi="Verdana"/>
                <w:sz w:val="18"/>
                <w:szCs w:val="18"/>
                <w:lang w:val="uk-UA"/>
              </w:rPr>
            </w:pPr>
            <w:r>
              <w:rPr>
                <w:rFonts w:ascii="Verdana" w:hAnsi="Verdana"/>
                <w:sz w:val="18"/>
                <w:szCs w:val="18"/>
                <w:lang w:val="uk-UA"/>
              </w:rPr>
              <w:t>284241</w:t>
            </w:r>
          </w:p>
        </w:tc>
        <w:tc>
          <w:tcPr>
            <w:tcW w:w="1411" w:type="dxa"/>
            <w:tcBorders>
              <w:left w:val="nil"/>
            </w:tcBorders>
          </w:tcPr>
          <w:p w:rsidR="005C3F63" w:rsidRDefault="006536E7">
            <w:pPr>
              <w:jc w:val="center"/>
              <w:rPr>
                <w:rFonts w:ascii="Verdana" w:hAnsi="Verdana"/>
                <w:sz w:val="18"/>
                <w:szCs w:val="18"/>
                <w:lang w:val="uk-UA"/>
              </w:rPr>
            </w:pPr>
            <w:r>
              <w:rPr>
                <w:rFonts w:ascii="Verdana" w:hAnsi="Verdana"/>
                <w:sz w:val="18"/>
                <w:szCs w:val="18"/>
                <w:lang w:val="uk-UA"/>
              </w:rPr>
              <w:t>1630878</w:t>
            </w:r>
          </w:p>
        </w:tc>
      </w:tr>
      <w:tr w:rsidR="005C3F63">
        <w:tc>
          <w:tcPr>
            <w:tcW w:w="1293" w:type="dxa"/>
            <w:tcBorders>
              <w:right w:val="nil"/>
            </w:tcBorders>
          </w:tcPr>
          <w:p w:rsidR="005C3F63" w:rsidRDefault="006536E7">
            <w:pPr>
              <w:jc w:val="center"/>
              <w:rPr>
                <w:rFonts w:ascii="Verdana" w:hAnsi="Verdana"/>
                <w:b/>
                <w:sz w:val="18"/>
                <w:szCs w:val="18"/>
                <w:lang w:val="uk-UA"/>
              </w:rPr>
            </w:pPr>
            <w:r>
              <w:rPr>
                <w:rFonts w:ascii="Verdana" w:hAnsi="Verdana"/>
                <w:b/>
                <w:sz w:val="18"/>
                <w:szCs w:val="18"/>
                <w:lang w:val="uk-UA"/>
              </w:rPr>
              <w:t>2016</w:t>
            </w:r>
          </w:p>
        </w:tc>
        <w:tc>
          <w:tcPr>
            <w:tcW w:w="1374" w:type="dxa"/>
            <w:tcBorders>
              <w:left w:val="nil"/>
              <w:right w:val="nil"/>
            </w:tcBorders>
          </w:tcPr>
          <w:p w:rsidR="005C3F63" w:rsidRDefault="006536E7">
            <w:pPr>
              <w:jc w:val="center"/>
              <w:rPr>
                <w:rFonts w:ascii="Verdana" w:hAnsi="Verdana"/>
                <w:sz w:val="18"/>
                <w:szCs w:val="18"/>
                <w:lang w:val="uk-UA"/>
              </w:rPr>
            </w:pPr>
            <w:r>
              <w:rPr>
                <w:rFonts w:ascii="Verdana" w:hAnsi="Verdana"/>
                <w:sz w:val="18"/>
                <w:szCs w:val="18"/>
                <w:lang w:val="uk-UA"/>
              </w:rPr>
              <w:t>383</w:t>
            </w:r>
          </w:p>
        </w:tc>
        <w:tc>
          <w:tcPr>
            <w:tcW w:w="1414" w:type="dxa"/>
            <w:tcBorders>
              <w:left w:val="nil"/>
              <w:right w:val="nil"/>
            </w:tcBorders>
          </w:tcPr>
          <w:p w:rsidR="005C3F63" w:rsidRDefault="006536E7">
            <w:pPr>
              <w:jc w:val="center"/>
              <w:rPr>
                <w:rFonts w:ascii="Verdana" w:hAnsi="Verdana"/>
                <w:sz w:val="18"/>
                <w:szCs w:val="18"/>
                <w:lang w:val="uk-UA"/>
              </w:rPr>
            </w:pPr>
            <w:r>
              <w:rPr>
                <w:rFonts w:ascii="Verdana" w:hAnsi="Verdana"/>
                <w:sz w:val="18"/>
                <w:szCs w:val="18"/>
                <w:lang w:val="uk-UA"/>
              </w:rPr>
              <w:t>14832</w:t>
            </w:r>
          </w:p>
        </w:tc>
        <w:tc>
          <w:tcPr>
            <w:tcW w:w="1371" w:type="dxa"/>
            <w:tcBorders>
              <w:left w:val="nil"/>
              <w:right w:val="nil"/>
            </w:tcBorders>
          </w:tcPr>
          <w:p w:rsidR="005C3F63" w:rsidRDefault="006536E7">
            <w:pPr>
              <w:jc w:val="center"/>
              <w:rPr>
                <w:rFonts w:ascii="Verdana" w:hAnsi="Verdana"/>
                <w:sz w:val="18"/>
                <w:szCs w:val="18"/>
                <w:lang w:val="uk-UA"/>
              </w:rPr>
            </w:pPr>
            <w:r>
              <w:rPr>
                <w:rFonts w:ascii="Verdana" w:hAnsi="Verdana"/>
                <w:sz w:val="18"/>
                <w:szCs w:val="18"/>
                <w:lang w:val="uk-UA"/>
              </w:rPr>
              <w:t>291154</w:t>
            </w:r>
          </w:p>
        </w:tc>
        <w:tc>
          <w:tcPr>
            <w:tcW w:w="2423" w:type="dxa"/>
            <w:tcBorders>
              <w:left w:val="nil"/>
              <w:right w:val="nil"/>
            </w:tcBorders>
          </w:tcPr>
          <w:p w:rsidR="005C3F63" w:rsidRDefault="006536E7">
            <w:pPr>
              <w:jc w:val="center"/>
              <w:rPr>
                <w:rFonts w:ascii="Verdana" w:hAnsi="Verdana"/>
                <w:sz w:val="18"/>
                <w:szCs w:val="18"/>
                <w:lang w:val="uk-UA"/>
              </w:rPr>
            </w:pPr>
            <w:r>
              <w:rPr>
                <w:rFonts w:ascii="Verdana" w:hAnsi="Verdana"/>
                <w:sz w:val="18"/>
                <w:szCs w:val="18"/>
                <w:lang w:val="uk-UA"/>
              </w:rPr>
              <w:t>247695</w:t>
            </w:r>
          </w:p>
        </w:tc>
        <w:tc>
          <w:tcPr>
            <w:tcW w:w="1411" w:type="dxa"/>
            <w:tcBorders>
              <w:left w:val="nil"/>
            </w:tcBorders>
          </w:tcPr>
          <w:p w:rsidR="005C3F63" w:rsidRDefault="006536E7">
            <w:pPr>
              <w:jc w:val="center"/>
              <w:rPr>
                <w:rFonts w:ascii="Verdana" w:hAnsi="Verdana"/>
                <w:sz w:val="18"/>
                <w:szCs w:val="18"/>
                <w:lang w:val="uk-UA"/>
              </w:rPr>
            </w:pPr>
            <w:r>
              <w:rPr>
                <w:rFonts w:ascii="Verdana" w:hAnsi="Verdana"/>
                <w:sz w:val="18"/>
                <w:szCs w:val="18"/>
                <w:lang w:val="uk-UA"/>
              </w:rPr>
              <w:t>1559161</w:t>
            </w:r>
          </w:p>
        </w:tc>
      </w:tr>
      <w:tr w:rsidR="005C3F63">
        <w:tc>
          <w:tcPr>
            <w:tcW w:w="1293" w:type="dxa"/>
            <w:tcBorders>
              <w:right w:val="nil"/>
            </w:tcBorders>
          </w:tcPr>
          <w:p w:rsidR="005C3F63" w:rsidRDefault="006536E7">
            <w:pPr>
              <w:jc w:val="center"/>
              <w:rPr>
                <w:rFonts w:ascii="Verdana" w:hAnsi="Verdana"/>
                <w:b/>
                <w:sz w:val="18"/>
                <w:szCs w:val="18"/>
                <w:lang w:val="uk-UA"/>
              </w:rPr>
            </w:pPr>
            <w:r>
              <w:rPr>
                <w:rFonts w:ascii="Verdana" w:hAnsi="Verdana"/>
                <w:b/>
                <w:sz w:val="18"/>
                <w:szCs w:val="18"/>
                <w:lang w:val="uk-UA"/>
              </w:rPr>
              <w:t>2017</w:t>
            </w:r>
          </w:p>
        </w:tc>
        <w:tc>
          <w:tcPr>
            <w:tcW w:w="1374" w:type="dxa"/>
            <w:tcBorders>
              <w:left w:val="nil"/>
              <w:right w:val="nil"/>
            </w:tcBorders>
          </w:tcPr>
          <w:p w:rsidR="005C3F63" w:rsidRDefault="006536E7">
            <w:pPr>
              <w:jc w:val="center"/>
              <w:rPr>
                <w:rFonts w:ascii="Verdana" w:hAnsi="Verdana"/>
                <w:sz w:val="18"/>
                <w:szCs w:val="18"/>
                <w:lang w:val="uk-UA"/>
              </w:rPr>
            </w:pPr>
            <w:r>
              <w:rPr>
                <w:rFonts w:ascii="Verdana" w:hAnsi="Verdana"/>
                <w:sz w:val="18"/>
                <w:szCs w:val="18"/>
                <w:lang w:val="uk-UA"/>
              </w:rPr>
              <w:t>399</w:t>
            </w:r>
          </w:p>
        </w:tc>
        <w:tc>
          <w:tcPr>
            <w:tcW w:w="1414" w:type="dxa"/>
            <w:tcBorders>
              <w:left w:val="nil"/>
              <w:right w:val="nil"/>
            </w:tcBorders>
          </w:tcPr>
          <w:p w:rsidR="005C3F63" w:rsidRDefault="006536E7">
            <w:pPr>
              <w:jc w:val="center"/>
              <w:rPr>
                <w:rFonts w:ascii="Verdana" w:hAnsi="Verdana"/>
                <w:sz w:val="18"/>
                <w:szCs w:val="18"/>
                <w:lang w:val="uk-UA"/>
              </w:rPr>
            </w:pPr>
            <w:r>
              <w:rPr>
                <w:rFonts w:ascii="Verdana" w:hAnsi="Verdana"/>
                <w:sz w:val="18"/>
                <w:szCs w:val="18"/>
                <w:lang w:val="uk-UA"/>
              </w:rPr>
              <w:t>14937</w:t>
            </w:r>
          </w:p>
        </w:tc>
        <w:tc>
          <w:tcPr>
            <w:tcW w:w="1371" w:type="dxa"/>
            <w:tcBorders>
              <w:left w:val="nil"/>
              <w:right w:val="nil"/>
            </w:tcBorders>
          </w:tcPr>
          <w:p w:rsidR="005C3F63" w:rsidRDefault="006536E7">
            <w:pPr>
              <w:jc w:val="center"/>
              <w:rPr>
                <w:rFonts w:ascii="Verdana" w:hAnsi="Verdana"/>
                <w:sz w:val="18"/>
                <w:szCs w:val="18"/>
                <w:lang w:val="uk-UA"/>
              </w:rPr>
            </w:pPr>
            <w:r>
              <w:rPr>
                <w:rFonts w:ascii="Verdana" w:hAnsi="Verdana"/>
                <w:sz w:val="18"/>
                <w:szCs w:val="18"/>
                <w:lang w:val="uk-UA"/>
              </w:rPr>
              <w:t>322920</w:t>
            </w:r>
          </w:p>
        </w:tc>
        <w:tc>
          <w:tcPr>
            <w:tcW w:w="2423" w:type="dxa"/>
            <w:tcBorders>
              <w:left w:val="nil"/>
              <w:right w:val="nil"/>
            </w:tcBorders>
          </w:tcPr>
          <w:p w:rsidR="005C3F63" w:rsidRDefault="006536E7">
            <w:pPr>
              <w:jc w:val="center"/>
              <w:rPr>
                <w:rFonts w:ascii="Verdana" w:hAnsi="Verdana"/>
                <w:sz w:val="18"/>
                <w:szCs w:val="18"/>
                <w:lang w:val="uk-UA"/>
              </w:rPr>
            </w:pPr>
            <w:r>
              <w:rPr>
                <w:rFonts w:ascii="Verdana" w:hAnsi="Verdana"/>
                <w:sz w:val="18"/>
                <w:szCs w:val="18"/>
                <w:lang w:val="uk-UA"/>
              </w:rPr>
              <w:t>278102</w:t>
            </w:r>
          </w:p>
        </w:tc>
        <w:tc>
          <w:tcPr>
            <w:tcW w:w="1411" w:type="dxa"/>
            <w:tcBorders>
              <w:left w:val="nil"/>
            </w:tcBorders>
          </w:tcPr>
          <w:p w:rsidR="005C3F63" w:rsidRDefault="006536E7">
            <w:pPr>
              <w:jc w:val="center"/>
              <w:rPr>
                <w:rFonts w:ascii="Verdana" w:hAnsi="Verdana"/>
                <w:sz w:val="18"/>
                <w:szCs w:val="18"/>
                <w:lang w:val="uk-UA"/>
              </w:rPr>
            </w:pPr>
            <w:r>
              <w:rPr>
                <w:rFonts w:ascii="Verdana" w:hAnsi="Verdana"/>
                <w:sz w:val="18"/>
                <w:szCs w:val="18"/>
                <w:lang w:val="uk-UA"/>
              </w:rPr>
              <w:t>1466803</w:t>
            </w:r>
          </w:p>
        </w:tc>
      </w:tr>
      <w:tr w:rsidR="005C3F63">
        <w:tc>
          <w:tcPr>
            <w:tcW w:w="1293" w:type="dxa"/>
            <w:tcBorders>
              <w:right w:val="nil"/>
            </w:tcBorders>
          </w:tcPr>
          <w:p w:rsidR="005C3F63" w:rsidRDefault="006536E7">
            <w:pPr>
              <w:jc w:val="center"/>
              <w:rPr>
                <w:rFonts w:ascii="Verdana" w:hAnsi="Verdana"/>
                <w:b/>
                <w:sz w:val="18"/>
                <w:szCs w:val="18"/>
                <w:lang w:val="uk-UA"/>
              </w:rPr>
            </w:pPr>
            <w:r>
              <w:rPr>
                <w:rFonts w:ascii="Verdana" w:hAnsi="Verdana"/>
                <w:b/>
                <w:sz w:val="18"/>
                <w:szCs w:val="18"/>
                <w:lang w:val="uk-UA"/>
              </w:rPr>
              <w:t>2018</w:t>
            </w:r>
          </w:p>
        </w:tc>
        <w:tc>
          <w:tcPr>
            <w:tcW w:w="1374" w:type="dxa"/>
            <w:tcBorders>
              <w:left w:val="nil"/>
              <w:right w:val="nil"/>
            </w:tcBorders>
          </w:tcPr>
          <w:p w:rsidR="005C3F63" w:rsidRDefault="006536E7">
            <w:pPr>
              <w:jc w:val="center"/>
              <w:rPr>
                <w:rFonts w:ascii="Verdana" w:hAnsi="Verdana"/>
                <w:sz w:val="18"/>
                <w:szCs w:val="18"/>
                <w:lang w:val="uk-UA"/>
              </w:rPr>
            </w:pPr>
            <w:r>
              <w:rPr>
                <w:rFonts w:ascii="Verdana" w:hAnsi="Verdana"/>
                <w:sz w:val="18"/>
                <w:szCs w:val="18"/>
                <w:lang w:val="uk-UA"/>
              </w:rPr>
              <w:t>446</w:t>
            </w:r>
          </w:p>
        </w:tc>
        <w:tc>
          <w:tcPr>
            <w:tcW w:w="1414" w:type="dxa"/>
            <w:tcBorders>
              <w:left w:val="nil"/>
              <w:right w:val="nil"/>
            </w:tcBorders>
          </w:tcPr>
          <w:p w:rsidR="005C3F63" w:rsidRDefault="006536E7">
            <w:pPr>
              <w:jc w:val="center"/>
              <w:rPr>
                <w:rFonts w:ascii="Verdana" w:hAnsi="Verdana"/>
                <w:sz w:val="18"/>
                <w:szCs w:val="18"/>
                <w:lang w:val="uk-UA"/>
              </w:rPr>
            </w:pPr>
            <w:r>
              <w:rPr>
                <w:rFonts w:ascii="Verdana" w:hAnsi="Verdana"/>
                <w:sz w:val="18"/>
                <w:szCs w:val="18"/>
                <w:lang w:val="uk-UA"/>
              </w:rPr>
              <w:t>16057</w:t>
            </w:r>
          </w:p>
        </w:tc>
        <w:tc>
          <w:tcPr>
            <w:tcW w:w="1371" w:type="dxa"/>
            <w:tcBorders>
              <w:left w:val="nil"/>
              <w:right w:val="nil"/>
            </w:tcBorders>
          </w:tcPr>
          <w:p w:rsidR="005C3F63" w:rsidRDefault="006536E7">
            <w:pPr>
              <w:jc w:val="center"/>
              <w:rPr>
                <w:rFonts w:ascii="Verdana" w:hAnsi="Verdana"/>
                <w:sz w:val="18"/>
                <w:szCs w:val="18"/>
                <w:lang w:val="uk-UA"/>
              </w:rPr>
            </w:pPr>
            <w:r>
              <w:rPr>
                <w:rFonts w:ascii="Verdana" w:hAnsi="Verdana"/>
                <w:sz w:val="18"/>
                <w:szCs w:val="18"/>
                <w:lang w:val="uk-UA"/>
              </w:rPr>
              <w:t>339374</w:t>
            </w:r>
          </w:p>
        </w:tc>
        <w:tc>
          <w:tcPr>
            <w:tcW w:w="2423" w:type="dxa"/>
            <w:tcBorders>
              <w:left w:val="nil"/>
              <w:right w:val="nil"/>
            </w:tcBorders>
          </w:tcPr>
          <w:p w:rsidR="005C3F63" w:rsidRDefault="006536E7">
            <w:pPr>
              <w:jc w:val="center"/>
              <w:rPr>
                <w:rFonts w:ascii="Verdana" w:hAnsi="Verdana"/>
                <w:sz w:val="18"/>
                <w:szCs w:val="18"/>
                <w:lang w:val="uk-UA"/>
              </w:rPr>
            </w:pPr>
            <w:r>
              <w:rPr>
                <w:rFonts w:ascii="Verdana" w:hAnsi="Verdana"/>
                <w:sz w:val="18"/>
                <w:szCs w:val="18"/>
                <w:lang w:val="uk-UA"/>
              </w:rPr>
              <w:t>292772</w:t>
            </w:r>
          </w:p>
        </w:tc>
        <w:tc>
          <w:tcPr>
            <w:tcW w:w="1411" w:type="dxa"/>
            <w:tcBorders>
              <w:left w:val="nil"/>
            </w:tcBorders>
          </w:tcPr>
          <w:p w:rsidR="005C3F63" w:rsidRDefault="006536E7">
            <w:pPr>
              <w:jc w:val="center"/>
              <w:rPr>
                <w:rFonts w:ascii="Verdana" w:hAnsi="Verdana"/>
                <w:sz w:val="18"/>
                <w:szCs w:val="18"/>
                <w:lang w:val="uk-UA"/>
              </w:rPr>
            </w:pPr>
            <w:r>
              <w:rPr>
                <w:rFonts w:ascii="Verdana" w:hAnsi="Verdana"/>
                <w:sz w:val="18"/>
                <w:szCs w:val="18"/>
                <w:lang w:val="uk-UA"/>
              </w:rPr>
              <w:t>1483716</w:t>
            </w:r>
          </w:p>
        </w:tc>
      </w:tr>
    </w:tbl>
    <w:p w:rsidR="005C3F63" w:rsidRDefault="006536E7">
      <w:pPr>
        <w:rPr>
          <w:rFonts w:ascii="Verdana" w:hAnsi="Verdana"/>
          <w:sz w:val="18"/>
          <w:szCs w:val="18"/>
        </w:rPr>
      </w:pPr>
      <w:r>
        <w:rPr>
          <w:rFonts w:ascii="Verdana" w:hAnsi="Verdana"/>
          <w:sz w:val="18"/>
          <w:szCs w:val="18"/>
        </w:rPr>
        <w:t>Source</w:t>
      </w:r>
      <w:r>
        <w:rPr>
          <w:rFonts w:ascii="Verdana" w:hAnsi="Verdana"/>
          <w:i/>
          <w:sz w:val="18"/>
          <w:szCs w:val="18"/>
        </w:rPr>
        <w:t xml:space="preserve">: </w:t>
      </w:r>
      <w:r>
        <w:rPr>
          <w:rFonts w:ascii="Verdana" w:hAnsi="Verdana"/>
          <w:color w:val="000000" w:themeColor="text1"/>
          <w:sz w:val="18"/>
          <w:szCs w:val="18"/>
        </w:rPr>
        <w:t xml:space="preserve">UKRSTAT (2012). </w:t>
      </w:r>
      <w:r>
        <w:rPr>
          <w:rFonts w:ascii="Verdana" w:hAnsi="Verdana"/>
          <w:i/>
          <w:color w:val="000000" w:themeColor="text1"/>
          <w:sz w:val="18"/>
          <w:szCs w:val="18"/>
        </w:rPr>
        <w:t>Performance indicators of large, medium, small and micro enterprises.</w:t>
      </w:r>
      <w:r>
        <w:rPr>
          <w:rFonts w:ascii="Verdana" w:hAnsi="Verdana"/>
          <w:color w:val="000000" w:themeColor="text1"/>
          <w:sz w:val="18"/>
          <w:szCs w:val="18"/>
        </w:rPr>
        <w:t xml:space="preserve"> </w:t>
      </w:r>
      <w:r>
        <w:rPr>
          <w:rFonts w:ascii="Verdana" w:hAnsi="Verdana"/>
          <w:sz w:val="18"/>
          <w:szCs w:val="18"/>
        </w:rPr>
        <w:t>Retrieved from</w:t>
      </w:r>
      <w:r>
        <w:rPr>
          <w:rFonts w:ascii="Verdana" w:hAnsi="Verdana"/>
          <w:color w:val="000000" w:themeColor="text1"/>
          <w:sz w:val="18"/>
          <w:szCs w:val="18"/>
        </w:rPr>
        <w:t xml:space="preserve">: </w:t>
      </w:r>
      <w:hyperlink r:id="rId155" w:history="1">
        <w:r>
          <w:rPr>
            <w:rStyle w:val="af9"/>
            <w:rFonts w:ascii="Verdana" w:hAnsi="Verdana"/>
            <w:sz w:val="18"/>
            <w:szCs w:val="18"/>
          </w:rPr>
          <w:t>http://www.ukrstat.gov.ua/operativ/operativ2012/fin/osp/osp_u/osp_u.htm</w:t>
        </w:r>
      </w:hyperlink>
      <w:r>
        <w:rPr>
          <w:rFonts w:ascii="Verdana" w:hAnsi="Verdana"/>
          <w:sz w:val="18"/>
          <w:szCs w:val="18"/>
        </w:rPr>
        <w:t>.</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lastRenderedPageBreak/>
        <w:t>The data in Table 2 show that the number of small enterprises in Ukraine significantly exceeds the number of medium and large enterprises and occupy a significant share in the total number of enterprises. If in 2014 the share of small enterprises in the total number of enterprises was 20.4%, in 2018 it increased to 22.9%. In absolute terms, the number of small enterprises tended to increase. Compared to 2014, the number of small enterprises increased by 14,776 units. Similar trends are observed in relation to medium-sized enterprises. During the same period, their number increased by 151 units. The share of medium-sized enterprises in the total number increased from 1.0% to 1.1%</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In the European vector of economic development, small and medium-sized businesses are an important player, as evidenced by the presence of such advantages as the ability to make operational decisions; employment support; the need for a small amount of investment in the creation.</w:t>
      </w:r>
    </w:p>
    <w:p w:rsidR="005C3F63" w:rsidRDefault="005C3F63">
      <w:pPr>
        <w:rPr>
          <w:rFonts w:ascii="Verdana" w:hAnsi="Verdana"/>
          <w:b/>
          <w:sz w:val="22"/>
        </w:rPr>
      </w:pPr>
    </w:p>
    <w:p w:rsidR="005C3F63" w:rsidRDefault="006536E7">
      <w:pPr>
        <w:rPr>
          <w:rFonts w:ascii="Verdana" w:hAnsi="Verdana"/>
          <w:b/>
          <w:sz w:val="22"/>
          <w:lang w:val="uk-UA"/>
        </w:rPr>
      </w:pPr>
      <w:r>
        <w:rPr>
          <w:rFonts w:ascii="Verdana" w:hAnsi="Verdana"/>
          <w:b/>
          <w:sz w:val="22"/>
          <w:lang w:val="uk-UA"/>
        </w:rPr>
        <w:t xml:space="preserve">3 </w:t>
      </w:r>
      <w:r>
        <w:rPr>
          <w:rFonts w:ascii="Verdana" w:hAnsi="Verdana"/>
          <w:b/>
          <w:sz w:val="22"/>
        </w:rPr>
        <w:t>Results</w:t>
      </w:r>
      <w:r>
        <w:rPr>
          <w:rFonts w:ascii="Verdana" w:hAnsi="Verdana"/>
          <w:b/>
          <w:sz w:val="22"/>
          <w:lang w:val="uk-UA"/>
        </w:rPr>
        <w:t xml:space="preserve"> </w:t>
      </w:r>
      <w:r>
        <w:rPr>
          <w:rFonts w:ascii="Verdana" w:hAnsi="Verdana"/>
          <w:b/>
          <w:sz w:val="22"/>
        </w:rPr>
        <w:t>and</w:t>
      </w:r>
      <w:r>
        <w:rPr>
          <w:rFonts w:ascii="Verdana" w:hAnsi="Verdana"/>
          <w:b/>
          <w:sz w:val="22"/>
          <w:lang w:val="uk-UA"/>
        </w:rPr>
        <w:t xml:space="preserve"> </w:t>
      </w:r>
      <w:r>
        <w:rPr>
          <w:rFonts w:ascii="Verdana" w:hAnsi="Verdana"/>
          <w:b/>
          <w:sz w:val="22"/>
        </w:rPr>
        <w:t>Discussion</w:t>
      </w:r>
    </w:p>
    <w:p w:rsidR="005C3F63" w:rsidRDefault="005C3F63">
      <w:pPr>
        <w:rPr>
          <w:rFonts w:ascii="Verdana" w:hAnsi="Verdana"/>
          <w:b/>
          <w:sz w:val="12"/>
          <w:szCs w:val="12"/>
          <w:lang w:val="uk-UA"/>
        </w:rPr>
      </w:pPr>
    </w:p>
    <w:p w:rsidR="005C3F63" w:rsidRDefault="005C3F63">
      <w:pPr>
        <w:ind w:firstLine="709"/>
        <w:rPr>
          <w:rFonts w:ascii="Verdana" w:hAnsi="Verdana"/>
          <w:sz w:val="20"/>
          <w:szCs w:val="20"/>
        </w:rPr>
      </w:pPr>
    </w:p>
    <w:p w:rsidR="005C3F63" w:rsidRDefault="006536E7">
      <w:pPr>
        <w:rPr>
          <w:rFonts w:ascii="Verdana" w:hAnsi="Verdana"/>
          <w:sz w:val="20"/>
          <w:szCs w:val="20"/>
        </w:rPr>
      </w:pPr>
      <w:r>
        <w:rPr>
          <w:rFonts w:ascii="Verdana" w:hAnsi="Verdana"/>
          <w:sz w:val="20"/>
          <w:szCs w:val="20"/>
        </w:rPr>
        <w:t>The Association Agreement between Ukraine and the European Union strengthens ties between the countries, clearly outlines the further vector of economic and social development of Ukraine. The signing of the agreement facilitated the introduction of liberalization of foreign trade through such instruments as currency liberalization, tariff quotas for exports to the EU and more. Ukraine has made additional commitments to harmonize domestic legislation with EU law, including the gradual approximation of accounting and reporting to international standards.</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In July 2009, the IFRS Board issued IFRS for Small and Medium-sized Enterprises (SMEs), which provides a simplified version of accounting procedures, which has reduced the cost of accounting and financial reporting for small and medium-sized businesses. The relevant standard, on the one hand, is based on the principles of the "full set of IFRS", on the other - is adapted to the needs of this category of entities, which is reflected in the simplification of the requirements of the standards.</w:t>
      </w:r>
    </w:p>
    <w:p w:rsidR="005C3F63" w:rsidRDefault="005C3F63">
      <w:pPr>
        <w:rPr>
          <w:rFonts w:ascii="Verdana" w:eastAsiaTheme="minorHAnsi" w:hAnsi="Verdana"/>
          <w:sz w:val="20"/>
          <w:szCs w:val="20"/>
        </w:rPr>
      </w:pPr>
    </w:p>
    <w:p w:rsidR="005C3F63" w:rsidRDefault="006536E7">
      <w:pPr>
        <w:rPr>
          <w:rFonts w:ascii="Verdana" w:eastAsiaTheme="minorHAnsi" w:hAnsi="Verdana"/>
          <w:sz w:val="20"/>
          <w:szCs w:val="20"/>
        </w:rPr>
      </w:pPr>
      <w:r>
        <w:rPr>
          <w:rFonts w:ascii="Verdana" w:eastAsiaTheme="minorHAnsi" w:hAnsi="Verdana"/>
          <w:sz w:val="20"/>
          <w:szCs w:val="20"/>
        </w:rPr>
        <w:t>As at 21 March 2019, IFRS for SMEs are allowed or required in 86 countries (out of 166 surveyed) and used by millions of companies. In Ukraine, there is no procedure for applying IFRS for SMEs (IASB, 2020). According to the Law "On Accounting and Financial Reporting in Ukraine", international standards are used to prepare financial statements, which are set out in the state language and officially published on the website of the central executive body - the Ministry of Finance of Ukraine. The analysis of the information on the website of the Ministry of Finance of Ukraine shows that Ukrainian enterprises belonging to small and medium-sized businesses can prepare financial statements in accordance with IFRS for SMEs. But in fact, small and medium-sized enterprises apply national Accounting Standards (UAS) for accounting.</w:t>
      </w:r>
    </w:p>
    <w:p w:rsidR="005C3F63" w:rsidRDefault="005C3F63">
      <w:pPr>
        <w:rPr>
          <w:rFonts w:ascii="Verdana" w:eastAsiaTheme="minorHAnsi" w:hAnsi="Verdana"/>
          <w:sz w:val="20"/>
          <w:szCs w:val="20"/>
        </w:rPr>
      </w:pPr>
    </w:p>
    <w:p w:rsidR="005C3F63" w:rsidRDefault="006536E7">
      <w:pPr>
        <w:rPr>
          <w:rFonts w:ascii="Verdana" w:eastAsiaTheme="minorHAnsi" w:hAnsi="Verdana"/>
          <w:sz w:val="20"/>
          <w:szCs w:val="20"/>
        </w:rPr>
      </w:pPr>
      <w:r>
        <w:rPr>
          <w:rFonts w:ascii="Verdana" w:eastAsiaTheme="minorHAnsi" w:hAnsi="Verdana"/>
          <w:sz w:val="20"/>
          <w:szCs w:val="20"/>
        </w:rPr>
        <w:t>Ukraine's European path of development involves a process of transposition. In a broad sense, transposition is the procedures of interpretation, application, enforcement and enforcement of rules of law that comply with European law, public authorities. A striking example is the transposition of the provisions of Directive 2013/34/EU into the national legislation of Ukraine, first of all the amendments to the Law of Ukraine “On Accounting and Financial Reporting”. Relevant actions to approximate domestic legislation to the European one were ambiguously perceived by accounting specialists, which necessitates further action on transposition issues.</w:t>
      </w:r>
    </w:p>
    <w:p w:rsidR="005C3F63" w:rsidRDefault="006536E7">
      <w:pPr>
        <w:rPr>
          <w:rFonts w:ascii="Verdana" w:eastAsiaTheme="minorHAnsi" w:hAnsi="Verdana"/>
          <w:sz w:val="20"/>
          <w:szCs w:val="20"/>
        </w:rPr>
      </w:pPr>
      <w:r>
        <w:rPr>
          <w:rFonts w:ascii="Verdana" w:eastAsiaTheme="minorHAnsi" w:hAnsi="Verdana"/>
          <w:sz w:val="20"/>
          <w:szCs w:val="20"/>
        </w:rPr>
        <w:t>There are several approaches to the application of IFRS for SMEs in Ukraine, which are shown in Fig. 1. The choice of method of preparation of IFRS reports depends on the purposes of its further use, the frequency of preparation, financial costs.</w:t>
      </w:r>
    </w:p>
    <w:p w:rsidR="005C3F63" w:rsidRDefault="005C3F63">
      <w:pPr>
        <w:rPr>
          <w:rFonts w:ascii="Verdana" w:eastAsiaTheme="minorHAnsi" w:hAnsi="Verdana"/>
          <w:sz w:val="20"/>
          <w:szCs w:val="20"/>
        </w:rPr>
      </w:pPr>
    </w:p>
    <w:p w:rsidR="005C3F63" w:rsidRDefault="005C3F63">
      <w:pPr>
        <w:rPr>
          <w:rFonts w:ascii="Verdana" w:eastAsiaTheme="minorHAnsi" w:hAnsi="Verdana"/>
          <w:sz w:val="20"/>
          <w:szCs w:val="20"/>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uk-UA" w:eastAsia="en-US"/>
        </w:rPr>
      </w:pPr>
    </w:p>
    <w:p w:rsidR="005C3F63" w:rsidRDefault="006536E7">
      <w:pPr>
        <w:spacing w:after="200" w:line="276" w:lineRule="auto"/>
        <w:jc w:val="center"/>
        <w:rPr>
          <w:rFonts w:ascii="Verdana" w:eastAsiaTheme="minorHAnsi" w:hAnsi="Verdana"/>
          <w:sz w:val="20"/>
          <w:szCs w:val="20"/>
        </w:rPr>
      </w:pPr>
      <w:r>
        <w:rPr>
          <w:rFonts w:ascii="Verdana" w:eastAsiaTheme="minorHAnsi" w:hAnsi="Verdana"/>
          <w:b/>
          <w:sz w:val="20"/>
          <w:szCs w:val="20"/>
        </w:rPr>
        <w:lastRenderedPageBreak/>
        <w:t>Fig.1.</w:t>
      </w:r>
      <w:r>
        <w:rPr>
          <w:rFonts w:ascii="Verdana" w:hAnsi="Verdana"/>
          <w:sz w:val="20"/>
          <w:szCs w:val="18"/>
        </w:rPr>
        <w:t xml:space="preserve"> Approaches to IFRS reporting for SMEs</w:t>
      </w:r>
    </w:p>
    <w:p w:rsidR="005C3F63" w:rsidRDefault="006536E7">
      <w:pPr>
        <w:pStyle w:val="x--------------"/>
        <w:shd w:val="clear" w:color="auto" w:fill="FFFFFF"/>
        <w:spacing w:before="0" w:beforeAutospacing="0" w:after="0" w:afterAutospacing="0"/>
        <w:jc w:val="both"/>
        <w:rPr>
          <w:rFonts w:ascii="Verdana" w:eastAsiaTheme="minorHAnsi" w:hAnsi="Verdana"/>
          <w:sz w:val="20"/>
          <w:szCs w:val="20"/>
          <w:lang w:val="en-US" w:eastAsia="en-US"/>
        </w:rPr>
      </w:pPr>
      <w:r>
        <w:rPr>
          <w:noProof/>
          <w:sz w:val="28"/>
          <w:szCs w:val="28"/>
          <w:lang w:val="uk-UA"/>
        </w:rPr>
        <mc:AlternateContent>
          <mc:Choice Requires="wpg">
            <w:drawing>
              <wp:anchor distT="0" distB="0" distL="114300" distR="114300" simplePos="0" relativeHeight="251811840" behindDoc="0" locked="0" layoutInCell="1" allowOverlap="1">
                <wp:simplePos x="0" y="0"/>
                <wp:positionH relativeFrom="column">
                  <wp:posOffset>-349885</wp:posOffset>
                </wp:positionH>
                <wp:positionV relativeFrom="paragraph">
                  <wp:posOffset>95250</wp:posOffset>
                </wp:positionV>
                <wp:extent cx="6604000" cy="3598545"/>
                <wp:effectExtent l="0" t="0" r="12700" b="8890"/>
                <wp:wrapNone/>
                <wp:docPr id="32" name="Группа 32"/>
                <wp:cNvGraphicFramePr/>
                <a:graphic xmlns:a="http://schemas.openxmlformats.org/drawingml/2006/main">
                  <a:graphicData uri="http://schemas.microsoft.com/office/word/2010/wordprocessingGroup">
                    <wpg:wgp>
                      <wpg:cNvGrpSpPr/>
                      <wpg:grpSpPr>
                        <a:xfrm>
                          <a:off x="0" y="0"/>
                          <a:ext cx="6604000" cy="3598334"/>
                          <a:chOff x="50801" y="0"/>
                          <a:chExt cx="6604455" cy="2940673"/>
                        </a:xfrm>
                      </wpg:grpSpPr>
                      <wps:wsp>
                        <wps:cNvPr id="33" name="Скругленный прямоугольник 33"/>
                        <wps:cNvSpPr/>
                        <wps:spPr>
                          <a:xfrm>
                            <a:off x="2972002" y="21263"/>
                            <a:ext cx="2455503" cy="446405"/>
                          </a:xfrm>
                          <a:prstGeom prst="roundRect">
                            <a:avLst/>
                          </a:prstGeom>
                          <a:ln w="6350"/>
                        </wps:spPr>
                        <wps:style>
                          <a:lnRef idx="2">
                            <a:schemeClr val="dk1"/>
                          </a:lnRef>
                          <a:fillRef idx="1">
                            <a:schemeClr val="lt1"/>
                          </a:fillRef>
                          <a:effectRef idx="0">
                            <a:schemeClr val="dk1"/>
                          </a:effectRef>
                          <a:fontRef idx="minor">
                            <a:schemeClr val="dk1"/>
                          </a:fontRef>
                        </wps:style>
                        <wps:txbx>
                          <w:txbxContent>
                            <w:p w:rsidR="005C3F63" w:rsidRDefault="006536E7">
                              <w:pPr>
                                <w:jc w:val="center"/>
                                <w:rPr>
                                  <w:rFonts w:ascii="Verdana" w:hAnsi="Verdana"/>
                                  <w:b/>
                                  <w:sz w:val="18"/>
                                  <w:szCs w:val="18"/>
                                </w:rPr>
                              </w:pPr>
                              <w:r>
                                <w:rPr>
                                  <w:rFonts w:ascii="Verdana" w:hAnsi="Verdana"/>
                                  <w:b/>
                                  <w:sz w:val="18"/>
                                  <w:szCs w:val="18"/>
                                </w:rPr>
                                <w:t>Conversion</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5" name="Прямоугольник 35"/>
                        <wps:cNvSpPr/>
                        <wps:spPr>
                          <a:xfrm>
                            <a:off x="4284921" y="552893"/>
                            <a:ext cx="1159523" cy="339725"/>
                          </a:xfrm>
                          <a:prstGeom prst="rect">
                            <a:avLst/>
                          </a:prstGeom>
                          <a:ln w="9525"/>
                        </wps:spPr>
                        <wps:style>
                          <a:lnRef idx="2">
                            <a:schemeClr val="dk1"/>
                          </a:lnRef>
                          <a:fillRef idx="1">
                            <a:schemeClr val="lt1"/>
                          </a:fillRef>
                          <a:effectRef idx="0">
                            <a:schemeClr val="dk1"/>
                          </a:effectRef>
                          <a:fontRef idx="minor">
                            <a:schemeClr val="dk1"/>
                          </a:fontRef>
                        </wps:style>
                        <wps:txbx>
                          <w:txbxContent>
                            <w:p w:rsidR="005C3F63" w:rsidRDefault="006536E7">
                              <w:pPr>
                                <w:jc w:val="center"/>
                                <w:rPr>
                                  <w:rFonts w:ascii="Verdana" w:hAnsi="Verdana"/>
                                  <w:b/>
                                  <w:sz w:val="18"/>
                                  <w:szCs w:val="18"/>
                                </w:rPr>
                              </w:pPr>
                              <w:r>
                                <w:rPr>
                                  <w:rFonts w:ascii="Verdana" w:hAnsi="Verdana"/>
                                  <w:b/>
                                  <w:sz w:val="18"/>
                                  <w:szCs w:val="18"/>
                                </w:rPr>
                                <w:t>Transmission</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6" name="Прямоугольник 36"/>
                        <wps:cNvSpPr/>
                        <wps:spPr>
                          <a:xfrm>
                            <a:off x="2972006" y="552893"/>
                            <a:ext cx="1270088" cy="924560"/>
                          </a:xfrm>
                          <a:prstGeom prst="rect">
                            <a:avLst/>
                          </a:prstGeom>
                          <a:ln w="9525"/>
                        </wps:spPr>
                        <wps:style>
                          <a:lnRef idx="2">
                            <a:schemeClr val="dk1"/>
                          </a:lnRef>
                          <a:fillRef idx="1">
                            <a:schemeClr val="lt1"/>
                          </a:fillRef>
                          <a:effectRef idx="0">
                            <a:schemeClr val="dk1"/>
                          </a:effectRef>
                          <a:fontRef idx="minor">
                            <a:schemeClr val="dk1"/>
                          </a:fontRef>
                        </wps:style>
                        <wps:txbx>
                          <w:txbxContent>
                            <w:p w:rsidR="005C3F63" w:rsidRDefault="006536E7">
                              <w:pPr>
                                <w:jc w:val="center"/>
                                <w:rPr>
                                  <w:rFonts w:ascii="Verdana" w:hAnsi="Verdana"/>
                                  <w:b/>
                                  <w:sz w:val="18"/>
                                  <w:szCs w:val="18"/>
                                </w:rPr>
                              </w:pPr>
                              <w:r>
                                <w:rPr>
                                  <w:rFonts w:ascii="Verdana" w:hAnsi="Verdana"/>
                                  <w:b/>
                                  <w:sz w:val="18"/>
                                  <w:szCs w:val="18"/>
                                </w:rPr>
                                <w:t>Full conversion (parallel accounting)</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7" name="Прямоугольник 37"/>
                        <wps:cNvSpPr/>
                        <wps:spPr>
                          <a:xfrm>
                            <a:off x="1509682" y="542195"/>
                            <a:ext cx="1371600" cy="979969"/>
                          </a:xfrm>
                          <a:prstGeom prst="rect">
                            <a:avLst/>
                          </a:prstGeom>
                          <a:ln w="9525"/>
                        </wps:spPr>
                        <wps:style>
                          <a:lnRef idx="2">
                            <a:schemeClr val="dk1"/>
                          </a:lnRef>
                          <a:fillRef idx="1">
                            <a:schemeClr val="lt1"/>
                          </a:fillRef>
                          <a:effectRef idx="0">
                            <a:schemeClr val="dk1"/>
                          </a:effectRef>
                          <a:fontRef idx="minor">
                            <a:schemeClr val="dk1"/>
                          </a:fontRef>
                        </wps:style>
                        <wps:txbx>
                          <w:txbxContent>
                            <w:p w:rsidR="005C3F63" w:rsidRDefault="006536E7">
                              <w:pPr>
                                <w:jc w:val="center"/>
                                <w:rPr>
                                  <w:rFonts w:ascii="Verdana" w:hAnsi="Verdana"/>
                                  <w:b/>
                                  <w:sz w:val="18"/>
                                  <w:szCs w:val="18"/>
                                </w:rPr>
                              </w:pPr>
                              <w:r>
                                <w:rPr>
                                  <w:rFonts w:ascii="Verdana" w:hAnsi="Verdana"/>
                                  <w:b/>
                                  <w:sz w:val="18"/>
                                  <w:szCs w:val="18"/>
                                </w:rPr>
                                <w:t>Full transformation taking into account the requirements for conversion into foreign currency</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8" name="Прямоугольник 38"/>
                        <wps:cNvSpPr/>
                        <wps:spPr>
                          <a:xfrm>
                            <a:off x="50801" y="552893"/>
                            <a:ext cx="1388634" cy="499110"/>
                          </a:xfrm>
                          <a:prstGeom prst="rect">
                            <a:avLst/>
                          </a:prstGeom>
                          <a:ln w="9525"/>
                        </wps:spPr>
                        <wps:style>
                          <a:lnRef idx="2">
                            <a:schemeClr val="dk1"/>
                          </a:lnRef>
                          <a:fillRef idx="1">
                            <a:schemeClr val="lt1"/>
                          </a:fillRef>
                          <a:effectRef idx="0">
                            <a:schemeClr val="dk1"/>
                          </a:effectRef>
                          <a:fontRef idx="minor">
                            <a:schemeClr val="dk1"/>
                          </a:fontRef>
                        </wps:style>
                        <wps:txbx>
                          <w:txbxContent>
                            <w:p w:rsidR="005C3F63" w:rsidRDefault="006536E7">
                              <w:pPr>
                                <w:jc w:val="center"/>
                                <w:rPr>
                                  <w:rFonts w:ascii="Verdana" w:hAnsi="Verdana"/>
                                  <w:b/>
                                  <w:sz w:val="18"/>
                                  <w:szCs w:val="18"/>
                                </w:rPr>
                              </w:pPr>
                              <w:r>
                                <w:rPr>
                                  <w:rFonts w:ascii="Verdana" w:hAnsi="Verdana"/>
                                  <w:b/>
                                  <w:sz w:val="18"/>
                                  <w:szCs w:val="18"/>
                                </w:rPr>
                                <w:t>Full transformation</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9" name="Прямоугольник 39"/>
                        <wps:cNvSpPr/>
                        <wps:spPr>
                          <a:xfrm>
                            <a:off x="4296601" y="901702"/>
                            <a:ext cx="1138555" cy="2038971"/>
                          </a:xfrm>
                          <a:prstGeom prst="rect">
                            <a:avLst/>
                          </a:prstGeom>
                          <a:ln w="9525"/>
                        </wps:spPr>
                        <wps:style>
                          <a:lnRef idx="2">
                            <a:schemeClr val="dk1"/>
                          </a:lnRef>
                          <a:fillRef idx="1">
                            <a:schemeClr val="lt1"/>
                          </a:fillRef>
                          <a:effectRef idx="0">
                            <a:schemeClr val="dk1"/>
                          </a:effectRef>
                          <a:fontRef idx="minor">
                            <a:schemeClr val="dk1"/>
                          </a:fontRef>
                        </wps:style>
                        <wps:txbx>
                          <w:txbxContent>
                            <w:p w:rsidR="005C3F63" w:rsidRDefault="006536E7">
                              <w:pPr>
                                <w:jc w:val="center"/>
                                <w:rPr>
                                  <w:rFonts w:ascii="Verdana" w:hAnsi="Verdana"/>
                                  <w:sz w:val="18"/>
                                  <w:szCs w:val="18"/>
                                </w:rPr>
                              </w:pPr>
                              <w:r>
                                <w:rPr>
                                  <w:rFonts w:ascii="Verdana" w:hAnsi="Verdana"/>
                                  <w:sz w:val="18"/>
                                  <w:szCs w:val="18"/>
                                </w:rPr>
                                <w:t>Automated process of data transfer to a separate accounting register with automatic adjustment and reporting in accordance with IFRS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40" name="Прямоугольник 40"/>
                        <wps:cNvSpPr/>
                        <wps:spPr>
                          <a:xfrm>
                            <a:off x="59272" y="1055652"/>
                            <a:ext cx="1371695" cy="1878102"/>
                          </a:xfrm>
                          <a:prstGeom prst="rect">
                            <a:avLst/>
                          </a:prstGeom>
                          <a:ln w="9525"/>
                        </wps:spPr>
                        <wps:style>
                          <a:lnRef idx="2">
                            <a:schemeClr val="dk1"/>
                          </a:lnRef>
                          <a:fillRef idx="1">
                            <a:schemeClr val="lt1"/>
                          </a:fillRef>
                          <a:effectRef idx="0">
                            <a:schemeClr val="dk1"/>
                          </a:effectRef>
                          <a:fontRef idx="minor">
                            <a:schemeClr val="dk1"/>
                          </a:fontRef>
                        </wps:style>
                        <wps:txbx>
                          <w:txbxContent>
                            <w:p w:rsidR="005C3F63" w:rsidRDefault="006536E7">
                              <w:pPr>
                                <w:jc w:val="center"/>
                                <w:rPr>
                                  <w:rFonts w:ascii="Verdana" w:hAnsi="Verdana"/>
                                  <w:sz w:val="18"/>
                                  <w:szCs w:val="18"/>
                                </w:rPr>
                              </w:pPr>
                              <w:r>
                                <w:rPr>
                                  <w:rFonts w:ascii="Verdana" w:hAnsi="Verdana"/>
                                  <w:sz w:val="18"/>
                                  <w:szCs w:val="18"/>
                                </w:rPr>
                                <w:t>Transfer of accounting data at the end of the period by reclassifying reporting items or business transactions and making adjustments in accordance with IFRS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41" name="Прямоугольник 41"/>
                        <wps:cNvSpPr/>
                        <wps:spPr>
                          <a:xfrm>
                            <a:off x="2980186" y="1482470"/>
                            <a:ext cx="1258588" cy="1458202"/>
                          </a:xfrm>
                          <a:prstGeom prst="rect">
                            <a:avLst/>
                          </a:prstGeom>
                          <a:ln w="9525"/>
                        </wps:spPr>
                        <wps:style>
                          <a:lnRef idx="2">
                            <a:schemeClr val="dk1"/>
                          </a:lnRef>
                          <a:fillRef idx="1">
                            <a:schemeClr val="lt1"/>
                          </a:fillRef>
                          <a:effectRef idx="0">
                            <a:schemeClr val="dk1"/>
                          </a:effectRef>
                          <a:fontRef idx="minor">
                            <a:schemeClr val="dk1"/>
                          </a:fontRef>
                        </wps:style>
                        <wps:txbx>
                          <w:txbxContent>
                            <w:p w:rsidR="005C3F63" w:rsidRDefault="006536E7">
                              <w:pPr>
                                <w:jc w:val="center"/>
                                <w:rPr>
                                  <w:rFonts w:ascii="Verdana" w:hAnsi="Verdana"/>
                                  <w:sz w:val="18"/>
                                  <w:szCs w:val="18"/>
                                </w:rPr>
                              </w:pPr>
                              <w:r>
                                <w:rPr>
                                  <w:rFonts w:ascii="Verdana" w:hAnsi="Verdana"/>
                                  <w:sz w:val="18"/>
                                  <w:szCs w:val="18"/>
                                </w:rPr>
                                <w:t>Maintaining by the specialist on the account of two databases of the financial reporting: Ukrainian and international</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42" name="Прямоугольник 42"/>
                        <wps:cNvSpPr/>
                        <wps:spPr>
                          <a:xfrm>
                            <a:off x="1509714" y="1520265"/>
                            <a:ext cx="1371600" cy="1420408"/>
                          </a:xfrm>
                          <a:prstGeom prst="rect">
                            <a:avLst/>
                          </a:prstGeom>
                          <a:ln w="9525"/>
                        </wps:spPr>
                        <wps:style>
                          <a:lnRef idx="2">
                            <a:schemeClr val="dk1"/>
                          </a:lnRef>
                          <a:fillRef idx="1">
                            <a:schemeClr val="lt1"/>
                          </a:fillRef>
                          <a:effectRef idx="0">
                            <a:schemeClr val="dk1"/>
                          </a:effectRef>
                          <a:fontRef idx="minor">
                            <a:schemeClr val="dk1"/>
                          </a:fontRef>
                        </wps:style>
                        <wps:txbx>
                          <w:txbxContent>
                            <w:p w:rsidR="005C3F63" w:rsidRDefault="006536E7">
                              <w:pPr>
                                <w:jc w:val="center"/>
                                <w:rPr>
                                  <w:rFonts w:ascii="Verdana" w:hAnsi="Verdana"/>
                                  <w:sz w:val="18"/>
                                  <w:szCs w:val="18"/>
                                </w:rPr>
                              </w:pPr>
                              <w:r>
                                <w:rPr>
                                  <w:rFonts w:ascii="Verdana" w:hAnsi="Verdana"/>
                                  <w:sz w:val="18"/>
                                  <w:szCs w:val="18"/>
                                </w:rPr>
                                <w:t>Bringing accounting data for UAS at the end of the period to the requirements of IFRS with additional conversion into foreign currency</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43" name="Скругленный прямоугольник 43"/>
                        <wps:cNvSpPr/>
                        <wps:spPr>
                          <a:xfrm>
                            <a:off x="84670" y="0"/>
                            <a:ext cx="2785725" cy="446405"/>
                          </a:xfrm>
                          <a:prstGeom prst="roundRect">
                            <a:avLst/>
                          </a:prstGeom>
                          <a:ln w="6350"/>
                        </wps:spPr>
                        <wps:style>
                          <a:lnRef idx="2">
                            <a:schemeClr val="dk1"/>
                          </a:lnRef>
                          <a:fillRef idx="1">
                            <a:schemeClr val="lt1"/>
                          </a:fillRef>
                          <a:effectRef idx="0">
                            <a:schemeClr val="dk1"/>
                          </a:effectRef>
                          <a:fontRef idx="minor">
                            <a:schemeClr val="dk1"/>
                          </a:fontRef>
                        </wps:style>
                        <wps:txbx>
                          <w:txbxContent>
                            <w:p w:rsidR="005C3F63" w:rsidRDefault="006536E7">
                              <w:pPr>
                                <w:jc w:val="center"/>
                                <w:rPr>
                                  <w:rFonts w:ascii="Verdana" w:hAnsi="Verdana"/>
                                  <w:b/>
                                  <w:sz w:val="18"/>
                                  <w:szCs w:val="18"/>
                                </w:rPr>
                              </w:pPr>
                              <w:r>
                                <w:rPr>
                                  <w:rFonts w:ascii="Verdana" w:hAnsi="Verdana"/>
                                  <w:b/>
                                  <w:sz w:val="18"/>
                                  <w:szCs w:val="18"/>
                                </w:rPr>
                                <w:t>Transformation</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44" name="Скругленный прямоугольник 44"/>
                        <wps:cNvSpPr/>
                        <wps:spPr>
                          <a:xfrm>
                            <a:off x="5469841" y="31894"/>
                            <a:ext cx="1163823" cy="435773"/>
                          </a:xfrm>
                          <a:prstGeom prst="roundRect">
                            <a:avLst/>
                          </a:prstGeom>
                          <a:ln w="6350"/>
                        </wps:spPr>
                        <wps:style>
                          <a:lnRef idx="2">
                            <a:schemeClr val="dk1"/>
                          </a:lnRef>
                          <a:fillRef idx="1">
                            <a:schemeClr val="lt1"/>
                          </a:fillRef>
                          <a:effectRef idx="0">
                            <a:schemeClr val="dk1"/>
                          </a:effectRef>
                          <a:fontRef idx="minor">
                            <a:schemeClr val="dk1"/>
                          </a:fontRef>
                        </wps:style>
                        <wps:txbx>
                          <w:txbxContent>
                            <w:p w:rsidR="005C3F63" w:rsidRDefault="006536E7">
                              <w:pPr>
                                <w:jc w:val="center"/>
                                <w:rPr>
                                  <w:rFonts w:ascii="Verdana" w:hAnsi="Verdana"/>
                                  <w:b/>
                                  <w:sz w:val="18"/>
                                  <w:szCs w:val="18"/>
                                </w:rPr>
                              </w:pPr>
                              <w:r>
                                <w:rPr>
                                  <w:rFonts w:ascii="Verdana" w:hAnsi="Verdana"/>
                                  <w:b/>
                                  <w:sz w:val="18"/>
                                  <w:szCs w:val="18"/>
                                </w:rPr>
                                <w:t>Outsourcing</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46" name="Прямоугольник 46"/>
                        <wps:cNvSpPr/>
                        <wps:spPr>
                          <a:xfrm>
                            <a:off x="5503711" y="559872"/>
                            <a:ext cx="1151545" cy="2380600"/>
                          </a:xfrm>
                          <a:prstGeom prst="rect">
                            <a:avLst/>
                          </a:prstGeom>
                          <a:ln w="9525"/>
                        </wps:spPr>
                        <wps:style>
                          <a:lnRef idx="2">
                            <a:schemeClr val="dk1"/>
                          </a:lnRef>
                          <a:fillRef idx="1">
                            <a:schemeClr val="lt1"/>
                          </a:fillRef>
                          <a:effectRef idx="0">
                            <a:schemeClr val="dk1"/>
                          </a:effectRef>
                          <a:fontRef idx="minor">
                            <a:schemeClr val="dk1"/>
                          </a:fontRef>
                        </wps:style>
                        <wps:txbx>
                          <w:txbxContent>
                            <w:p w:rsidR="005C3F63" w:rsidRDefault="006536E7">
                              <w:pPr>
                                <w:jc w:val="center"/>
                                <w:rPr>
                                  <w:rFonts w:ascii="Verdana" w:hAnsi="Verdana"/>
                                  <w:sz w:val="18"/>
                                  <w:szCs w:val="18"/>
                                </w:rPr>
                              </w:pPr>
                              <w:r>
                                <w:rPr>
                                  <w:rFonts w:ascii="Verdana" w:hAnsi="Verdana"/>
                                  <w:sz w:val="18"/>
                                  <w:szCs w:val="18"/>
                                </w:rPr>
                                <w:t>Accounting and / or IFRS reporting</w:t>
                              </w:r>
                            </w:p>
                            <w:p w:rsidR="005C3F63" w:rsidRDefault="006536E7">
                              <w:pPr>
                                <w:jc w:val="center"/>
                                <w:rPr>
                                  <w:rFonts w:ascii="Verdana" w:hAnsi="Verdana"/>
                                  <w:sz w:val="18"/>
                                  <w:szCs w:val="18"/>
                                </w:rPr>
                              </w:pPr>
                              <w:r>
                                <w:rPr>
                                  <w:rFonts w:ascii="Verdana" w:hAnsi="Verdana"/>
                                  <w:sz w:val="18"/>
                                  <w:szCs w:val="18"/>
                                </w:rPr>
                                <w:t>a third-party specialized organization</w:t>
                              </w:r>
                            </w:p>
                            <w:p w:rsidR="005C3F63" w:rsidRDefault="006536E7">
                              <w:pPr>
                                <w:jc w:val="center"/>
                                <w:rPr>
                                  <w:rFonts w:ascii="Verdana" w:hAnsi="Verdana"/>
                                  <w:sz w:val="18"/>
                                  <w:szCs w:val="18"/>
                                </w:rPr>
                              </w:pPr>
                              <w:r>
                                <w:rPr>
                                  <w:rFonts w:ascii="Verdana" w:hAnsi="Verdana"/>
                                  <w:sz w:val="18"/>
                                  <w:szCs w:val="18"/>
                                </w:rPr>
                                <w:t>(transformation, conversion)</w:t>
                              </w:r>
                            </w:p>
                            <w:p w:rsidR="005C3F63" w:rsidRDefault="005C3F63">
                              <w:pPr>
                                <w:jc w:val="center"/>
                                <w:rPr>
                                  <w:rFonts w:ascii="Verdana" w:hAnsi="Verdana"/>
                                  <w:sz w:val="18"/>
                                  <w:szCs w:val="18"/>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psCustomData="http://www.wps.cn/officeDocument/2013/wpsCustomData" xmlns:w16se="http://schemas.microsoft.com/office/word/2015/wordml/symex" xmlns:w15="http://schemas.microsoft.com/office/word/2012/wordml" xmlns:cx1="http://schemas.microsoft.com/office/drawing/2015/9/8/chartex" xmlns:cx="http://schemas.microsoft.com/office/drawing/2014/chartex">
            <w:pict>
              <v:group id="Группа 32" o:spid="_x0000_s1026" o:spt="203" style="position:absolute;left:0pt;margin-left:-27.55pt;margin-top:7.5pt;height:283.35pt;width:520pt;z-index:251811840;mso-width-relative:page;mso-height-relative:page;" coordorigin="50801,0" coordsize="6604455,2940673" o:gfxdata="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">
                <o:lock v:ext="edit" aspectratio="f"/>
                <v:roundrect id="Скругленный прямоугольник 33" o:spid="_x0000_s1026" o:spt="2" style="position:absolute;left:2972002;top:21263;height:446405;width:2455503;v-text-anchor:middle;" fillcolor="#FFFFFF [3201]" filled="t" stroked="t" coordsize="21600,21600" arcsize="0.166666666666667" o:gfxdata="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0YlNC8AAAA&#10;2wAAAA8AAAAAAAAAAQAgAAAAIgAAAGRycy9kb3ducmV2LnhtbFBLAQIUABQAAAAIAIdO4kAzLwWe&#10;OwAAADkAAAAQAAAAAAAAAAEAIAAAAAsBAABkcnMvc2hhcGV4bWwueG1sUEsFBgAAAAAGAAYAWwEA&#10;ALUDAAAAAA==&#10;">
                  <v:fill on="t" focussize="0,0"/>
                  <v:stroke weight="0.5pt" color="#000000 [3200]" joinstyle="round"/>
                  <v:imagedata o:title=""/>
                  <o:lock v:ext="edit" aspectratio="f"/>
                  <v:textbox>
                    <w:txbxContent>
                      <w:p>
                        <w:pPr>
                          <w:jc w:val="center"/>
                          <w:rPr>
                            <w:rFonts w:ascii="Verdana" w:hAnsi="Verdana"/>
                            <w:b/>
                            <w:sz w:val="18"/>
                            <w:szCs w:val="18"/>
                          </w:rPr>
                        </w:pPr>
                        <w:r>
                          <w:rPr>
                            <w:rFonts w:ascii="Verdana" w:hAnsi="Verdana"/>
                            <w:b/>
                            <w:sz w:val="18"/>
                            <w:szCs w:val="18"/>
                          </w:rPr>
                          <w:t>Conversion</w:t>
                        </w:r>
                      </w:p>
                    </w:txbxContent>
                  </v:textbox>
                </v:roundrect>
                <v:rect id="Прямоугольник 35" o:spid="_x0000_s1026" o:spt="1" style="position:absolute;left:4284921;top:552893;height:339725;width:1159523;v-text-anchor:middle;" fillcolor="#FFFFFF [3201]" filled="t" stroked="t" coordsize="21600,21600" o:gfxdata="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mNtL74A&#10;AADbAAAADwAAAAAAAAABACAAAAAiAAAAZHJzL2Rvd25yZXYueG1sUEsBAhQAFAAAAAgAh07iQDMv&#10;BZ47AAAAOQAAABAAAAAAAAAAAQAgAAAADQEAAGRycy9zaGFwZXhtbC54bWxQSwUGAAAAAAYABgBb&#10;AQAAtwMAAAAA&#10;">
                  <v:fill on="t" focussize="0,0"/>
                  <v:stroke color="#000000 [3200]" joinstyle="round"/>
                  <v:imagedata o:title=""/>
                  <o:lock v:ext="edit" aspectratio="f"/>
                  <v:textbox>
                    <w:txbxContent>
                      <w:p>
                        <w:pPr>
                          <w:jc w:val="center"/>
                          <w:rPr>
                            <w:rFonts w:ascii="Verdana" w:hAnsi="Verdana"/>
                            <w:b/>
                            <w:sz w:val="18"/>
                            <w:szCs w:val="18"/>
                          </w:rPr>
                        </w:pPr>
                        <w:r>
                          <w:rPr>
                            <w:rFonts w:ascii="Verdana" w:hAnsi="Verdana"/>
                            <w:b/>
                            <w:sz w:val="18"/>
                            <w:szCs w:val="18"/>
                          </w:rPr>
                          <w:t>Transmission</w:t>
                        </w:r>
                      </w:p>
                    </w:txbxContent>
                  </v:textbox>
                </v:rect>
                <v:rect id="Прямоугольник 36" o:spid="_x0000_s1026" o:spt="1" style="position:absolute;left:2972006;top:552893;height:924560;width:1270088;v-text-anchor:middle;" fillcolor="#FFFFFF [3201]" filled="t" stroked="t" coordsize="21600,21600" o:gfxdata="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rHzWL4A&#10;AADbAAAADwAAAAAAAAABACAAAAAiAAAAZHJzL2Rvd25yZXYueG1sUEsBAhQAFAAAAAgAh07iQDMv&#10;BZ47AAAAOQAAABAAAAAAAAAAAQAgAAAADQEAAGRycy9zaGFwZXhtbC54bWxQSwUGAAAAAAYABgBb&#10;AQAAtwMAAAAA&#10;">
                  <v:fill on="t" focussize="0,0"/>
                  <v:stroke color="#000000 [3200]" joinstyle="round"/>
                  <v:imagedata o:title=""/>
                  <o:lock v:ext="edit" aspectratio="f"/>
                  <v:textbox>
                    <w:txbxContent>
                      <w:p>
                        <w:pPr>
                          <w:jc w:val="center"/>
                          <w:rPr>
                            <w:rFonts w:ascii="Verdana" w:hAnsi="Verdana"/>
                            <w:b/>
                            <w:sz w:val="18"/>
                            <w:szCs w:val="18"/>
                          </w:rPr>
                        </w:pPr>
                        <w:r>
                          <w:rPr>
                            <w:rFonts w:ascii="Verdana" w:hAnsi="Verdana"/>
                            <w:b/>
                            <w:sz w:val="18"/>
                            <w:szCs w:val="18"/>
                          </w:rPr>
                          <w:t>Full conversion (parallel accounting)</w:t>
                        </w:r>
                      </w:p>
                    </w:txbxContent>
                  </v:textbox>
                </v:rect>
                <v:rect id="Прямоугольник 37" o:spid="_x0000_s1026" o:spt="1" style="position:absolute;left:1509682;top:542195;height:979969;width:1371600;v-text-anchor:middle;" fillcolor="#FFFFFF [3201]" filled="t" stroked="t" coordsize="21600,21600" o:gfxdata="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f1Ww74A&#10;AADbAAAADwAAAAAAAAABACAAAAAiAAAAZHJzL2Rvd25yZXYueG1sUEsBAhQAFAAAAAgAh07iQDMv&#10;BZ47AAAAOQAAABAAAAAAAAAAAQAgAAAADQEAAGRycy9zaGFwZXhtbC54bWxQSwUGAAAAAAYABgBb&#10;AQAAtwMAAAAA&#10;">
                  <v:fill on="t" focussize="0,0"/>
                  <v:stroke color="#000000 [3200]" joinstyle="round"/>
                  <v:imagedata o:title=""/>
                  <o:lock v:ext="edit" aspectratio="f"/>
                  <v:textbox>
                    <w:txbxContent>
                      <w:p>
                        <w:pPr>
                          <w:jc w:val="center"/>
                          <w:rPr>
                            <w:rFonts w:ascii="Verdana" w:hAnsi="Verdana"/>
                            <w:b/>
                            <w:sz w:val="18"/>
                            <w:szCs w:val="18"/>
                          </w:rPr>
                        </w:pPr>
                        <w:r>
                          <w:rPr>
                            <w:rFonts w:ascii="Verdana" w:hAnsi="Verdana"/>
                            <w:b/>
                            <w:sz w:val="18"/>
                            <w:szCs w:val="18"/>
                          </w:rPr>
                          <w:t>Full transformation taking into account the requirements for conversion into foreign currency</w:t>
                        </w:r>
                      </w:p>
                    </w:txbxContent>
                  </v:textbox>
                </v:rect>
                <v:rect id="Прямоугольник 38" o:spid="_x0000_s1026" o:spt="1" style="position:absolute;left:50801;top:552893;height:499110;width:1388634;v-text-anchor:middle;" fillcolor="#FFFFFF [3201]" filled="t" stroked="t" coordsize="21600,21600" o:gfxdata="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GLCsbsAAADb&#10;AAAADwAAAAAAAAABACAAAAAiAAAAZHJzL2Rvd25yZXYueG1sUEsBAhQAFAAAAAgAh07iQDMvBZ47&#10;AAAAOQAAABAAAAAAAAAAAQAgAAAACgEAAGRycy9zaGFwZXhtbC54bWxQSwUGAAAAAAYABgBbAQAA&#10;tAMAAAAA&#10;">
                  <v:fill on="t" focussize="0,0"/>
                  <v:stroke color="#000000 [3200]" joinstyle="round"/>
                  <v:imagedata o:title=""/>
                  <o:lock v:ext="edit" aspectratio="f"/>
                  <v:textbox>
                    <w:txbxContent>
                      <w:p>
                        <w:pPr>
                          <w:jc w:val="center"/>
                          <w:rPr>
                            <w:rFonts w:ascii="Verdana" w:hAnsi="Verdana"/>
                            <w:b/>
                            <w:sz w:val="18"/>
                            <w:szCs w:val="18"/>
                          </w:rPr>
                        </w:pPr>
                        <w:r>
                          <w:rPr>
                            <w:rFonts w:ascii="Verdana" w:hAnsi="Verdana"/>
                            <w:b/>
                            <w:sz w:val="18"/>
                            <w:szCs w:val="18"/>
                          </w:rPr>
                          <w:t>Full transformation</w:t>
                        </w:r>
                      </w:p>
                    </w:txbxContent>
                  </v:textbox>
                </v:rect>
                <v:rect id="Прямоугольник 39" o:spid="_x0000_s1026" o:spt="1" style="position:absolute;left:4296601;top:901702;height:2038971;width:1138555;v-text-anchor:middle;" fillcolor="#FFFFFF [3201]" filled="t" stroked="t" coordsize="21600,21600" o:gfxdata="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y5nKr4A&#10;AADbAAAADwAAAAAAAAABACAAAAAiAAAAZHJzL2Rvd25yZXYueG1sUEsBAhQAFAAAAAgAh07iQDMv&#10;BZ47AAAAOQAAABAAAAAAAAAAAQAgAAAADQEAAGRycy9zaGFwZXhtbC54bWxQSwUGAAAAAAYABgBb&#10;AQAAtwMAAAAA&#10;">
                  <v:fill on="t" focussize="0,0"/>
                  <v:stroke color="#000000 [3200]" joinstyle="round"/>
                  <v:imagedata o:title=""/>
                  <o:lock v:ext="edit" aspectratio="f"/>
                  <v:textbox>
                    <w:txbxContent>
                      <w:p>
                        <w:pPr>
                          <w:jc w:val="center"/>
                          <w:rPr>
                            <w:rFonts w:ascii="Verdana" w:hAnsi="Verdana"/>
                            <w:sz w:val="18"/>
                            <w:szCs w:val="18"/>
                          </w:rPr>
                        </w:pPr>
                        <w:r>
                          <w:rPr>
                            <w:rFonts w:ascii="Verdana" w:hAnsi="Verdana"/>
                            <w:sz w:val="18"/>
                            <w:szCs w:val="18"/>
                          </w:rPr>
                          <w:t>Automated process of data transfer to a separate accounting register with automatic adjustment and reporting in accordance with IFRS</w:t>
                        </w:r>
                      </w:p>
                    </w:txbxContent>
                  </v:textbox>
                </v:rect>
                <v:rect id="Прямоугольник 40" o:spid="_x0000_s1026" o:spt="1" style="position:absolute;left:59272;top:1055652;height:1878102;width:1371695;v-text-anchor:middle;" fillcolor="#FFFFFF [3201]" filled="t" stroked="t" coordsize="21600,21600" o:gfxdata="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hK9yrsAAADb&#10;AAAADwAAAAAAAAABACAAAAAiAAAAZHJzL2Rvd25yZXYueG1sUEsBAhQAFAAAAAgAh07iQDMvBZ47&#10;AAAAOQAAABAAAAAAAAAAAQAgAAAACgEAAGRycy9zaGFwZXhtbC54bWxQSwUGAAAAAAYABgBbAQAA&#10;tAMAAAAA&#10;">
                  <v:fill on="t" focussize="0,0"/>
                  <v:stroke color="#000000 [3200]" joinstyle="round"/>
                  <v:imagedata o:title=""/>
                  <o:lock v:ext="edit" aspectratio="f"/>
                  <v:textbox>
                    <w:txbxContent>
                      <w:p>
                        <w:pPr>
                          <w:jc w:val="center"/>
                          <w:rPr>
                            <w:rFonts w:ascii="Verdana" w:hAnsi="Verdana"/>
                            <w:sz w:val="18"/>
                            <w:szCs w:val="18"/>
                          </w:rPr>
                        </w:pPr>
                        <w:r>
                          <w:rPr>
                            <w:rFonts w:ascii="Verdana" w:hAnsi="Verdana"/>
                            <w:sz w:val="18"/>
                            <w:szCs w:val="18"/>
                          </w:rPr>
                          <w:t>Transfer of accounting data at the end of the period by reclassifying reporting items or business transactions and making adjustments in accordance with IFRS</w:t>
                        </w:r>
                      </w:p>
                    </w:txbxContent>
                  </v:textbox>
                </v:rect>
                <v:rect id="Прямоугольник 41" o:spid="_x0000_s1026" o:spt="1" style="position:absolute;left:2980186;top:1482470;height:1458202;width:1258588;v-text-anchor:middle;" fillcolor="#FFFFFF [3201]" filled="t" stroked="t" coordsize="21600,21600" o:gfxdata="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V4YUb4A&#10;AADbAAAADwAAAAAAAAABACAAAAAiAAAAZHJzL2Rvd25yZXYueG1sUEsBAhQAFAAAAAgAh07iQDMv&#10;BZ47AAAAOQAAABAAAAAAAAAAAQAgAAAADQEAAGRycy9zaGFwZXhtbC54bWxQSwUGAAAAAAYABgBb&#10;AQAAtwMAAAAA&#10;">
                  <v:fill on="t" focussize="0,0"/>
                  <v:stroke color="#000000 [3200]" joinstyle="round"/>
                  <v:imagedata o:title=""/>
                  <o:lock v:ext="edit" aspectratio="f"/>
                  <v:textbox>
                    <w:txbxContent>
                      <w:p>
                        <w:pPr>
                          <w:jc w:val="center"/>
                          <w:rPr>
                            <w:rFonts w:ascii="Verdana" w:hAnsi="Verdana"/>
                            <w:sz w:val="18"/>
                            <w:szCs w:val="18"/>
                          </w:rPr>
                        </w:pPr>
                        <w:r>
                          <w:rPr>
                            <w:rFonts w:ascii="Verdana" w:hAnsi="Verdana"/>
                            <w:sz w:val="18"/>
                            <w:szCs w:val="18"/>
                          </w:rPr>
                          <w:t>Maintaining by the specialist on the account of two databases of the financial reporting: Ukrainian and international</w:t>
                        </w:r>
                      </w:p>
                    </w:txbxContent>
                  </v:textbox>
                </v:rect>
                <v:rect id="Прямоугольник 42" o:spid="_x0000_s1026" o:spt="1" style="position:absolute;left:1509714;top:1520265;height:1420408;width:1371600;v-text-anchor:middle;" fillcolor="#FFFFFF [3201]" filled="t" stroked="t" coordsize="21600,21600" o:gfxdata="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YyGJr4A&#10;AADbAAAADwAAAAAAAAABACAAAAAiAAAAZHJzL2Rvd25yZXYueG1sUEsBAhQAFAAAAAgAh07iQDMv&#10;BZ47AAAAOQAAABAAAAAAAAAAAQAgAAAADQEAAGRycy9zaGFwZXhtbC54bWxQSwUGAAAAAAYABgBb&#10;AQAAtwMAAAAA&#10;">
                  <v:fill on="t" focussize="0,0"/>
                  <v:stroke color="#000000 [3200]" joinstyle="round"/>
                  <v:imagedata o:title=""/>
                  <o:lock v:ext="edit" aspectratio="f"/>
                  <v:textbox>
                    <w:txbxContent>
                      <w:p>
                        <w:pPr>
                          <w:jc w:val="center"/>
                          <w:rPr>
                            <w:rFonts w:ascii="Verdana" w:hAnsi="Verdana"/>
                            <w:sz w:val="18"/>
                            <w:szCs w:val="18"/>
                          </w:rPr>
                        </w:pPr>
                        <w:r>
                          <w:rPr>
                            <w:rFonts w:ascii="Verdana" w:hAnsi="Verdana"/>
                            <w:sz w:val="18"/>
                            <w:szCs w:val="18"/>
                          </w:rPr>
                          <w:t>Bringing accounting data for UAS at the end of the period to the requirements of IFRS with additional conversion into foreign currency</w:t>
                        </w:r>
                      </w:p>
                    </w:txbxContent>
                  </v:textbox>
                </v:rect>
                <v:roundrect id="Скругленный прямоугольник 43" o:spid="_x0000_s1026" o:spt="2" style="position:absolute;left:84670;top:0;height:446405;width:2785725;v-text-anchor:middle;" fillcolor="#FFFFFF [3201]" filled="t" stroked="t" coordsize="21600,21600" arcsize="0.166666666666667" o:gfxdata="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R7nrbsAAADb&#10;AAAADwAAAAAAAAABACAAAAAiAAAAZHJzL2Rvd25yZXYueG1sUEsBAhQAFAAAAAgAh07iQDMvBZ47&#10;AAAAOQAAABAAAAAAAAAAAQAgAAAACgEAAGRycy9zaGFwZXhtbC54bWxQSwUGAAAAAAYABgBbAQAA&#10;tAMAAAAA&#10;">
                  <v:fill on="t" focussize="0,0"/>
                  <v:stroke weight="0.5pt" color="#000000 [3200]" joinstyle="round"/>
                  <v:imagedata o:title=""/>
                  <o:lock v:ext="edit" aspectratio="f"/>
                  <v:textbox>
                    <w:txbxContent>
                      <w:p>
                        <w:pPr>
                          <w:jc w:val="center"/>
                          <w:rPr>
                            <w:rFonts w:ascii="Verdana" w:hAnsi="Verdana"/>
                            <w:b/>
                            <w:sz w:val="18"/>
                            <w:szCs w:val="18"/>
                          </w:rPr>
                        </w:pPr>
                        <w:r>
                          <w:rPr>
                            <w:rFonts w:ascii="Verdana" w:hAnsi="Verdana"/>
                            <w:b/>
                            <w:sz w:val="18"/>
                            <w:szCs w:val="18"/>
                          </w:rPr>
                          <w:t>Transformation</w:t>
                        </w:r>
                      </w:p>
                    </w:txbxContent>
                  </v:textbox>
                </v:roundrect>
                <v:roundrect id="Скругленный прямоугольник 44" o:spid="_x0000_s1026" o:spt="2" style="position:absolute;left:5469841;top:31894;height:435773;width:1163823;v-text-anchor:middle;" fillcolor="#FFFFFF [3201]" filled="t" stroked="t" coordsize="21600,21600" arcsize="0.166666666666667" o:gfxdata="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r3f9m8AAAA&#10;2wAAAA8AAAAAAAAAAQAgAAAAIgAAAGRycy9kb3ducmV2LnhtbFBLAQIUABQAAAAIAIdO4kAzLwWe&#10;OwAAADkAAAAQAAAAAAAAAAEAIAAAAAsBAABkcnMvc2hhcGV4bWwueG1sUEsFBgAAAAAGAAYAWwEA&#10;ALUDAAAAAA==&#10;">
                  <v:fill on="t" focussize="0,0"/>
                  <v:stroke weight="0.5pt" color="#000000 [3200]" joinstyle="round"/>
                  <v:imagedata o:title=""/>
                  <o:lock v:ext="edit" aspectratio="f"/>
                  <v:textbox>
                    <w:txbxContent>
                      <w:p>
                        <w:pPr>
                          <w:jc w:val="center"/>
                          <w:rPr>
                            <w:rFonts w:ascii="Verdana" w:hAnsi="Verdana"/>
                            <w:b/>
                            <w:sz w:val="18"/>
                            <w:szCs w:val="18"/>
                          </w:rPr>
                        </w:pPr>
                        <w:r>
                          <w:rPr>
                            <w:rFonts w:ascii="Verdana" w:hAnsi="Verdana"/>
                            <w:b/>
                            <w:sz w:val="18"/>
                            <w:szCs w:val="18"/>
                          </w:rPr>
                          <w:t>Outsourcing</w:t>
                        </w:r>
                      </w:p>
                    </w:txbxContent>
                  </v:textbox>
                </v:roundrect>
                <v:rect id="Прямоугольник 46" o:spid="_x0000_s1026" o:spt="1" style="position:absolute;left:5503711;top:559872;height:2380600;width:1151545;v-text-anchor:middle;" fillcolor="#FFFFFF [3201]" filled="t" stroked="t" coordsize="21600,21600" o:gfxdata="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reAJb4A&#10;AADbAAAADwAAAAAAAAABACAAAAAiAAAAZHJzL2Rvd25yZXYueG1sUEsBAhQAFAAAAAgAh07iQDMv&#10;BZ47AAAAOQAAABAAAAAAAAAAAQAgAAAADQEAAGRycy9zaGFwZXhtbC54bWxQSwUGAAAAAAYABgBb&#10;AQAAtwMAAAAA&#10;">
                  <v:fill on="t" focussize="0,0"/>
                  <v:stroke color="#000000 [3200]" joinstyle="round"/>
                  <v:imagedata o:title=""/>
                  <o:lock v:ext="edit" aspectratio="f"/>
                  <v:textbox>
                    <w:txbxContent>
                      <w:p>
                        <w:pPr>
                          <w:jc w:val="center"/>
                          <w:rPr>
                            <w:rFonts w:ascii="Verdana" w:hAnsi="Verdana"/>
                            <w:sz w:val="18"/>
                            <w:szCs w:val="18"/>
                          </w:rPr>
                        </w:pPr>
                        <w:r>
                          <w:rPr>
                            <w:rFonts w:ascii="Verdana" w:hAnsi="Verdana"/>
                            <w:sz w:val="18"/>
                            <w:szCs w:val="18"/>
                          </w:rPr>
                          <w:t>Accounting and / or IFRS reporting</w:t>
                        </w:r>
                      </w:p>
                      <w:p>
                        <w:pPr>
                          <w:jc w:val="center"/>
                          <w:rPr>
                            <w:rFonts w:ascii="Verdana" w:hAnsi="Verdana"/>
                            <w:sz w:val="18"/>
                            <w:szCs w:val="18"/>
                          </w:rPr>
                        </w:pPr>
                        <w:r>
                          <w:rPr>
                            <w:rFonts w:ascii="Verdana" w:hAnsi="Verdana"/>
                            <w:sz w:val="18"/>
                            <w:szCs w:val="18"/>
                          </w:rPr>
                          <w:t>a third-party specialized organization</w:t>
                        </w:r>
                      </w:p>
                      <w:p>
                        <w:pPr>
                          <w:jc w:val="center"/>
                          <w:rPr>
                            <w:rFonts w:ascii="Verdana" w:hAnsi="Verdana"/>
                            <w:sz w:val="18"/>
                            <w:szCs w:val="18"/>
                          </w:rPr>
                        </w:pPr>
                        <w:r>
                          <w:rPr>
                            <w:rFonts w:ascii="Verdana" w:hAnsi="Verdana"/>
                            <w:sz w:val="18"/>
                            <w:szCs w:val="18"/>
                          </w:rPr>
                          <w:t>(transformation, conversion)</w:t>
                        </w:r>
                      </w:p>
                      <w:p>
                        <w:pPr>
                          <w:jc w:val="center"/>
                          <w:rPr>
                            <w:rFonts w:ascii="Verdana" w:hAnsi="Verdana"/>
                            <w:sz w:val="18"/>
                            <w:szCs w:val="18"/>
                          </w:rPr>
                        </w:pPr>
                      </w:p>
                    </w:txbxContent>
                  </v:textbox>
                </v:rect>
              </v:group>
            </w:pict>
          </mc:Fallback>
        </mc:AlternateContent>
      </w: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en-US" w:eastAsia="en-US"/>
        </w:rPr>
      </w:pPr>
    </w:p>
    <w:p w:rsidR="005C3F63" w:rsidRDefault="005C3F63">
      <w:pPr>
        <w:rPr>
          <w:rFonts w:ascii="Verdana" w:hAnsi="Verdana"/>
          <w:i/>
          <w:sz w:val="18"/>
          <w:szCs w:val="18"/>
        </w:rPr>
      </w:pPr>
    </w:p>
    <w:p w:rsidR="005C3F63" w:rsidRDefault="006536E7">
      <w:pPr>
        <w:ind w:firstLine="709"/>
        <w:jc w:val="center"/>
        <w:rPr>
          <w:rFonts w:ascii="Verdana" w:hAnsi="Verdana"/>
          <w:color w:val="000000" w:themeColor="text1"/>
          <w:sz w:val="20"/>
          <w:szCs w:val="20"/>
        </w:rPr>
      </w:pPr>
      <w:r>
        <w:rPr>
          <w:rFonts w:ascii="Verdana" w:hAnsi="Verdana"/>
          <w:sz w:val="18"/>
          <w:szCs w:val="18"/>
        </w:rPr>
        <w:t xml:space="preserve">Compiled by the authors </w:t>
      </w:r>
    </w:p>
    <w:p w:rsidR="005C3F63" w:rsidRDefault="005C3F63">
      <w:pPr>
        <w:ind w:firstLine="709"/>
        <w:jc w:val="center"/>
      </w:pPr>
    </w:p>
    <w:p w:rsidR="005C3F63" w:rsidRDefault="005C3F63">
      <w:pPr>
        <w:pStyle w:val="x--------------"/>
        <w:shd w:val="clear" w:color="auto" w:fill="FFFFFF"/>
        <w:spacing w:before="0" w:beforeAutospacing="0" w:after="0" w:afterAutospacing="0"/>
        <w:jc w:val="both"/>
        <w:rPr>
          <w:rFonts w:ascii="Verdana" w:eastAsiaTheme="minorHAnsi" w:hAnsi="Verdana"/>
          <w:sz w:val="20"/>
          <w:szCs w:val="20"/>
          <w:lang w:val="uk-UA" w:eastAsia="en-US"/>
        </w:rPr>
      </w:pPr>
    </w:p>
    <w:p w:rsidR="005C3F63" w:rsidRDefault="006536E7">
      <w:pPr>
        <w:pStyle w:val="x--------------"/>
        <w:shd w:val="clear" w:color="auto" w:fill="FFFFFF"/>
        <w:spacing w:before="0" w:beforeAutospacing="0" w:after="0" w:afterAutospacing="0"/>
        <w:jc w:val="both"/>
        <w:rPr>
          <w:rFonts w:ascii="Verdana" w:eastAsiaTheme="minorHAnsi" w:hAnsi="Verdana"/>
          <w:sz w:val="20"/>
          <w:szCs w:val="20"/>
          <w:lang w:val="en-US" w:eastAsia="en-US"/>
        </w:rPr>
      </w:pPr>
      <w:r>
        <w:rPr>
          <w:rFonts w:ascii="Verdana" w:hAnsi="Verdana"/>
          <w:sz w:val="20"/>
          <w:szCs w:val="20"/>
          <w:lang w:val="uk-UA" w:eastAsia="ru-RU"/>
        </w:rPr>
        <w:t>Currently, the process of transposing IFRS for SMEs in Ukraine is characterized by a significant</w:t>
      </w:r>
      <w:r>
        <w:rPr>
          <w:rFonts w:ascii="Verdana" w:eastAsiaTheme="minorHAnsi" w:hAnsi="Verdana"/>
          <w:sz w:val="20"/>
          <w:szCs w:val="20"/>
          <w:lang w:val="en-US" w:eastAsia="en-US"/>
        </w:rPr>
        <w:t xml:space="preserve"> number of problems at the state level at all stages of implementation. The main list of existing obstacles to the transposition of IFRS for SMEs (Fig. 2) indicates the need to justify measures to approximate national standards to international ones.</w:t>
      </w:r>
    </w:p>
    <w:p w:rsidR="005C3F63" w:rsidRDefault="005C3F63">
      <w:pPr>
        <w:pStyle w:val="x--------------"/>
        <w:shd w:val="clear" w:color="auto" w:fill="FFFFFF"/>
        <w:spacing w:before="0" w:beforeAutospacing="0" w:after="0" w:afterAutospacing="0"/>
        <w:rPr>
          <w:rFonts w:ascii="Verdana" w:eastAsiaTheme="minorHAnsi" w:hAnsi="Verdana"/>
          <w:b/>
          <w:sz w:val="20"/>
          <w:szCs w:val="20"/>
          <w:lang w:val="en-US" w:eastAsia="en-US"/>
        </w:rPr>
      </w:pPr>
    </w:p>
    <w:p w:rsidR="005C3F63" w:rsidRDefault="006536E7">
      <w:pPr>
        <w:pStyle w:val="x--------------"/>
        <w:shd w:val="clear" w:color="auto" w:fill="FFFFFF"/>
        <w:spacing w:before="0" w:beforeAutospacing="0" w:after="0" w:afterAutospacing="0"/>
        <w:ind w:firstLine="567"/>
        <w:jc w:val="center"/>
        <w:rPr>
          <w:rFonts w:ascii="Verdana" w:eastAsiaTheme="minorHAnsi" w:hAnsi="Verdana"/>
          <w:b/>
          <w:sz w:val="20"/>
          <w:szCs w:val="20"/>
          <w:lang w:val="en-US" w:eastAsia="en-US"/>
        </w:rPr>
      </w:pPr>
      <w:r>
        <w:rPr>
          <w:rFonts w:ascii="Verdana" w:eastAsiaTheme="minorHAnsi" w:hAnsi="Verdana"/>
          <w:b/>
          <w:sz w:val="20"/>
          <w:szCs w:val="20"/>
          <w:lang w:val="en-US" w:eastAsia="en-US"/>
        </w:rPr>
        <w:t xml:space="preserve">Fig. </w:t>
      </w:r>
      <w:r>
        <w:rPr>
          <w:rFonts w:ascii="Verdana" w:eastAsiaTheme="minorHAnsi" w:hAnsi="Verdana"/>
          <w:b/>
          <w:sz w:val="20"/>
          <w:szCs w:val="20"/>
          <w:lang w:val="uk-UA" w:eastAsia="en-US"/>
        </w:rPr>
        <w:t>2</w:t>
      </w:r>
      <w:r>
        <w:rPr>
          <w:rFonts w:ascii="Verdana" w:eastAsiaTheme="minorHAnsi" w:hAnsi="Verdana"/>
          <w:b/>
          <w:sz w:val="20"/>
          <w:szCs w:val="20"/>
          <w:lang w:val="en-US" w:eastAsia="en-US"/>
        </w:rPr>
        <w:t>.</w:t>
      </w:r>
      <w:r>
        <w:rPr>
          <w:rFonts w:ascii="Verdana" w:eastAsiaTheme="minorHAnsi" w:hAnsi="Verdana"/>
          <w:sz w:val="20"/>
          <w:szCs w:val="20"/>
          <w:lang w:val="en-US" w:eastAsia="en-US"/>
        </w:rPr>
        <w:t xml:space="preserve"> Problems of transposition of IFRS for small and medium enterprises</w:t>
      </w:r>
    </w:p>
    <w:p w:rsidR="005C3F63" w:rsidRDefault="005C3F63">
      <w:pPr>
        <w:ind w:firstLine="709"/>
        <w:rPr>
          <w:rFonts w:ascii="Verdana" w:hAnsi="Verdana"/>
          <w:sz w:val="20"/>
          <w:szCs w:val="20"/>
          <w:lang w:val="uk-UA"/>
        </w:rPr>
      </w:pPr>
    </w:p>
    <w:p w:rsidR="005C3F63" w:rsidRDefault="006536E7">
      <w:pPr>
        <w:ind w:firstLine="709"/>
        <w:rPr>
          <w:rFonts w:ascii="Verdana" w:hAnsi="Verdana"/>
          <w:sz w:val="20"/>
          <w:szCs w:val="20"/>
          <w:lang w:val="uk-UA"/>
        </w:rPr>
      </w:pPr>
      <w:r>
        <w:rPr>
          <w:rFonts w:eastAsiaTheme="minorHAnsi"/>
          <w:noProof/>
          <w:sz w:val="28"/>
          <w:szCs w:val="28"/>
          <w:lang w:val="uk-UA" w:eastAsia="uk-UA" w:bidi="ar-SA"/>
        </w:rPr>
        <w:drawing>
          <wp:inline distT="0" distB="0" distL="0" distR="0">
            <wp:extent cx="5745480" cy="1501140"/>
            <wp:effectExtent l="0" t="0" r="26670" b="3810"/>
            <wp:docPr id="3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6" r:lo="rId157" r:qs="rId158" r:cs="rId159"/>
              </a:graphicData>
            </a:graphic>
          </wp:inline>
        </w:drawing>
      </w:r>
    </w:p>
    <w:p w:rsidR="005C3F63" w:rsidRDefault="005C3F63">
      <w:pPr>
        <w:ind w:firstLine="709"/>
        <w:rPr>
          <w:rFonts w:ascii="Verdana" w:hAnsi="Verdana"/>
          <w:sz w:val="20"/>
          <w:szCs w:val="20"/>
          <w:lang w:val="uk-UA"/>
        </w:rPr>
      </w:pPr>
    </w:p>
    <w:p w:rsidR="005C3F63" w:rsidRDefault="006536E7">
      <w:pPr>
        <w:jc w:val="center"/>
        <w:rPr>
          <w:rFonts w:ascii="Verdana" w:hAnsi="Verdana"/>
          <w:i/>
          <w:sz w:val="18"/>
          <w:szCs w:val="18"/>
        </w:rPr>
      </w:pPr>
      <w:r>
        <w:rPr>
          <w:rFonts w:ascii="Verdana" w:hAnsi="Verdana"/>
          <w:i/>
          <w:sz w:val="18"/>
          <w:szCs w:val="18"/>
        </w:rPr>
        <w:t>Compiled by author</w:t>
      </w:r>
    </w:p>
    <w:p w:rsidR="005C3F63" w:rsidRDefault="005C3F63">
      <w:pPr>
        <w:rPr>
          <w:sz w:val="14"/>
          <w:szCs w:val="14"/>
        </w:rPr>
      </w:pP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Addressing the transposition of IFRS for SMEs into national law requires decisive action by both the state and the enterprises themselves that intend to adopt IFRS. The task of bringing the national accounting system in line with the requirements of IFRS for SMEs by the state and creating the necessary conditions for the transition to IFRS for SMEs can be outlined at the macro and micro levels.</w:t>
      </w:r>
    </w:p>
    <w:p w:rsidR="005C3F63" w:rsidRDefault="005C3F63">
      <w:pPr>
        <w:rPr>
          <w:rFonts w:ascii="Verdana" w:hAnsi="Verdana"/>
          <w:i/>
          <w:sz w:val="20"/>
          <w:szCs w:val="20"/>
        </w:rPr>
      </w:pPr>
    </w:p>
    <w:p w:rsidR="005C3F63" w:rsidRDefault="006536E7">
      <w:pPr>
        <w:rPr>
          <w:rFonts w:ascii="Verdana" w:hAnsi="Verdana"/>
          <w:sz w:val="20"/>
          <w:szCs w:val="20"/>
        </w:rPr>
      </w:pPr>
      <w:r>
        <w:rPr>
          <w:rFonts w:ascii="Verdana" w:hAnsi="Verdana"/>
          <w:i/>
          <w:sz w:val="20"/>
          <w:szCs w:val="20"/>
        </w:rPr>
        <w:lastRenderedPageBreak/>
        <w:t>At the level of state bodies:</w:t>
      </w:r>
      <w:r>
        <w:rPr>
          <w:rFonts w:ascii="Verdana" w:hAnsi="Verdana"/>
          <w:sz w:val="20"/>
          <w:szCs w:val="20"/>
        </w:rPr>
        <w:t xml:space="preserve"> consistency of criteria for assigning enterprises to SMEs in accordance with international regulations; development of normative-legal, information base on submission of enterprises' reports to local self-government bodies; convergence of national standards in accordance with IFRS for SMEs; creating conditions for the transition of small and medium-sized businesses to IFRS; organization of training for accountants, auditors on IFRS transposition for SMEs.</w:t>
      </w:r>
    </w:p>
    <w:p w:rsidR="005C3F63" w:rsidRDefault="005C3F63">
      <w:pPr>
        <w:rPr>
          <w:rFonts w:ascii="Verdana" w:hAnsi="Verdana"/>
          <w:i/>
          <w:sz w:val="20"/>
          <w:szCs w:val="20"/>
        </w:rPr>
      </w:pPr>
    </w:p>
    <w:p w:rsidR="005C3F63" w:rsidRDefault="006536E7">
      <w:pPr>
        <w:rPr>
          <w:rFonts w:ascii="Verdana" w:hAnsi="Verdana"/>
          <w:i/>
          <w:sz w:val="20"/>
          <w:szCs w:val="20"/>
        </w:rPr>
      </w:pPr>
      <w:r>
        <w:rPr>
          <w:rFonts w:ascii="Verdana" w:hAnsi="Verdana"/>
          <w:i/>
          <w:sz w:val="20"/>
          <w:szCs w:val="20"/>
        </w:rPr>
        <w:t xml:space="preserve">At the level of SMEs: </w:t>
      </w:r>
      <w:r>
        <w:rPr>
          <w:rFonts w:ascii="Verdana" w:hAnsi="Verdana"/>
          <w:sz w:val="20"/>
          <w:szCs w:val="20"/>
        </w:rPr>
        <w:t>taking into account the feasibility of transition to IFRS for small and medium enterprises;</w:t>
      </w:r>
      <w:r>
        <w:rPr>
          <w:rFonts w:ascii="Verdana" w:hAnsi="Verdana"/>
          <w:i/>
          <w:sz w:val="20"/>
          <w:szCs w:val="20"/>
        </w:rPr>
        <w:t xml:space="preserve"> </w:t>
      </w:r>
      <w:r>
        <w:rPr>
          <w:rFonts w:ascii="Verdana" w:hAnsi="Verdana"/>
          <w:sz w:val="20"/>
          <w:szCs w:val="20"/>
        </w:rPr>
        <w:t>choosing an approach to the application of IFRS for SMEs;</w:t>
      </w:r>
      <w:r>
        <w:rPr>
          <w:rFonts w:ascii="Verdana" w:hAnsi="Verdana"/>
          <w:i/>
          <w:sz w:val="20"/>
          <w:szCs w:val="20"/>
        </w:rPr>
        <w:t xml:space="preserve"> </w:t>
      </w:r>
      <w:r>
        <w:rPr>
          <w:rFonts w:ascii="Verdana" w:hAnsi="Verdana"/>
          <w:sz w:val="20"/>
          <w:szCs w:val="20"/>
        </w:rPr>
        <w:t>development of accounting policies for the transition to IFRS and setting out its basic principles, methods and procedures.</w:t>
      </w:r>
    </w:p>
    <w:p w:rsidR="005C3F63" w:rsidRDefault="005C3F63">
      <w:pPr>
        <w:rPr>
          <w:rFonts w:ascii="Verdana" w:hAnsi="Verdana"/>
          <w:sz w:val="20"/>
          <w:szCs w:val="20"/>
        </w:rPr>
      </w:pPr>
    </w:p>
    <w:p w:rsidR="005C3F63" w:rsidRDefault="006536E7">
      <w:pPr>
        <w:rPr>
          <w:rFonts w:ascii="Verdana" w:hAnsi="Verdana"/>
          <w:b/>
          <w:sz w:val="22"/>
        </w:rPr>
      </w:pPr>
      <w:r>
        <w:rPr>
          <w:rFonts w:ascii="Verdana" w:hAnsi="Verdana"/>
          <w:b/>
          <w:sz w:val="22"/>
        </w:rPr>
        <w:t>Conclusions</w:t>
      </w:r>
    </w:p>
    <w:p w:rsidR="005C3F63" w:rsidRDefault="005C3F63">
      <w:pPr>
        <w:ind w:firstLine="708"/>
        <w:rPr>
          <w:rFonts w:ascii="Verdana" w:hAnsi="Verdana"/>
          <w:b/>
          <w:sz w:val="22"/>
        </w:rPr>
      </w:pPr>
    </w:p>
    <w:p w:rsidR="005C3F63" w:rsidRDefault="006536E7">
      <w:pPr>
        <w:rPr>
          <w:rFonts w:ascii="Verdana" w:hAnsi="Verdana"/>
          <w:sz w:val="20"/>
          <w:szCs w:val="20"/>
        </w:rPr>
      </w:pPr>
      <w:r>
        <w:rPr>
          <w:rFonts w:ascii="Verdana" w:hAnsi="Verdana"/>
          <w:sz w:val="20"/>
          <w:szCs w:val="20"/>
        </w:rPr>
        <w:t>The opening of new opportunities for national small and medium-sized businesses took place with the signing of an association agreement with the European Union and the creation of a free trade area. Under these conditions, the issues of transposition of IFRS for SMEs into national legislation become especially important. EU accounting requirements for SMEs in Ukraine should be met by transposing its provisions into national law, taking into account the options provided. As the process of implementing IFRS in Ukraine is accompanied by organizational, mental and financial difficulties, it is necessary to look for ways to overcome certain problems.</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The study identified ways and objectives for the transition of small and medium-sized businesses to IFRS for SMEs. To facilitate the transition of Ukrainian small and medium-sized enterprises to IFRS, in the first place, the state, represented by regulatory authorities, should converge national UAS in accordance with IFRS for SMEs. For the practice of convergence with IFRS for SMEs, a national transition policy should be developed.</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In the process of transposition of IFRS for SMEs into national legislation, further research is needed on the valuation of financial statements, computerization of accounting in SMEs in the transition to IFRS, justification of the cost-effectiveness of the choice of IFRS.</w:t>
      </w:r>
      <w:r>
        <w:rPr>
          <w:b/>
          <w:sz w:val="28"/>
          <w:szCs w:val="28"/>
        </w:rPr>
        <w:tab/>
      </w:r>
    </w:p>
    <w:p w:rsidR="005C3F63" w:rsidRDefault="005C3F63">
      <w:pPr>
        <w:rPr>
          <w:rFonts w:ascii="Verdana" w:hAnsi="Verdana"/>
          <w:sz w:val="20"/>
          <w:szCs w:val="20"/>
        </w:rPr>
      </w:pPr>
    </w:p>
    <w:p w:rsidR="005C3F63" w:rsidRDefault="006536E7">
      <w:pPr>
        <w:spacing w:line="360" w:lineRule="auto"/>
        <w:rPr>
          <w:rFonts w:ascii="Verdana" w:hAnsi="Verdana"/>
          <w:b/>
          <w:sz w:val="22"/>
        </w:rPr>
      </w:pPr>
      <w:r>
        <w:rPr>
          <w:rFonts w:ascii="Verdana" w:hAnsi="Verdana"/>
          <w:b/>
          <w:sz w:val="22"/>
        </w:rPr>
        <w:t>References</w:t>
      </w:r>
    </w:p>
    <w:p w:rsidR="005C3F63" w:rsidRDefault="006536E7">
      <w:pPr>
        <w:rPr>
          <w:rFonts w:ascii="Verdana" w:hAnsi="Verdana"/>
          <w:sz w:val="20"/>
          <w:szCs w:val="20"/>
        </w:rPr>
      </w:pPr>
      <w:r>
        <w:rPr>
          <w:rFonts w:ascii="Verdana" w:hAnsi="Verdana"/>
          <w:sz w:val="20"/>
          <w:szCs w:val="20"/>
        </w:rPr>
        <w:t xml:space="preserve">Bezverhy, K. (2013). Application of IFRS for small and medium enterprises: current realities and requirements of the time. </w:t>
      </w:r>
      <w:r>
        <w:rPr>
          <w:rFonts w:ascii="Verdana" w:hAnsi="Verdana"/>
          <w:i/>
          <w:sz w:val="20"/>
          <w:szCs w:val="20"/>
        </w:rPr>
        <w:t>Accounting and auditing</w:t>
      </w:r>
      <w:r>
        <w:rPr>
          <w:rFonts w:ascii="Verdana" w:hAnsi="Verdana"/>
          <w:sz w:val="20"/>
          <w:szCs w:val="20"/>
        </w:rPr>
        <w:t>, 5: pp. 8–12.</w:t>
      </w:r>
      <w:r>
        <w:rPr>
          <w:rFonts w:ascii="Verdana" w:hAnsi="Verdana"/>
          <w:sz w:val="20"/>
          <w:szCs w:val="20"/>
          <w:lang w:val="uk-UA"/>
        </w:rPr>
        <w:t xml:space="preserve"> </w:t>
      </w:r>
    </w:p>
    <w:p w:rsidR="005C3F63" w:rsidRDefault="005C3F63">
      <w:pPr>
        <w:rPr>
          <w:rFonts w:ascii="Verdana" w:hAnsi="Verdana"/>
          <w:sz w:val="20"/>
          <w:szCs w:val="20"/>
          <w:lang w:val="uk-UA"/>
        </w:rPr>
      </w:pPr>
    </w:p>
    <w:p w:rsidR="005C3F63" w:rsidRDefault="006536E7">
      <w:pPr>
        <w:rPr>
          <w:rFonts w:ascii="Verdana" w:hAnsi="Verdana"/>
          <w:sz w:val="20"/>
          <w:szCs w:val="20"/>
        </w:rPr>
      </w:pPr>
      <w:r>
        <w:rPr>
          <w:rFonts w:ascii="Verdana" w:hAnsi="Verdana"/>
          <w:sz w:val="20"/>
          <w:szCs w:val="20"/>
          <w:lang w:val="uk-UA"/>
        </w:rPr>
        <w:t>Н</w:t>
      </w:r>
      <w:r>
        <w:rPr>
          <w:rFonts w:ascii="Verdana" w:hAnsi="Verdana"/>
          <w:sz w:val="20"/>
          <w:szCs w:val="20"/>
        </w:rPr>
        <w:t xml:space="preserve">olov, S. F., Kostyuchenko, V. M., Kulaga, О. М. (2013). </w:t>
      </w:r>
      <w:r>
        <w:rPr>
          <w:rFonts w:ascii="Verdana" w:hAnsi="Verdana"/>
          <w:i/>
          <w:sz w:val="20"/>
          <w:szCs w:val="20"/>
        </w:rPr>
        <w:t>Transformation of financial statements of Ukrainian enterprises into financial statements according to international standards</w:t>
      </w:r>
      <w:r>
        <w:rPr>
          <w:rFonts w:ascii="Verdana" w:hAnsi="Verdana"/>
          <w:sz w:val="20"/>
          <w:szCs w:val="20"/>
        </w:rPr>
        <w:t xml:space="preserve">. </w:t>
      </w:r>
      <w:r>
        <w:rPr>
          <w:rFonts w:ascii="Verdana" w:hAnsi="Verdana"/>
          <w:i/>
          <w:sz w:val="20"/>
          <w:szCs w:val="20"/>
        </w:rPr>
        <w:t>Methodical manual</w:t>
      </w:r>
      <w:r>
        <w:rPr>
          <w:rFonts w:ascii="Verdana" w:hAnsi="Verdana"/>
          <w:sz w:val="20"/>
          <w:szCs w:val="20"/>
        </w:rPr>
        <w:t>. 4th ed. Kyiv: FPAAU.</w:t>
      </w:r>
    </w:p>
    <w:p w:rsidR="005C3F63" w:rsidRDefault="005C3F63">
      <w:pPr>
        <w:rPr>
          <w:rFonts w:ascii="Verdana" w:hAnsi="Verdana"/>
          <w:sz w:val="20"/>
          <w:szCs w:val="20"/>
        </w:rPr>
      </w:pPr>
    </w:p>
    <w:p w:rsidR="005C3F63" w:rsidRDefault="006536E7">
      <w:r>
        <w:rPr>
          <w:rFonts w:ascii="Verdana" w:hAnsi="Verdana"/>
          <w:sz w:val="20"/>
          <w:szCs w:val="20"/>
        </w:rPr>
        <w:t xml:space="preserve">IASB (2020). </w:t>
      </w:r>
      <w:r>
        <w:rPr>
          <w:rFonts w:ascii="Verdana" w:hAnsi="Verdana"/>
          <w:i/>
          <w:sz w:val="20"/>
          <w:szCs w:val="20"/>
        </w:rPr>
        <w:t>Use of IFRS Standards by jurisdiction.</w:t>
      </w:r>
      <w:r>
        <w:rPr>
          <w:rFonts w:ascii="Verdana" w:hAnsi="Verdana"/>
          <w:sz w:val="20"/>
          <w:szCs w:val="20"/>
        </w:rPr>
        <w:t xml:space="preserve"> Retrieved from</w:t>
      </w:r>
      <w:r>
        <w:rPr>
          <w:rFonts w:ascii="Verdana" w:hAnsi="Verdana"/>
          <w:color w:val="000000" w:themeColor="text1"/>
          <w:sz w:val="20"/>
          <w:szCs w:val="20"/>
        </w:rPr>
        <w:t xml:space="preserve"> </w:t>
      </w:r>
      <w:hyperlink r:id="rId161" w:history="1">
        <w:r>
          <w:rPr>
            <w:rStyle w:val="af9"/>
            <w:rFonts w:ascii="Verdana" w:hAnsi="Verdana"/>
            <w:sz w:val="20"/>
            <w:szCs w:val="20"/>
          </w:rPr>
          <w:t>https://www.ifrs.org/use-around-the-world/use-of-ifrs-standards-by-jurisdiction/</w:t>
        </w:r>
      </w:hyperlink>
      <w:r>
        <w:rPr>
          <w:rFonts w:ascii="Verdana" w:hAnsi="Verdana"/>
          <w:color w:val="0000FF"/>
          <w:sz w:val="20"/>
          <w:szCs w:val="20"/>
          <w:u w:val="single"/>
        </w:rPr>
        <w:t>.</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 xml:space="preserve">Kharlamova, О. V. (2011). International Financial Reporting Standards for Small and Medium Enterprises: Prospects for Implementation. </w:t>
      </w:r>
      <w:r>
        <w:rPr>
          <w:rFonts w:ascii="Verdana" w:hAnsi="Verdana"/>
          <w:i/>
          <w:sz w:val="20"/>
          <w:szCs w:val="20"/>
        </w:rPr>
        <w:t>Prospects for the development of accounting, control and analysis in the context of European integration</w:t>
      </w:r>
      <w:r>
        <w:rPr>
          <w:rFonts w:ascii="Verdana" w:hAnsi="Verdana"/>
          <w:sz w:val="20"/>
          <w:szCs w:val="20"/>
        </w:rPr>
        <w:t>: pp. 284-286.</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 xml:space="preserve">Law 996-XIV / 1999. On Accounting and Financial Reporting in Ukraine </w:t>
      </w:r>
    </w:p>
    <w:p w:rsidR="005C3F63" w:rsidRDefault="005C3F63">
      <w:pPr>
        <w:tabs>
          <w:tab w:val="left" w:pos="3080"/>
        </w:tabs>
        <w:rPr>
          <w:rFonts w:ascii="Verdana" w:hAnsi="Verdana"/>
          <w:sz w:val="20"/>
          <w:szCs w:val="20"/>
        </w:rPr>
      </w:pPr>
    </w:p>
    <w:p w:rsidR="005C3F63" w:rsidRDefault="006536E7">
      <w:pPr>
        <w:tabs>
          <w:tab w:val="left" w:pos="3080"/>
        </w:tabs>
        <w:rPr>
          <w:rFonts w:ascii="Verdana" w:hAnsi="Verdana"/>
          <w:sz w:val="20"/>
          <w:szCs w:val="20"/>
        </w:rPr>
      </w:pPr>
      <w:r>
        <w:rPr>
          <w:rFonts w:ascii="Verdana" w:hAnsi="Verdana"/>
          <w:sz w:val="20"/>
          <w:szCs w:val="20"/>
        </w:rPr>
        <w:t xml:space="preserve">Paseková, M., Müllerová, L., Strouha,l J., Chyzhevska, L. (2010). IFRS for SMEs:  </w:t>
      </w:r>
    </w:p>
    <w:p w:rsidR="005C3F63" w:rsidRDefault="006536E7">
      <w:pPr>
        <w:tabs>
          <w:tab w:val="left" w:pos="3080"/>
        </w:tabs>
      </w:pPr>
      <w:r>
        <w:rPr>
          <w:rFonts w:ascii="Verdana" w:hAnsi="Verdana"/>
          <w:sz w:val="20"/>
          <w:szCs w:val="20"/>
        </w:rPr>
        <w:t xml:space="preserve">Challenge for Emerging Countries? Case of Czech Republic and Ukraine. </w:t>
      </w:r>
      <w:r>
        <w:rPr>
          <w:rFonts w:ascii="Verdana" w:hAnsi="Verdana"/>
          <w:i/>
          <w:sz w:val="20"/>
          <w:szCs w:val="20"/>
        </w:rPr>
        <w:t>World Academy of Science, Engineering and Technology</w:t>
      </w:r>
      <w:r>
        <w:rPr>
          <w:rFonts w:ascii="Verdana" w:hAnsi="Verdana"/>
          <w:sz w:val="20"/>
          <w:szCs w:val="20"/>
        </w:rPr>
        <w:t>, 42: pp.1678-1680.</w:t>
      </w:r>
      <w:r>
        <w:tab/>
      </w:r>
    </w:p>
    <w:p w:rsidR="005C3F63" w:rsidRDefault="005C3F63">
      <w:pPr>
        <w:rPr>
          <w:rFonts w:ascii="Verdana" w:hAnsi="Verdana"/>
          <w:color w:val="000000" w:themeColor="text1"/>
          <w:sz w:val="20"/>
          <w:szCs w:val="20"/>
        </w:rPr>
      </w:pPr>
    </w:p>
    <w:p w:rsidR="005C3F63" w:rsidRDefault="006536E7">
      <w:pPr>
        <w:rPr>
          <w:rFonts w:ascii="Verdana" w:hAnsi="Verdana"/>
          <w:sz w:val="20"/>
          <w:szCs w:val="20"/>
        </w:rPr>
      </w:pPr>
      <w:r>
        <w:rPr>
          <w:rFonts w:ascii="Verdana" w:hAnsi="Verdana"/>
          <w:color w:val="000000" w:themeColor="text1"/>
          <w:sz w:val="20"/>
          <w:szCs w:val="20"/>
        </w:rPr>
        <w:lastRenderedPageBreak/>
        <w:t xml:space="preserve">UKRSTAT (2012). </w:t>
      </w:r>
      <w:r>
        <w:rPr>
          <w:rFonts w:ascii="Verdana" w:hAnsi="Verdana"/>
          <w:i/>
          <w:color w:val="000000" w:themeColor="text1"/>
          <w:sz w:val="20"/>
          <w:szCs w:val="20"/>
        </w:rPr>
        <w:t>Performance indicators of large, medium, small and micro enterprises.</w:t>
      </w:r>
      <w:r>
        <w:rPr>
          <w:rFonts w:ascii="Verdana" w:hAnsi="Verdana"/>
          <w:color w:val="000000" w:themeColor="text1"/>
          <w:sz w:val="20"/>
          <w:szCs w:val="20"/>
        </w:rPr>
        <w:t xml:space="preserve"> </w:t>
      </w:r>
      <w:r>
        <w:rPr>
          <w:rFonts w:ascii="Verdana" w:hAnsi="Verdana"/>
          <w:sz w:val="20"/>
          <w:szCs w:val="20"/>
        </w:rPr>
        <w:t>Retrieved from</w:t>
      </w:r>
      <w:r>
        <w:rPr>
          <w:rFonts w:ascii="Verdana" w:hAnsi="Verdana"/>
          <w:color w:val="000000" w:themeColor="text1"/>
          <w:sz w:val="20"/>
          <w:szCs w:val="20"/>
        </w:rPr>
        <w:t xml:space="preserve">: </w:t>
      </w:r>
      <w:hyperlink r:id="rId162" w:history="1">
        <w:r>
          <w:rPr>
            <w:rStyle w:val="af9"/>
            <w:rFonts w:ascii="Verdana" w:hAnsi="Verdana"/>
            <w:sz w:val="20"/>
            <w:szCs w:val="20"/>
          </w:rPr>
          <w:t>http://www.ukrstat.gov.ua/operativ/operativ2012/fin/osp/osp_u/osp_u.htm</w:t>
        </w:r>
      </w:hyperlink>
      <w:r>
        <w:rPr>
          <w:rFonts w:ascii="Verdana" w:hAnsi="Verdana"/>
          <w:sz w:val="20"/>
          <w:szCs w:val="20"/>
        </w:rPr>
        <w:t xml:space="preserve">. </w:t>
      </w:r>
    </w:p>
    <w:p w:rsidR="005C3F63" w:rsidRDefault="005C3F63">
      <w:pPr>
        <w:rPr>
          <w:rFonts w:ascii="Verdana" w:hAnsi="Verdana"/>
          <w:color w:val="000000" w:themeColor="text1"/>
          <w:sz w:val="20"/>
          <w:szCs w:val="20"/>
        </w:rPr>
      </w:pPr>
    </w:p>
    <w:p w:rsidR="005C3F63" w:rsidRDefault="005C3F63">
      <w:pPr>
        <w:rPr>
          <w:b/>
        </w:rPr>
      </w:pPr>
    </w:p>
    <w:p w:rsidR="005C3F63" w:rsidRDefault="006536E7">
      <w:pPr>
        <w:jc w:val="left"/>
        <w:rPr>
          <w:rFonts w:ascii="Verdana" w:hAnsi="Verdana"/>
          <w:sz w:val="20"/>
          <w:szCs w:val="20"/>
          <w:lang w:eastAsia="sk-SK"/>
        </w:rPr>
      </w:pPr>
      <w:r>
        <w:rPr>
          <w:rFonts w:ascii="Verdana" w:hAnsi="Verdana"/>
          <w:sz w:val="20"/>
          <w:szCs w:val="20"/>
          <w:lang w:eastAsia="sk-SK"/>
        </w:rPr>
        <w:br w:type="page"/>
      </w:r>
    </w:p>
    <w:p w:rsidR="005C3F63" w:rsidRDefault="006536E7">
      <w:pPr>
        <w:pStyle w:val="1"/>
        <w:spacing w:before="0" w:after="240"/>
        <w:rPr>
          <w:b w:val="0"/>
          <w:bCs w:val="0"/>
          <w:szCs w:val="24"/>
        </w:rPr>
      </w:pPr>
      <w:r>
        <w:rPr>
          <w:b w:val="0"/>
          <w:bCs w:val="0"/>
          <w:szCs w:val="24"/>
        </w:rPr>
        <w:lastRenderedPageBreak/>
        <w:tab/>
      </w:r>
      <w:bookmarkStart w:id="390" w:name="_Toc47951522"/>
      <w:r>
        <w:rPr>
          <w:szCs w:val="24"/>
        </w:rPr>
        <w:t xml:space="preserve">Reasons </w:t>
      </w:r>
      <w:r>
        <w:rPr>
          <w:szCs w:val="24"/>
          <w:lang w:val="sk-SK"/>
        </w:rPr>
        <w:t>of</w:t>
      </w:r>
      <w:r>
        <w:rPr>
          <w:szCs w:val="24"/>
        </w:rPr>
        <w:t xml:space="preserve"> </w:t>
      </w:r>
      <w:r>
        <w:rPr>
          <w:szCs w:val="24"/>
          <w:lang w:val="sk-SK"/>
        </w:rPr>
        <w:t>D</w:t>
      </w:r>
      <w:r>
        <w:rPr>
          <w:szCs w:val="24"/>
        </w:rPr>
        <w:t xml:space="preserve">emand for </w:t>
      </w:r>
      <w:r>
        <w:rPr>
          <w:szCs w:val="24"/>
          <w:lang w:val="sk-SK"/>
        </w:rPr>
        <w:t>S</w:t>
      </w:r>
      <w:r>
        <w:rPr>
          <w:szCs w:val="24"/>
        </w:rPr>
        <w:t xml:space="preserve">tatutory </w:t>
      </w:r>
      <w:r>
        <w:rPr>
          <w:szCs w:val="24"/>
          <w:lang w:val="sk-SK"/>
        </w:rPr>
        <w:t>A</w:t>
      </w:r>
      <w:r>
        <w:rPr>
          <w:szCs w:val="24"/>
        </w:rPr>
        <w:t xml:space="preserve">udit and their </w:t>
      </w:r>
      <w:r>
        <w:rPr>
          <w:szCs w:val="24"/>
          <w:lang w:val="sk-SK"/>
        </w:rPr>
        <w:t>I</w:t>
      </w:r>
      <w:r>
        <w:rPr>
          <w:szCs w:val="24"/>
        </w:rPr>
        <w:t xml:space="preserve">mpact on </w:t>
      </w:r>
      <w:r>
        <w:rPr>
          <w:szCs w:val="24"/>
          <w:lang w:val="sk-SK"/>
        </w:rPr>
        <w:t>A</w:t>
      </w:r>
      <w:r>
        <w:rPr>
          <w:szCs w:val="24"/>
        </w:rPr>
        <w:t xml:space="preserve">uditor's </w:t>
      </w:r>
      <w:r>
        <w:rPr>
          <w:szCs w:val="24"/>
          <w:lang w:val="sk-SK"/>
        </w:rPr>
        <w:t>I</w:t>
      </w:r>
      <w:r>
        <w:rPr>
          <w:szCs w:val="24"/>
        </w:rPr>
        <w:t>ndependence</w:t>
      </w:r>
      <w:bookmarkEnd w:id="390"/>
    </w:p>
    <w:p w:rsidR="005C3F63" w:rsidRDefault="006536E7">
      <w:pPr>
        <w:spacing w:after="120"/>
        <w:jc w:val="center"/>
        <w:rPr>
          <w:rFonts w:ascii="Verdana" w:hAnsi="Verdana"/>
          <w:b/>
          <w:sz w:val="20"/>
          <w:szCs w:val="20"/>
        </w:rPr>
      </w:pPr>
      <w:bookmarkStart w:id="391" w:name="_Toc47440084"/>
      <w:bookmarkStart w:id="392" w:name="_Toc47440860"/>
      <w:bookmarkStart w:id="393" w:name="_Toc47441605"/>
      <w:bookmarkStart w:id="394" w:name="_Toc47443426"/>
      <w:bookmarkStart w:id="395" w:name="_Toc47443660"/>
      <w:bookmarkStart w:id="396" w:name="_Toc47441187"/>
      <w:bookmarkStart w:id="397" w:name="_Toc47439766"/>
      <w:bookmarkStart w:id="398" w:name="_Toc47447919"/>
      <w:bookmarkStart w:id="399" w:name="_Toc47444594"/>
      <w:bookmarkStart w:id="400" w:name="_Toc47448832"/>
      <w:bookmarkStart w:id="401" w:name="_Toc47448055"/>
      <w:bookmarkStart w:id="402" w:name="_Toc47435428"/>
      <w:bookmarkStart w:id="403" w:name="_Toc47447973"/>
      <w:bookmarkStart w:id="404" w:name="_Toc47446360"/>
      <w:bookmarkStart w:id="405" w:name="_Toc47441671"/>
      <w:bookmarkStart w:id="406" w:name="_Toc47448313"/>
      <w:bookmarkStart w:id="407" w:name="_Toc47446100"/>
      <w:bookmarkStart w:id="408" w:name="_Toc47441485"/>
      <w:bookmarkStart w:id="409" w:name="_Toc47449307"/>
      <w:bookmarkStart w:id="410" w:name="_Toc47433534"/>
      <w:bookmarkStart w:id="411" w:name="_Toc47448109"/>
      <w:bookmarkStart w:id="412" w:name="_Toc47451148"/>
      <w:bookmarkStart w:id="413" w:name="_Toc47448191"/>
      <w:bookmarkStart w:id="414" w:name="_Toc47445725"/>
      <w:bookmarkStart w:id="415" w:name="_Toc47948788"/>
      <w:bookmarkStart w:id="416" w:name="_Toc47949300"/>
      <w:bookmarkStart w:id="417" w:name="_Toc47951365"/>
      <w:bookmarkStart w:id="418" w:name="_Toc47447153"/>
      <w:bookmarkStart w:id="419" w:name="_Toc47438956"/>
      <w:bookmarkStart w:id="420" w:name="_Toc47448551"/>
      <w:bookmarkStart w:id="421" w:name="_Toc47445948"/>
      <w:bookmarkStart w:id="422" w:name="_Toc47443559"/>
      <w:bookmarkStart w:id="423" w:name="_Toc47446702"/>
      <w:bookmarkStart w:id="424" w:name="_Toc47948986"/>
      <w:bookmarkStart w:id="425" w:name="_Toc47444435"/>
      <w:bookmarkStart w:id="426" w:name="_Toc47448606"/>
      <w:bookmarkStart w:id="427" w:name="_Toc47442664"/>
      <w:bookmarkStart w:id="428" w:name="_Toc47444277"/>
      <w:bookmarkStart w:id="429" w:name="_Toc47948727"/>
      <w:bookmarkStart w:id="430" w:name="_Toc47444124"/>
      <w:bookmarkStart w:id="431" w:name="_Toc47951523"/>
      <w:bookmarkStart w:id="432" w:name="_Toc47951458"/>
      <w:r>
        <w:rPr>
          <w:rStyle w:val="AutorChar"/>
          <w:rFonts w:eastAsiaTheme="minorHAnsi"/>
        </w:rPr>
        <w:t>Petra Krišková</w:t>
      </w:r>
      <w:r>
        <w:rPr>
          <w:rStyle w:val="AutorChar"/>
          <w:rFonts w:eastAsiaTheme="minorHAnsi"/>
          <w:vertAlign w:val="superscript"/>
        </w:rPr>
        <w:t>1</w:t>
      </w:r>
      <w:r>
        <w:rPr>
          <w:rStyle w:val="AutorChar"/>
          <w:rFonts w:eastAsiaTheme="minorHAnsi"/>
        </w:rPr>
        <w:t>, Ján Užík</w:t>
      </w:r>
      <w:r>
        <w:rPr>
          <w:rStyle w:val="AutorChar"/>
          <w:rFonts w:eastAsiaTheme="minorHAnsi"/>
          <w:vertAlign w:val="superscript"/>
        </w:rPr>
        <w:t>2</w:t>
      </w:r>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r>
        <w:rPr>
          <w:rFonts w:ascii="Verdana" w:hAnsi="Verdana"/>
          <w:b/>
          <w:sz w:val="20"/>
          <w:szCs w:val="20"/>
        </w:rPr>
        <w:t xml:space="preserve"> </w:t>
      </w:r>
      <w:r>
        <w:rPr>
          <w:rFonts w:ascii="Verdana" w:hAnsi="Verdana"/>
          <w:b/>
          <w:sz w:val="20"/>
          <w:szCs w:val="20"/>
        </w:rPr>
        <w:br/>
      </w:r>
    </w:p>
    <w:p w:rsidR="005C3F63" w:rsidRDefault="006536E7">
      <w:pPr>
        <w:jc w:val="center"/>
        <w:rPr>
          <w:rFonts w:ascii="Verdana" w:hAnsi="Verdana"/>
          <w:sz w:val="18"/>
          <w:szCs w:val="18"/>
        </w:rPr>
      </w:pPr>
      <w:r>
        <w:rPr>
          <w:rFonts w:ascii="Verdana" w:hAnsi="Verdana"/>
          <w:sz w:val="18"/>
          <w:szCs w:val="18"/>
          <w:vertAlign w:val="superscript"/>
        </w:rPr>
        <w:t xml:space="preserve">1 </w:t>
      </w:r>
      <w:r>
        <w:rPr>
          <w:rFonts w:ascii="Verdana" w:hAnsi="Verdana"/>
          <w:sz w:val="18"/>
          <w:szCs w:val="18"/>
        </w:rPr>
        <w:t>University of Economics in Bratislava</w:t>
      </w:r>
    </w:p>
    <w:p w:rsidR="005C3F63" w:rsidRDefault="006536E7">
      <w:pPr>
        <w:jc w:val="center"/>
        <w:rPr>
          <w:rFonts w:ascii="Verdana" w:hAnsi="Verdana"/>
          <w:sz w:val="18"/>
          <w:szCs w:val="18"/>
        </w:rPr>
      </w:pPr>
      <w:r>
        <w:rPr>
          <w:rFonts w:ascii="Verdana" w:hAnsi="Verdana"/>
          <w:sz w:val="18"/>
          <w:szCs w:val="18"/>
        </w:rPr>
        <w:t>Faculty of Economic Informatics, Department of Accounting and Auditing</w:t>
      </w:r>
    </w:p>
    <w:p w:rsidR="005C3F63" w:rsidRDefault="006536E7">
      <w:pPr>
        <w:jc w:val="center"/>
        <w:rPr>
          <w:rFonts w:ascii="Verdana" w:hAnsi="Verdana"/>
          <w:sz w:val="18"/>
          <w:szCs w:val="18"/>
        </w:rPr>
      </w:pPr>
      <w:r>
        <w:rPr>
          <w:rFonts w:ascii="Verdana" w:hAnsi="Verdana"/>
          <w:sz w:val="18"/>
          <w:szCs w:val="18"/>
        </w:rPr>
        <w:t>Dolnozemská cesta 1/b, 852 35 Bratislava, Slovakia</w:t>
      </w:r>
    </w:p>
    <w:p w:rsidR="005C3F63" w:rsidRDefault="006536E7">
      <w:pPr>
        <w:jc w:val="center"/>
        <w:rPr>
          <w:rFonts w:ascii="Verdana" w:hAnsi="Verdana"/>
          <w:sz w:val="18"/>
          <w:szCs w:val="18"/>
        </w:rPr>
      </w:pPr>
      <w:r>
        <w:rPr>
          <w:rFonts w:ascii="Verdana" w:hAnsi="Verdana"/>
          <w:sz w:val="18"/>
          <w:szCs w:val="18"/>
        </w:rPr>
        <w:t>E-mail: petra.kriskova@euba.sk</w:t>
      </w:r>
    </w:p>
    <w:p w:rsidR="005C3F63" w:rsidRDefault="005C3F63">
      <w:pPr>
        <w:jc w:val="center"/>
        <w:rPr>
          <w:rFonts w:ascii="Verdana" w:hAnsi="Verdana"/>
          <w:sz w:val="18"/>
          <w:szCs w:val="18"/>
        </w:rPr>
      </w:pPr>
    </w:p>
    <w:p w:rsidR="005C3F63" w:rsidRDefault="006536E7">
      <w:pPr>
        <w:jc w:val="center"/>
        <w:rPr>
          <w:rFonts w:ascii="Verdana" w:hAnsi="Verdana"/>
          <w:sz w:val="18"/>
          <w:szCs w:val="18"/>
        </w:rPr>
      </w:pPr>
      <w:r>
        <w:rPr>
          <w:rFonts w:ascii="Verdana" w:hAnsi="Verdana"/>
          <w:sz w:val="18"/>
          <w:szCs w:val="18"/>
          <w:vertAlign w:val="superscript"/>
        </w:rPr>
        <w:t xml:space="preserve">2 </w:t>
      </w:r>
      <w:r>
        <w:rPr>
          <w:rFonts w:ascii="Verdana" w:hAnsi="Verdana"/>
          <w:sz w:val="18"/>
          <w:szCs w:val="18"/>
        </w:rPr>
        <w:t>University of Economics in Bratislava</w:t>
      </w:r>
    </w:p>
    <w:p w:rsidR="005C3F63" w:rsidRDefault="006536E7">
      <w:pPr>
        <w:jc w:val="center"/>
        <w:rPr>
          <w:rFonts w:ascii="Verdana" w:hAnsi="Verdana"/>
          <w:sz w:val="18"/>
          <w:szCs w:val="18"/>
        </w:rPr>
      </w:pPr>
      <w:r>
        <w:rPr>
          <w:rFonts w:ascii="Verdana" w:hAnsi="Verdana"/>
          <w:sz w:val="18"/>
          <w:szCs w:val="18"/>
        </w:rPr>
        <w:t>Faculty of Economic Informatics, Department of Accounting and Auditing</w:t>
      </w:r>
    </w:p>
    <w:p w:rsidR="005C3F63" w:rsidRDefault="006536E7">
      <w:pPr>
        <w:jc w:val="center"/>
        <w:rPr>
          <w:rFonts w:ascii="Verdana" w:hAnsi="Verdana"/>
          <w:sz w:val="18"/>
          <w:szCs w:val="18"/>
        </w:rPr>
      </w:pPr>
      <w:r>
        <w:rPr>
          <w:rFonts w:ascii="Verdana" w:hAnsi="Verdana"/>
          <w:sz w:val="18"/>
          <w:szCs w:val="18"/>
        </w:rPr>
        <w:t>Dolnozemská cesta 1/b, 852 35 Bratislava, Slovakia</w:t>
      </w:r>
    </w:p>
    <w:p w:rsidR="005C3F63" w:rsidRDefault="006536E7">
      <w:pPr>
        <w:jc w:val="center"/>
        <w:rPr>
          <w:rFonts w:ascii="Verdana" w:hAnsi="Verdana"/>
          <w:sz w:val="18"/>
          <w:szCs w:val="18"/>
        </w:rPr>
      </w:pPr>
      <w:r>
        <w:rPr>
          <w:rFonts w:ascii="Verdana" w:hAnsi="Verdana"/>
          <w:sz w:val="18"/>
          <w:szCs w:val="18"/>
        </w:rPr>
        <w:t>E-mail: jan.uzik@euba.sk</w:t>
      </w:r>
    </w:p>
    <w:p w:rsidR="005C3F63" w:rsidRDefault="005C3F63">
      <w:pPr>
        <w:jc w:val="center"/>
        <w:rPr>
          <w:rFonts w:ascii="Verdana" w:hAnsi="Verdana"/>
          <w:sz w:val="18"/>
          <w:szCs w:val="18"/>
        </w:rPr>
      </w:pPr>
    </w:p>
    <w:p w:rsidR="005C3F63" w:rsidRDefault="005C3F63">
      <w:pPr>
        <w:spacing w:after="120"/>
        <w:rPr>
          <w:rFonts w:ascii="Verdana" w:hAnsi="Verdana"/>
          <w:b/>
          <w:i/>
          <w:sz w:val="20"/>
          <w:szCs w:val="20"/>
        </w:rPr>
      </w:pPr>
    </w:p>
    <w:p w:rsidR="005C3F63" w:rsidRDefault="006536E7">
      <w:pPr>
        <w:spacing w:after="120"/>
        <w:rPr>
          <w:rFonts w:ascii="Verdana" w:hAnsi="Verdana"/>
          <w:i/>
          <w:sz w:val="20"/>
          <w:szCs w:val="20"/>
        </w:rPr>
      </w:pPr>
      <w:r>
        <w:rPr>
          <w:rFonts w:ascii="Verdana" w:hAnsi="Verdana"/>
          <w:b/>
          <w:i/>
          <w:sz w:val="20"/>
          <w:szCs w:val="20"/>
        </w:rPr>
        <w:t xml:space="preserve">Abstract: </w:t>
      </w:r>
      <w:r>
        <w:rPr>
          <w:rFonts w:ascii="Verdana" w:hAnsi="Verdana"/>
          <w:i/>
          <w:color w:val="000000" w:themeColor="text1"/>
          <w:sz w:val="20"/>
          <w:szCs w:val="20"/>
        </w:rPr>
        <w:t>Since 2020, the size criteria for statutory audited entities, have been increasing in the Slovak Republic. These size criteria will increase in three steps each year until 2022. The decline in number of statutory audited entities will be significant and will have major implications for the audit profession itself.</w:t>
      </w:r>
      <w:r>
        <w:rPr>
          <w:rFonts w:ascii="Verdana" w:hAnsi="Verdana"/>
          <w:color w:val="000000" w:themeColor="text1"/>
          <w:sz w:val="20"/>
          <w:szCs w:val="20"/>
        </w:rPr>
        <w:t xml:space="preserve"> </w:t>
      </w:r>
      <w:r>
        <w:rPr>
          <w:rFonts w:ascii="Verdana" w:hAnsi="Verdana"/>
          <w:i/>
          <w:color w:val="000000" w:themeColor="text1"/>
          <w:sz w:val="20"/>
          <w:szCs w:val="20"/>
        </w:rPr>
        <w:t xml:space="preserve">Among many other factors, an increase in size criteria may ultimately affect the basic requirement of the audit profession, namely independence. The aim of the paper is to point out the reasons for a possible threat to the auditor's independence due to the increasing size criteria for the statutory audit in the Slovak Republic. </w:t>
      </w:r>
      <w:r>
        <w:rPr>
          <w:rStyle w:val="tlid-translation"/>
          <w:rFonts w:ascii="Verdana" w:hAnsi="Verdana"/>
          <w:color w:val="000000" w:themeColor="text1"/>
          <w:sz w:val="20"/>
          <w:szCs w:val="20"/>
          <w:lang w:val="en"/>
        </w:rPr>
        <w:t>Based on the analysis of possible risks, we have come to the conclusion that increasing the size criteria may jeopardize the basic requirements of the audit profession and cause errors in the financial statements.</w:t>
      </w:r>
    </w:p>
    <w:p w:rsidR="005C3F63" w:rsidRDefault="005C3F63">
      <w:pPr>
        <w:spacing w:after="120"/>
        <w:rPr>
          <w:rFonts w:ascii="Verdana" w:hAnsi="Verdana"/>
          <w:i/>
          <w:sz w:val="20"/>
          <w:szCs w:val="20"/>
        </w:rPr>
      </w:pPr>
    </w:p>
    <w:p w:rsidR="005C3F63" w:rsidRDefault="006536E7">
      <w:pPr>
        <w:spacing w:after="120"/>
        <w:rPr>
          <w:rFonts w:ascii="Verdana" w:hAnsi="Verdana"/>
          <w:i/>
          <w:sz w:val="20"/>
          <w:szCs w:val="20"/>
        </w:rPr>
      </w:pPr>
      <w:r>
        <w:rPr>
          <w:rFonts w:ascii="Verdana" w:hAnsi="Verdana"/>
          <w:b/>
          <w:i/>
          <w:sz w:val="20"/>
          <w:szCs w:val="20"/>
        </w:rPr>
        <w:t>Keywords:</w:t>
      </w:r>
      <w:r>
        <w:rPr>
          <w:rFonts w:ascii="Verdana" w:hAnsi="Verdana"/>
          <w:i/>
          <w:sz w:val="20"/>
          <w:szCs w:val="20"/>
        </w:rPr>
        <w:t xml:space="preserve"> auditor, financial statements, obligatory audit, independence</w:t>
      </w:r>
    </w:p>
    <w:p w:rsidR="005C3F63" w:rsidRDefault="006536E7">
      <w:pPr>
        <w:rPr>
          <w:rFonts w:ascii="Verdana" w:hAnsi="Verdana"/>
          <w:i/>
          <w:sz w:val="20"/>
          <w:szCs w:val="20"/>
        </w:rPr>
      </w:pPr>
      <w:r>
        <w:rPr>
          <w:rFonts w:ascii="Verdana" w:hAnsi="Verdana"/>
          <w:i/>
          <w:sz w:val="20"/>
          <w:szCs w:val="20"/>
        </w:rPr>
        <w:t>JEL codes: M42</w:t>
      </w:r>
    </w:p>
    <w:p w:rsidR="005C3F63" w:rsidRDefault="005C3F63">
      <w:pPr>
        <w:rPr>
          <w:rFonts w:ascii="Verdana" w:hAnsi="Verdana"/>
          <w:b/>
          <w:bCs/>
          <w:sz w:val="20"/>
          <w:szCs w:val="20"/>
        </w:rPr>
      </w:pPr>
    </w:p>
    <w:p w:rsidR="005C3F63" w:rsidRDefault="006536E7">
      <w:pPr>
        <w:rPr>
          <w:rStyle w:val="KapitolaChar"/>
          <w:rFonts w:eastAsiaTheme="minorHAnsi"/>
          <w:bCs w:val="0"/>
          <w:lang w:val="sk-SK"/>
        </w:rPr>
      </w:pPr>
      <w:r>
        <w:rPr>
          <w:rStyle w:val="KapitolaChar"/>
          <w:rFonts w:eastAsiaTheme="minorHAnsi"/>
          <w:bCs w:val="0"/>
        </w:rPr>
        <w:t xml:space="preserve">1 </w:t>
      </w:r>
      <w:r>
        <w:rPr>
          <w:rStyle w:val="KapitolaChar"/>
          <w:rFonts w:eastAsiaTheme="minorHAnsi"/>
          <w:bCs w:val="0"/>
          <w:lang w:val="cs-CZ"/>
        </w:rPr>
        <w:t xml:space="preserve">Úvod </w:t>
      </w:r>
      <w:r>
        <w:rPr>
          <w:rStyle w:val="KapitolaChar"/>
          <w:rFonts w:eastAsiaTheme="minorHAnsi"/>
          <w:bCs w:val="0"/>
          <w:lang w:val="sk-SK"/>
        </w:rPr>
        <w:t>/ Introduction</w:t>
      </w:r>
    </w:p>
    <w:p w:rsidR="005C3F63" w:rsidRDefault="005C3F63">
      <w:pPr>
        <w:rPr>
          <w:rStyle w:val="KapitolaChar"/>
          <w:rFonts w:eastAsiaTheme="minorHAnsi"/>
          <w:bCs w:val="0"/>
          <w:lang w:val="sk-SK"/>
        </w:rPr>
      </w:pPr>
    </w:p>
    <w:p w:rsidR="005C3F63" w:rsidRDefault="006536E7">
      <w:pPr>
        <w:rPr>
          <w:rStyle w:val="KapitolaChar"/>
          <w:rFonts w:eastAsiaTheme="minorHAnsi"/>
          <w:b w:val="0"/>
          <w:bCs w:val="0"/>
          <w:sz w:val="20"/>
          <w:szCs w:val="20"/>
          <w:lang w:val="sk-SK"/>
        </w:rPr>
      </w:pPr>
      <w:r>
        <w:rPr>
          <w:rStyle w:val="KapitolaChar"/>
          <w:rFonts w:eastAsiaTheme="minorHAnsi"/>
          <w:b w:val="0"/>
          <w:bCs w:val="0"/>
          <w:sz w:val="20"/>
          <w:szCs w:val="20"/>
          <w:lang w:val="sk-SK"/>
        </w:rPr>
        <w:t>Podstatou štatutárneho auditu účtovnej závierky je na základe vykonaného auditu vyjadriť názor audítora na účtovnú závierku, či účtovná závierka verne a pravdivo zobrazuje skutočnosti, ktoré sú predmetom účtovníctva ako aj finančnú situáciu účtovnej jednotky. Štatutárny audit teda bez pochýb významne prispieva ku skvalitneniu vedenia účtovníctva účtovných jednotiek a k skvalitneniu účtovného výkazníctva</w:t>
      </w:r>
      <w:r>
        <w:rPr>
          <w:rStyle w:val="KapitolaChar"/>
          <w:rFonts w:eastAsiaTheme="minorHAnsi"/>
          <w:b w:val="0"/>
          <w:bCs w:val="0"/>
          <w:color w:val="000000" w:themeColor="text1"/>
          <w:sz w:val="20"/>
          <w:szCs w:val="20"/>
          <w:lang w:val="sk-SK"/>
        </w:rPr>
        <w:t xml:space="preserve"> (</w:t>
      </w:r>
      <w:r>
        <w:rPr>
          <w:rFonts w:ascii="Verdana" w:hAnsi="Verdana"/>
          <w:color w:val="000000" w:themeColor="text1"/>
          <w:sz w:val="20"/>
          <w:szCs w:val="20"/>
        </w:rPr>
        <w:t xml:space="preserve">Antoniuk, Chizevska,  Semenyshena, 2019). </w:t>
      </w:r>
      <w:r>
        <w:rPr>
          <w:rStyle w:val="KapitolaChar"/>
          <w:rFonts w:eastAsiaTheme="minorHAnsi"/>
          <w:b w:val="0"/>
          <w:bCs w:val="0"/>
          <w:sz w:val="20"/>
          <w:szCs w:val="20"/>
          <w:lang w:val="sk-SK"/>
        </w:rPr>
        <w:t xml:space="preserve">Dôvody, ktoré vedú účtovné jednotky k zabezpečeniu štatutárneho auditu svojej účtovnej závierky sú rôzne. Okrem tzv. nepovinných štatutárnych auditov, ktoré požaduje manažment, vlastníci účtovnej jednotky, banky, materské spoločnosti a pod. sú účtovným jednotkám štatutárne audity poskytované na základe povinnosti danej zákonom, najmä zákonom o účtovníctve. Tieto tzv. povinné audity, kritéria pre povinnosť auditu, vplyv zmien týchto kritérií na audítorskú činnosť vrátane možného vplyvu na nezávislosť audítorov, ako na jeden z najvýznamnejších predpokladov výkonu štatutárneho auditu, sú predmetom nášho príspevku. </w:t>
      </w:r>
    </w:p>
    <w:p w:rsidR="005C3F63" w:rsidRDefault="005C3F63">
      <w:pPr>
        <w:rPr>
          <w:rStyle w:val="KapitolaChar"/>
          <w:rFonts w:eastAsiaTheme="minorHAnsi"/>
          <w:b w:val="0"/>
          <w:bCs w:val="0"/>
          <w:sz w:val="20"/>
          <w:szCs w:val="20"/>
          <w:lang w:val="sk-SK"/>
        </w:rPr>
      </w:pPr>
    </w:p>
    <w:p w:rsidR="005C3F63" w:rsidRDefault="006536E7">
      <w:pPr>
        <w:rPr>
          <w:rStyle w:val="KapitolaChar"/>
          <w:rFonts w:eastAsiaTheme="minorHAnsi"/>
          <w:lang w:val="sk-SK"/>
        </w:rPr>
      </w:pPr>
      <w:r>
        <w:rPr>
          <w:rStyle w:val="KapitolaChar"/>
          <w:rFonts w:eastAsiaTheme="minorHAnsi"/>
          <w:lang w:val="cs-CZ"/>
        </w:rPr>
        <w:t xml:space="preserve">2 </w:t>
      </w:r>
      <w:r>
        <w:rPr>
          <w:rStyle w:val="KapitolaChar"/>
          <w:rFonts w:eastAsiaTheme="minorHAnsi"/>
          <w:lang w:val="sk-SK"/>
        </w:rPr>
        <w:t>Metodológia</w:t>
      </w:r>
      <w:r>
        <w:rPr>
          <w:rStyle w:val="KapitolaChar"/>
          <w:rFonts w:eastAsiaTheme="minorHAnsi"/>
          <w:lang w:val="cs-CZ"/>
        </w:rPr>
        <w:t xml:space="preserve"> a </w:t>
      </w:r>
      <w:r>
        <w:rPr>
          <w:rStyle w:val="KapitolaChar"/>
          <w:rFonts w:eastAsiaTheme="minorHAnsi"/>
          <w:lang w:val="sk-SK"/>
        </w:rPr>
        <w:t>zdrojové údaje / Methodology and Data</w:t>
      </w:r>
    </w:p>
    <w:p w:rsidR="005C3F63" w:rsidRDefault="005C3F63">
      <w:pPr>
        <w:rPr>
          <w:rStyle w:val="KapitolaChar"/>
          <w:rFonts w:eastAsiaTheme="minorHAnsi"/>
          <w:lang w:val="sk-SK"/>
        </w:rPr>
      </w:pPr>
    </w:p>
    <w:p w:rsidR="005C3F63" w:rsidRDefault="006536E7">
      <w:pPr>
        <w:rPr>
          <w:rStyle w:val="KapitolaChar"/>
          <w:rFonts w:eastAsiaTheme="minorHAnsi"/>
          <w:b w:val="0"/>
          <w:bCs w:val="0"/>
          <w:sz w:val="20"/>
          <w:szCs w:val="20"/>
          <w:lang w:val="sk-SK"/>
        </w:rPr>
      </w:pPr>
      <w:r>
        <w:rPr>
          <w:rStyle w:val="KapitolaChar"/>
          <w:rFonts w:eastAsiaTheme="minorHAnsi"/>
          <w:b w:val="0"/>
          <w:bCs w:val="0"/>
          <w:sz w:val="20"/>
          <w:szCs w:val="20"/>
          <w:lang w:val="sk-SK"/>
        </w:rPr>
        <w:t xml:space="preserve">Svoju pozornosť sme venovali analýze momentálne vysoko pertraktovanej problematiky. Zvyšovanie veľkostných kritérií pre zaradenie účtovných jednotiek do skupiny povinného auditu účtovnej závierky je problematika, ktorá sa v odborných kruhoch diskutuje pomerne dlhé obdobie. Veľkú časť potrebných údajov sme získali zozbieraním údajov z príslušných domácich a zahraničných zdrojov týkajúcich sa štatistík veľkostných kritérií na povinný audit v krajinách Európskej únie. Za účelom získania názorov príslušníkov audítorskej profesie boli vedené rozhovory na báze osobnej komunikácie. V rámci </w:t>
      </w:r>
      <w:r>
        <w:rPr>
          <w:rStyle w:val="KapitolaChar"/>
          <w:rFonts w:eastAsiaTheme="minorHAnsi"/>
          <w:b w:val="0"/>
          <w:bCs w:val="0"/>
          <w:sz w:val="20"/>
          <w:szCs w:val="20"/>
          <w:lang w:val="sk-SK"/>
        </w:rPr>
        <w:lastRenderedPageBreak/>
        <w:t>uplatňovania syntézy sme mohli sledovať vzťahy a súvislosti, ktoré vznikajú pri zmene veľkostných kritérií a môžu zapríčiniť ohrozenie základných predpokladov audítorskej profesie. Pri hodnotení záverov a prípadných ohrození sme uplatňovali subjektivizmus.</w:t>
      </w:r>
    </w:p>
    <w:p w:rsidR="005C3F63" w:rsidRDefault="005C3F63">
      <w:pPr>
        <w:rPr>
          <w:rStyle w:val="KapitolaChar"/>
          <w:rFonts w:eastAsiaTheme="minorHAnsi"/>
          <w:b w:val="0"/>
          <w:bCs w:val="0"/>
          <w:sz w:val="20"/>
          <w:szCs w:val="20"/>
          <w:lang w:val="sk-SK"/>
        </w:rPr>
      </w:pPr>
    </w:p>
    <w:p w:rsidR="005C3F63" w:rsidRDefault="006536E7">
      <w:pPr>
        <w:rPr>
          <w:rFonts w:ascii="Verdana" w:hAnsi="Verdana"/>
          <w:b/>
          <w:bCs/>
          <w:lang w:val="sk-SK"/>
        </w:rPr>
      </w:pPr>
      <w:r>
        <w:rPr>
          <w:rFonts w:ascii="Verdana" w:hAnsi="Verdana"/>
          <w:b/>
          <w:bCs/>
          <w:lang w:val="cs-CZ"/>
        </w:rPr>
        <w:t>3 Výsledky a diskusia</w:t>
      </w:r>
      <w:r>
        <w:rPr>
          <w:rFonts w:ascii="Verdana" w:hAnsi="Verdana"/>
          <w:b/>
          <w:bCs/>
          <w:lang w:val="sk-SK"/>
        </w:rPr>
        <w:t xml:space="preserve"> / Results and Discussion</w:t>
      </w:r>
    </w:p>
    <w:p w:rsidR="005C3F63" w:rsidRDefault="005C3F63">
      <w:pPr>
        <w:rPr>
          <w:rFonts w:ascii="Verdana" w:hAnsi="Verdana"/>
          <w:b/>
          <w:bCs/>
          <w:lang w:val="cs-CZ"/>
        </w:rPr>
      </w:pPr>
    </w:p>
    <w:p w:rsidR="005C3F63" w:rsidRDefault="006536E7">
      <w:pPr>
        <w:rPr>
          <w:rFonts w:ascii="Verdana" w:hAnsi="Verdana"/>
          <w:sz w:val="20"/>
          <w:szCs w:val="20"/>
        </w:rPr>
      </w:pPr>
      <w:r>
        <w:rPr>
          <w:rFonts w:ascii="Verdana" w:hAnsi="Verdana"/>
          <w:sz w:val="20"/>
          <w:szCs w:val="20"/>
        </w:rPr>
        <w:t xml:space="preserve">Cieľom auditu účtovnej závierky (štatutárneho auditu) je, aby údaje v účtovnej závierke boli overené nezávislým odborníkom (v tomto význame audítorom), a týmto úkonom získali na relevantnosti a vierohodnosti. </w:t>
      </w:r>
    </w:p>
    <w:p w:rsidR="005C3F63" w:rsidRDefault="006536E7">
      <w:pPr>
        <w:rPr>
          <w:rFonts w:ascii="Verdana" w:hAnsi="Verdana"/>
          <w:sz w:val="20"/>
          <w:szCs w:val="20"/>
        </w:rPr>
      </w:pPr>
      <w:r>
        <w:rPr>
          <w:rFonts w:ascii="Verdana" w:hAnsi="Verdana"/>
          <w:sz w:val="20"/>
          <w:szCs w:val="20"/>
        </w:rPr>
        <w:t>Určité, zákonom vymedzené, účtovné jednotky majú povinnosť mať účtovnú závierku overenú audítorom. Primárnym zdrojom vymedzenia takýchto účtovných jednotiek je Zákon o účtovníctve. V jeho zmysle majú povinné overenie účtovnej závierky tieto účtovné jednotky:</w:t>
      </w:r>
    </w:p>
    <w:p w:rsidR="005C3F63" w:rsidRDefault="006536E7">
      <w:pPr>
        <w:pStyle w:val="afd"/>
        <w:numPr>
          <w:ilvl w:val="0"/>
          <w:numId w:val="20"/>
        </w:numPr>
        <w:rPr>
          <w:rFonts w:ascii="Verdana" w:hAnsi="Verdana"/>
          <w:sz w:val="20"/>
          <w:szCs w:val="20"/>
        </w:rPr>
      </w:pPr>
      <w:r>
        <w:rPr>
          <w:rFonts w:ascii="Verdana" w:hAnsi="Verdana"/>
          <w:sz w:val="20"/>
          <w:szCs w:val="20"/>
        </w:rPr>
        <w:t>obchodné spoločnosti a družstvá, ktoré dosiahnu za dve po sebe nasledujúce účtovné obdobia minimálne dve z týchto troch podmienok:</w:t>
      </w:r>
    </w:p>
    <w:p w:rsidR="005C3F63" w:rsidRDefault="006536E7">
      <w:pPr>
        <w:pStyle w:val="afd"/>
        <w:numPr>
          <w:ilvl w:val="0"/>
          <w:numId w:val="21"/>
        </w:numPr>
        <w:rPr>
          <w:rFonts w:ascii="Verdana" w:hAnsi="Verdana"/>
          <w:sz w:val="20"/>
          <w:szCs w:val="20"/>
        </w:rPr>
      </w:pPr>
      <w:r>
        <w:rPr>
          <w:rFonts w:ascii="Verdana" w:hAnsi="Verdana"/>
          <w:sz w:val="20"/>
          <w:szCs w:val="20"/>
        </w:rPr>
        <w:t>celková suma majetku presiahne 2 000 000 eur,</w:t>
      </w:r>
    </w:p>
    <w:p w:rsidR="005C3F63" w:rsidRDefault="006536E7">
      <w:pPr>
        <w:pStyle w:val="afd"/>
        <w:numPr>
          <w:ilvl w:val="0"/>
          <w:numId w:val="21"/>
        </w:numPr>
        <w:rPr>
          <w:rFonts w:ascii="Verdana" w:hAnsi="Verdana"/>
          <w:sz w:val="20"/>
          <w:szCs w:val="20"/>
        </w:rPr>
      </w:pPr>
      <w:r>
        <w:rPr>
          <w:rFonts w:ascii="Verdana" w:hAnsi="Verdana"/>
          <w:sz w:val="20"/>
          <w:szCs w:val="20"/>
        </w:rPr>
        <w:t>čistý obrat presiahne 4 000 000 eur,</w:t>
      </w:r>
    </w:p>
    <w:p w:rsidR="005C3F63" w:rsidRDefault="006536E7">
      <w:pPr>
        <w:pStyle w:val="afd"/>
        <w:numPr>
          <w:ilvl w:val="0"/>
          <w:numId w:val="21"/>
        </w:numPr>
        <w:rPr>
          <w:rFonts w:ascii="Verdana" w:hAnsi="Verdana"/>
          <w:sz w:val="20"/>
          <w:szCs w:val="20"/>
        </w:rPr>
      </w:pPr>
      <w:r>
        <w:rPr>
          <w:rFonts w:ascii="Verdana" w:hAnsi="Verdana"/>
          <w:sz w:val="20"/>
          <w:szCs w:val="20"/>
        </w:rPr>
        <w:t>priemerný prepočítaný počet zamestnancov je 30;</w:t>
      </w:r>
    </w:p>
    <w:p w:rsidR="005C3F63" w:rsidRDefault="006536E7">
      <w:pPr>
        <w:pStyle w:val="afd"/>
        <w:numPr>
          <w:ilvl w:val="0"/>
          <w:numId w:val="20"/>
        </w:numPr>
        <w:rPr>
          <w:rFonts w:ascii="Verdana" w:hAnsi="Verdana"/>
          <w:sz w:val="20"/>
          <w:szCs w:val="20"/>
        </w:rPr>
      </w:pPr>
      <w:r>
        <w:rPr>
          <w:rFonts w:ascii="Verdana" w:hAnsi="Verdana"/>
          <w:sz w:val="20"/>
          <w:szCs w:val="20"/>
        </w:rPr>
        <w:t>obchodné spoločnosti a družstvá, ktorých cenné papiere boli prijaté na obchodovanie na regulovanom trhu;</w:t>
      </w:r>
    </w:p>
    <w:p w:rsidR="005C3F63" w:rsidRDefault="006536E7">
      <w:pPr>
        <w:pStyle w:val="afd"/>
        <w:numPr>
          <w:ilvl w:val="0"/>
          <w:numId w:val="20"/>
        </w:numPr>
        <w:rPr>
          <w:rFonts w:ascii="Verdana" w:hAnsi="Verdana"/>
          <w:sz w:val="20"/>
          <w:szCs w:val="20"/>
        </w:rPr>
      </w:pPr>
      <w:r>
        <w:rPr>
          <w:rFonts w:ascii="Verdana" w:hAnsi="Verdana"/>
          <w:sz w:val="20"/>
          <w:szCs w:val="20"/>
        </w:rPr>
        <w:t>účtovné jednotky, ktorým to ustanovuje osobitný predpis, napríklad zákon o energetike, zákon o poštových službách, zákon o nadáciách, a pod.;</w:t>
      </w:r>
    </w:p>
    <w:p w:rsidR="005C3F63" w:rsidRDefault="006536E7">
      <w:pPr>
        <w:pStyle w:val="afd"/>
        <w:numPr>
          <w:ilvl w:val="0"/>
          <w:numId w:val="20"/>
        </w:numPr>
        <w:rPr>
          <w:rFonts w:ascii="Verdana" w:hAnsi="Verdana"/>
          <w:sz w:val="20"/>
          <w:szCs w:val="20"/>
        </w:rPr>
      </w:pPr>
      <w:r>
        <w:rPr>
          <w:rFonts w:ascii="Verdana" w:hAnsi="Verdana"/>
          <w:sz w:val="20"/>
          <w:szCs w:val="20"/>
        </w:rPr>
        <w:t>účtovné jednotky, ktoré zostavujú účtovnú závierku v súlade s IFRS;</w:t>
      </w:r>
    </w:p>
    <w:p w:rsidR="005C3F63" w:rsidRDefault="006536E7">
      <w:pPr>
        <w:pStyle w:val="afd"/>
        <w:numPr>
          <w:ilvl w:val="0"/>
          <w:numId w:val="20"/>
        </w:numPr>
        <w:rPr>
          <w:rFonts w:ascii="Verdana" w:hAnsi="Verdana"/>
          <w:sz w:val="20"/>
          <w:szCs w:val="20"/>
        </w:rPr>
      </w:pPr>
      <w:r>
        <w:rPr>
          <w:rFonts w:ascii="Verdana" w:hAnsi="Verdana"/>
          <w:sz w:val="20"/>
          <w:szCs w:val="20"/>
        </w:rPr>
        <w:t>účtovné jednotky, ktoré zostavujú konsolidovanú účtovnú závierku;</w:t>
      </w:r>
    </w:p>
    <w:p w:rsidR="005C3F63" w:rsidRDefault="006536E7">
      <w:pPr>
        <w:pStyle w:val="afd"/>
        <w:numPr>
          <w:ilvl w:val="0"/>
          <w:numId w:val="20"/>
        </w:numPr>
        <w:rPr>
          <w:rFonts w:ascii="Verdana" w:hAnsi="Verdana"/>
          <w:sz w:val="20"/>
          <w:szCs w:val="20"/>
        </w:rPr>
      </w:pPr>
      <w:r>
        <w:rPr>
          <w:rFonts w:ascii="Verdana" w:hAnsi="Verdana"/>
          <w:sz w:val="20"/>
          <w:szCs w:val="20"/>
        </w:rPr>
        <w:t>účtovné jednotky, ktorých suma ročného podielu prijatej dane je vyššia ako 35 000 eur;</w:t>
      </w:r>
    </w:p>
    <w:p w:rsidR="005C3F63" w:rsidRDefault="006536E7">
      <w:pPr>
        <w:pStyle w:val="afd"/>
        <w:numPr>
          <w:ilvl w:val="0"/>
          <w:numId w:val="20"/>
        </w:numPr>
        <w:rPr>
          <w:rFonts w:ascii="Verdana" w:hAnsi="Verdana"/>
          <w:sz w:val="20"/>
          <w:szCs w:val="20"/>
        </w:rPr>
      </w:pPr>
      <w:r>
        <w:rPr>
          <w:rFonts w:ascii="Verdana" w:hAnsi="Verdana"/>
          <w:sz w:val="20"/>
          <w:szCs w:val="20"/>
        </w:rPr>
        <w:t>subjekty verejného záujmu, ktoré však častokrát spĺňajú aj už vyššie uvedené podmienky.</w:t>
      </w:r>
    </w:p>
    <w:p w:rsidR="005C3F63" w:rsidRDefault="006536E7">
      <w:pPr>
        <w:rPr>
          <w:rFonts w:ascii="Verdana" w:hAnsi="Verdana"/>
          <w:i/>
          <w:iCs/>
          <w:sz w:val="20"/>
          <w:szCs w:val="20"/>
        </w:rPr>
      </w:pPr>
      <w:r>
        <w:rPr>
          <w:rFonts w:ascii="Verdana" w:hAnsi="Verdana"/>
          <w:sz w:val="20"/>
          <w:szCs w:val="20"/>
        </w:rPr>
        <w:t xml:space="preserve">Je potrebné podotknúť, že uvedené veľkostné kritéria pre povinnosť auditu uvedené v písm. a) boli od roku 2020 pri celkovej sume majetku a čistom obrate zvýšené dvojnásobne. </w:t>
      </w:r>
      <w:r>
        <w:rPr>
          <w:rFonts w:ascii="Verdana" w:hAnsi="Verdana"/>
          <w:i/>
          <w:iCs/>
          <w:sz w:val="20"/>
          <w:szCs w:val="20"/>
        </w:rPr>
        <w:t xml:space="preserve">Pri súčasných kritériách pre povinný audit účtovnej závierky, podlieha povinnosti auditu približne 10 000 – 11 000 účtovných jednotiek, čo je už približne o 25 % menej ako pred zvýšením veľkostných kritérií pred rokom 2020. </w:t>
      </w:r>
    </w:p>
    <w:p w:rsidR="005C3F63" w:rsidRDefault="006536E7">
      <w:pPr>
        <w:rPr>
          <w:rFonts w:ascii="Verdana" w:hAnsi="Verdana"/>
          <w:sz w:val="20"/>
          <w:szCs w:val="20"/>
        </w:rPr>
      </w:pPr>
      <w:r>
        <w:rPr>
          <w:rFonts w:ascii="Verdana" w:hAnsi="Verdana"/>
          <w:sz w:val="20"/>
          <w:szCs w:val="20"/>
        </w:rPr>
        <w:t>Zámerom nášho príspevku je orientácia práve na uvedené veľkostné kritéria, pretože táto skupina tvorí najvyšší podiel na celkovom počte povinných auditov. V júli 2020 Vláda SR odsúhlasila, s cieľom zjednodušenia podnikateľského prostredia v SR, opätovné zvýšenie veľkostných kritérií pre povinný audit obchodných spoločností a družstiev, a to nasledovne:</w:t>
      </w:r>
    </w:p>
    <w:p w:rsidR="005C3F63" w:rsidRDefault="006536E7">
      <w:pPr>
        <w:pStyle w:val="afd"/>
        <w:numPr>
          <w:ilvl w:val="0"/>
          <w:numId w:val="22"/>
        </w:numPr>
        <w:rPr>
          <w:rFonts w:ascii="Verdana" w:hAnsi="Verdana"/>
          <w:sz w:val="20"/>
          <w:szCs w:val="20"/>
        </w:rPr>
      </w:pPr>
      <w:r>
        <w:rPr>
          <w:rFonts w:ascii="Verdana" w:hAnsi="Verdana"/>
          <w:b/>
          <w:bCs/>
          <w:sz w:val="20"/>
          <w:szCs w:val="20"/>
        </w:rPr>
        <w:t>pre účtovné obdobie začínajúce sa od 1.1.2021</w:t>
      </w:r>
      <w:r>
        <w:rPr>
          <w:rFonts w:ascii="Verdana" w:hAnsi="Verdana"/>
          <w:sz w:val="20"/>
          <w:szCs w:val="20"/>
        </w:rPr>
        <w:t>:</w:t>
      </w:r>
    </w:p>
    <w:p w:rsidR="005C3F63" w:rsidRDefault="006536E7">
      <w:pPr>
        <w:pStyle w:val="afd"/>
        <w:numPr>
          <w:ilvl w:val="0"/>
          <w:numId w:val="21"/>
        </w:numPr>
        <w:rPr>
          <w:rFonts w:ascii="Verdana" w:hAnsi="Verdana"/>
          <w:sz w:val="20"/>
          <w:szCs w:val="20"/>
        </w:rPr>
      </w:pPr>
      <w:r>
        <w:rPr>
          <w:rFonts w:ascii="Verdana" w:hAnsi="Verdana"/>
          <w:sz w:val="20"/>
          <w:szCs w:val="20"/>
        </w:rPr>
        <w:t>celková suma majetku presiahne 3 000 000 eur,</w:t>
      </w:r>
    </w:p>
    <w:p w:rsidR="005C3F63" w:rsidRDefault="006536E7">
      <w:pPr>
        <w:pStyle w:val="afd"/>
        <w:numPr>
          <w:ilvl w:val="0"/>
          <w:numId w:val="21"/>
        </w:numPr>
        <w:rPr>
          <w:rFonts w:ascii="Verdana" w:hAnsi="Verdana"/>
          <w:sz w:val="20"/>
          <w:szCs w:val="20"/>
        </w:rPr>
      </w:pPr>
      <w:r>
        <w:rPr>
          <w:rFonts w:ascii="Verdana" w:hAnsi="Verdana"/>
          <w:sz w:val="20"/>
          <w:szCs w:val="20"/>
        </w:rPr>
        <w:t>čistý obrat presiahne 6 000 000 eur,</w:t>
      </w:r>
    </w:p>
    <w:p w:rsidR="005C3F63" w:rsidRDefault="006536E7">
      <w:pPr>
        <w:pStyle w:val="afd"/>
        <w:numPr>
          <w:ilvl w:val="0"/>
          <w:numId w:val="21"/>
        </w:numPr>
        <w:rPr>
          <w:rFonts w:ascii="Verdana" w:hAnsi="Verdana"/>
          <w:sz w:val="20"/>
          <w:szCs w:val="20"/>
        </w:rPr>
      </w:pPr>
      <w:r>
        <w:rPr>
          <w:rFonts w:ascii="Verdana" w:hAnsi="Verdana"/>
          <w:sz w:val="20"/>
          <w:szCs w:val="20"/>
        </w:rPr>
        <w:t>priemerný prepočítaný počet zamestnancov presiahne 40;</w:t>
      </w:r>
    </w:p>
    <w:p w:rsidR="005C3F63" w:rsidRDefault="006536E7">
      <w:pPr>
        <w:pStyle w:val="afd"/>
        <w:numPr>
          <w:ilvl w:val="0"/>
          <w:numId w:val="22"/>
        </w:numPr>
        <w:rPr>
          <w:rFonts w:ascii="Verdana" w:hAnsi="Verdana"/>
          <w:sz w:val="20"/>
          <w:szCs w:val="20"/>
        </w:rPr>
      </w:pPr>
      <w:r>
        <w:rPr>
          <w:rFonts w:ascii="Verdana" w:hAnsi="Verdana"/>
          <w:b/>
          <w:bCs/>
          <w:sz w:val="20"/>
          <w:szCs w:val="20"/>
        </w:rPr>
        <w:t>pre účtovné obdobie začínajúce sa od 1.1.2022</w:t>
      </w:r>
      <w:r>
        <w:rPr>
          <w:rFonts w:ascii="Verdana" w:hAnsi="Verdana"/>
          <w:sz w:val="20"/>
          <w:szCs w:val="20"/>
        </w:rPr>
        <w:t>:</w:t>
      </w:r>
    </w:p>
    <w:p w:rsidR="005C3F63" w:rsidRDefault="006536E7">
      <w:pPr>
        <w:pStyle w:val="afd"/>
        <w:numPr>
          <w:ilvl w:val="0"/>
          <w:numId w:val="21"/>
        </w:numPr>
        <w:rPr>
          <w:rFonts w:ascii="Verdana" w:hAnsi="Verdana"/>
          <w:sz w:val="20"/>
          <w:szCs w:val="20"/>
        </w:rPr>
      </w:pPr>
      <w:r>
        <w:rPr>
          <w:rFonts w:ascii="Verdana" w:hAnsi="Verdana"/>
          <w:sz w:val="20"/>
          <w:szCs w:val="20"/>
        </w:rPr>
        <w:t>celková suma majetku presiahne 4 000 000 eur,</w:t>
      </w:r>
    </w:p>
    <w:p w:rsidR="005C3F63" w:rsidRDefault="006536E7">
      <w:pPr>
        <w:pStyle w:val="afd"/>
        <w:numPr>
          <w:ilvl w:val="0"/>
          <w:numId w:val="21"/>
        </w:numPr>
        <w:rPr>
          <w:rFonts w:ascii="Verdana" w:hAnsi="Verdana"/>
          <w:sz w:val="20"/>
          <w:szCs w:val="20"/>
        </w:rPr>
      </w:pPr>
      <w:r>
        <w:rPr>
          <w:rFonts w:ascii="Verdana" w:hAnsi="Verdana"/>
          <w:sz w:val="20"/>
          <w:szCs w:val="20"/>
        </w:rPr>
        <w:t>čistý obrat presiahne 8 000 000 eur,</w:t>
      </w:r>
    </w:p>
    <w:p w:rsidR="005C3F63" w:rsidRDefault="006536E7">
      <w:pPr>
        <w:pStyle w:val="afd"/>
        <w:numPr>
          <w:ilvl w:val="0"/>
          <w:numId w:val="21"/>
        </w:numPr>
        <w:rPr>
          <w:rFonts w:ascii="Verdana" w:hAnsi="Verdana"/>
          <w:sz w:val="20"/>
          <w:szCs w:val="20"/>
        </w:rPr>
      </w:pPr>
      <w:r>
        <w:rPr>
          <w:rFonts w:ascii="Verdana" w:hAnsi="Verdana"/>
          <w:sz w:val="20"/>
          <w:szCs w:val="20"/>
        </w:rPr>
        <w:t>priemerný prepočítaný počet zamestnancov presiahne 50</w:t>
      </w:r>
    </w:p>
    <w:p w:rsidR="005C3F63" w:rsidRDefault="005C3F63">
      <w:pPr>
        <w:pStyle w:val="afd"/>
        <w:ind w:left="1080"/>
        <w:rPr>
          <w:rFonts w:ascii="Verdana" w:hAnsi="Verdana"/>
          <w:sz w:val="20"/>
          <w:szCs w:val="20"/>
        </w:rPr>
      </w:pPr>
    </w:p>
    <w:p w:rsidR="005C3F63" w:rsidRDefault="006536E7">
      <w:pPr>
        <w:jc w:val="center"/>
        <w:rPr>
          <w:rFonts w:ascii="Verdana" w:hAnsi="Verdana"/>
          <w:sz w:val="20"/>
          <w:szCs w:val="20"/>
        </w:rPr>
      </w:pPr>
      <w:r>
        <w:rPr>
          <w:rFonts w:ascii="Verdana" w:hAnsi="Verdana"/>
          <w:sz w:val="20"/>
          <w:szCs w:val="20"/>
        </w:rPr>
        <w:t xml:space="preserve"> </w:t>
      </w:r>
      <w:r>
        <w:rPr>
          <w:rFonts w:ascii="Verdana" w:hAnsi="Verdana"/>
          <w:b/>
          <w:sz w:val="20"/>
          <w:szCs w:val="20"/>
        </w:rPr>
        <w:t>Tabuľka 1</w:t>
      </w:r>
      <w:r>
        <w:rPr>
          <w:rFonts w:ascii="Verdana" w:hAnsi="Verdana"/>
          <w:sz w:val="20"/>
          <w:szCs w:val="20"/>
        </w:rPr>
        <w:t xml:space="preserve"> Veľkostné kritéria pre povinný audit obchodných spoločností a družstiev </w:t>
      </w:r>
    </w:p>
    <w:p w:rsidR="005C3F63" w:rsidRDefault="006536E7">
      <w:pPr>
        <w:jc w:val="center"/>
        <w:rPr>
          <w:rFonts w:ascii="Verdana" w:hAnsi="Verdana"/>
          <w:sz w:val="20"/>
          <w:szCs w:val="20"/>
        </w:rPr>
      </w:pPr>
      <w:r>
        <w:rPr>
          <w:rFonts w:ascii="Verdana" w:hAnsi="Verdana"/>
          <w:sz w:val="20"/>
          <w:szCs w:val="20"/>
        </w:rPr>
        <w:t>od roku 2019</w:t>
      </w:r>
    </w:p>
    <w:p w:rsidR="005C3F63" w:rsidRDefault="005C3F63">
      <w:pPr>
        <w:rPr>
          <w:rFonts w:ascii="Verdana" w:hAnsi="Verdana"/>
          <w:sz w:val="20"/>
          <w:szCs w:val="20"/>
        </w:rPr>
      </w:pPr>
    </w:p>
    <w:tbl>
      <w:tblPr>
        <w:tblW w:w="0" w:type="auto"/>
        <w:jc w:val="center"/>
        <w:tblBorders>
          <w:top w:val="single" w:sz="8" w:space="0" w:color="000000"/>
          <w:bottom w:val="single" w:sz="8" w:space="0" w:color="000000"/>
        </w:tblBorders>
        <w:tblLook w:val="04A0" w:firstRow="1" w:lastRow="0" w:firstColumn="1" w:lastColumn="0" w:noHBand="0" w:noVBand="1"/>
      </w:tblPr>
      <w:tblGrid>
        <w:gridCol w:w="2835"/>
        <w:gridCol w:w="1418"/>
        <w:gridCol w:w="1276"/>
        <w:gridCol w:w="1275"/>
        <w:gridCol w:w="1276"/>
      </w:tblGrid>
      <w:tr w:rsidR="005C3F63">
        <w:trPr>
          <w:jc w:val="center"/>
        </w:trPr>
        <w:tc>
          <w:tcPr>
            <w:tcW w:w="2835" w:type="dxa"/>
            <w:tcBorders>
              <w:top w:val="single" w:sz="8" w:space="0" w:color="000000"/>
              <w:left w:val="nil"/>
              <w:bottom w:val="double" w:sz="4" w:space="0" w:color="auto"/>
              <w:right w:val="nil"/>
            </w:tcBorders>
          </w:tcPr>
          <w:p w:rsidR="005C3F63" w:rsidRDefault="005C3F63">
            <w:pPr>
              <w:rPr>
                <w:rFonts w:ascii="Verdana" w:hAnsi="Verdana"/>
                <w:b/>
                <w:bCs/>
                <w:color w:val="000000"/>
                <w:sz w:val="20"/>
                <w:szCs w:val="20"/>
              </w:rPr>
            </w:pPr>
          </w:p>
        </w:tc>
        <w:tc>
          <w:tcPr>
            <w:tcW w:w="1418"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rPr>
            </w:pPr>
            <w:r>
              <w:rPr>
                <w:rFonts w:ascii="Verdana" w:hAnsi="Verdana"/>
                <w:b/>
                <w:bCs/>
                <w:color w:val="000000"/>
                <w:sz w:val="20"/>
                <w:szCs w:val="20"/>
              </w:rPr>
              <w:t>2019</w:t>
            </w:r>
          </w:p>
        </w:tc>
        <w:tc>
          <w:tcPr>
            <w:tcW w:w="1276"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rPr>
            </w:pPr>
            <w:r>
              <w:rPr>
                <w:rFonts w:ascii="Verdana" w:hAnsi="Verdana"/>
                <w:b/>
                <w:bCs/>
                <w:color w:val="000000"/>
                <w:sz w:val="20"/>
                <w:szCs w:val="20"/>
              </w:rPr>
              <w:t>2020</w:t>
            </w:r>
          </w:p>
        </w:tc>
        <w:tc>
          <w:tcPr>
            <w:tcW w:w="1275"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rPr>
            </w:pPr>
            <w:r>
              <w:rPr>
                <w:rFonts w:ascii="Verdana" w:hAnsi="Verdana"/>
                <w:b/>
                <w:bCs/>
                <w:color w:val="000000"/>
                <w:sz w:val="20"/>
                <w:szCs w:val="20"/>
              </w:rPr>
              <w:t>2021</w:t>
            </w:r>
          </w:p>
        </w:tc>
        <w:tc>
          <w:tcPr>
            <w:tcW w:w="1276"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rPr>
            </w:pPr>
            <w:r>
              <w:rPr>
                <w:rFonts w:ascii="Verdana" w:hAnsi="Verdana"/>
                <w:b/>
                <w:bCs/>
                <w:color w:val="000000"/>
                <w:sz w:val="20"/>
                <w:szCs w:val="20"/>
              </w:rPr>
              <w:t>2022</w:t>
            </w:r>
          </w:p>
        </w:tc>
      </w:tr>
      <w:tr w:rsidR="005C3F63">
        <w:trPr>
          <w:jc w:val="center"/>
        </w:trPr>
        <w:tc>
          <w:tcPr>
            <w:tcW w:w="2835" w:type="dxa"/>
            <w:tcBorders>
              <w:top w:val="double" w:sz="4" w:space="0" w:color="auto"/>
              <w:left w:val="nil"/>
              <w:bottom w:val="single" w:sz="4" w:space="0" w:color="auto"/>
              <w:right w:val="nil"/>
            </w:tcBorders>
            <w:shd w:val="clear" w:color="auto" w:fill="FFFFFF"/>
          </w:tcPr>
          <w:p w:rsidR="005C3F63" w:rsidRDefault="006536E7">
            <w:pPr>
              <w:rPr>
                <w:rFonts w:ascii="Verdana" w:hAnsi="Verdana"/>
                <w:b/>
                <w:bCs/>
                <w:color w:val="000000"/>
                <w:sz w:val="20"/>
                <w:szCs w:val="20"/>
              </w:rPr>
            </w:pPr>
            <w:r>
              <w:rPr>
                <w:rFonts w:ascii="Verdana" w:hAnsi="Verdana"/>
                <w:b/>
                <w:bCs/>
                <w:color w:val="000000"/>
                <w:sz w:val="20"/>
                <w:szCs w:val="20"/>
              </w:rPr>
              <w:t>Celková suma majetku</w:t>
            </w:r>
          </w:p>
        </w:tc>
        <w:tc>
          <w:tcPr>
            <w:tcW w:w="1418" w:type="dxa"/>
            <w:tcBorders>
              <w:top w:val="double" w:sz="4" w:space="0" w:color="auto"/>
              <w:left w:val="nil"/>
              <w:bottom w:val="single" w:sz="4" w:space="0" w:color="auto"/>
              <w:right w:val="nil"/>
            </w:tcBorders>
            <w:shd w:val="clear" w:color="auto" w:fill="FFFFFF"/>
          </w:tcPr>
          <w:p w:rsidR="005C3F63" w:rsidRDefault="006536E7">
            <w:pPr>
              <w:ind w:firstLine="99"/>
              <w:rPr>
                <w:rFonts w:ascii="Verdana" w:hAnsi="Verdana"/>
                <w:color w:val="000000"/>
                <w:sz w:val="20"/>
                <w:szCs w:val="20"/>
              </w:rPr>
            </w:pPr>
            <w:r>
              <w:rPr>
                <w:rFonts w:ascii="Verdana" w:hAnsi="Verdana"/>
                <w:color w:val="000000"/>
                <w:sz w:val="20"/>
                <w:szCs w:val="20"/>
              </w:rPr>
              <w:t>1 000000</w:t>
            </w:r>
          </w:p>
        </w:tc>
        <w:tc>
          <w:tcPr>
            <w:tcW w:w="1276" w:type="dxa"/>
            <w:tcBorders>
              <w:top w:val="doub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2 000000</w:t>
            </w:r>
          </w:p>
        </w:tc>
        <w:tc>
          <w:tcPr>
            <w:tcW w:w="1275" w:type="dxa"/>
            <w:tcBorders>
              <w:top w:val="doub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3 000 000</w:t>
            </w:r>
          </w:p>
        </w:tc>
        <w:tc>
          <w:tcPr>
            <w:tcW w:w="1276" w:type="dxa"/>
            <w:tcBorders>
              <w:top w:val="doub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4 000 000</w:t>
            </w:r>
          </w:p>
        </w:tc>
      </w:tr>
      <w:tr w:rsidR="005C3F63">
        <w:trPr>
          <w:jc w:val="center"/>
        </w:trPr>
        <w:tc>
          <w:tcPr>
            <w:tcW w:w="2835" w:type="dxa"/>
            <w:tcBorders>
              <w:top w:val="single" w:sz="4" w:space="0" w:color="auto"/>
              <w:bottom w:val="single" w:sz="4" w:space="0" w:color="auto"/>
            </w:tcBorders>
            <w:shd w:val="clear" w:color="auto" w:fill="FFFFFF"/>
          </w:tcPr>
          <w:p w:rsidR="005C3F63" w:rsidRDefault="006536E7">
            <w:pPr>
              <w:ind w:right="-89"/>
              <w:rPr>
                <w:rFonts w:ascii="Verdana" w:hAnsi="Verdana"/>
                <w:b/>
                <w:bCs/>
                <w:color w:val="000000"/>
                <w:sz w:val="20"/>
                <w:szCs w:val="20"/>
              </w:rPr>
            </w:pPr>
            <w:r>
              <w:rPr>
                <w:rFonts w:ascii="Verdana" w:hAnsi="Verdana"/>
                <w:b/>
                <w:bCs/>
                <w:color w:val="000000"/>
                <w:sz w:val="20"/>
                <w:szCs w:val="20"/>
              </w:rPr>
              <w:t>Čistý obrat</w:t>
            </w:r>
          </w:p>
        </w:tc>
        <w:tc>
          <w:tcPr>
            <w:tcW w:w="1418"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2 000 000</w:t>
            </w:r>
          </w:p>
        </w:tc>
        <w:tc>
          <w:tcPr>
            <w:tcW w:w="1276"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4 000 000</w:t>
            </w:r>
          </w:p>
        </w:tc>
        <w:tc>
          <w:tcPr>
            <w:tcW w:w="1275"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6 000 000</w:t>
            </w:r>
          </w:p>
        </w:tc>
        <w:tc>
          <w:tcPr>
            <w:tcW w:w="1276"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8 000 000</w:t>
            </w:r>
          </w:p>
        </w:tc>
      </w:tr>
      <w:tr w:rsidR="005C3F63">
        <w:trPr>
          <w:jc w:val="center"/>
        </w:trPr>
        <w:tc>
          <w:tcPr>
            <w:tcW w:w="2835" w:type="dxa"/>
            <w:tcBorders>
              <w:top w:val="single" w:sz="4" w:space="0" w:color="auto"/>
              <w:left w:val="nil"/>
              <w:right w:val="nil"/>
            </w:tcBorders>
            <w:shd w:val="clear" w:color="auto" w:fill="FFFFFF"/>
          </w:tcPr>
          <w:p w:rsidR="005C3F63" w:rsidRDefault="006536E7">
            <w:pPr>
              <w:rPr>
                <w:rFonts w:ascii="Verdana" w:hAnsi="Verdana"/>
                <w:b/>
                <w:bCs/>
                <w:color w:val="000000"/>
                <w:sz w:val="20"/>
                <w:szCs w:val="20"/>
              </w:rPr>
            </w:pPr>
            <w:r>
              <w:rPr>
                <w:rFonts w:ascii="Verdana" w:hAnsi="Verdana"/>
                <w:b/>
                <w:bCs/>
                <w:color w:val="000000"/>
                <w:sz w:val="20"/>
                <w:szCs w:val="20"/>
              </w:rPr>
              <w:t>Priemerný počet zamestnancov</w:t>
            </w:r>
          </w:p>
        </w:tc>
        <w:tc>
          <w:tcPr>
            <w:tcW w:w="1418" w:type="dxa"/>
            <w:tcBorders>
              <w:top w:val="single" w:sz="4" w:space="0" w:color="auto"/>
              <w:left w:val="nil"/>
              <w:right w:val="nil"/>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30</w:t>
            </w:r>
          </w:p>
        </w:tc>
        <w:tc>
          <w:tcPr>
            <w:tcW w:w="1276" w:type="dxa"/>
            <w:tcBorders>
              <w:top w:val="single" w:sz="4" w:space="0" w:color="auto"/>
              <w:left w:val="nil"/>
              <w:right w:val="nil"/>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30</w:t>
            </w:r>
          </w:p>
        </w:tc>
        <w:tc>
          <w:tcPr>
            <w:tcW w:w="1275" w:type="dxa"/>
            <w:tcBorders>
              <w:top w:val="single" w:sz="4" w:space="0" w:color="auto"/>
              <w:left w:val="nil"/>
              <w:right w:val="nil"/>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40</w:t>
            </w:r>
          </w:p>
        </w:tc>
        <w:tc>
          <w:tcPr>
            <w:tcW w:w="1276" w:type="dxa"/>
            <w:tcBorders>
              <w:top w:val="single" w:sz="4" w:space="0" w:color="auto"/>
              <w:left w:val="nil"/>
              <w:right w:val="nil"/>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50</w:t>
            </w:r>
          </w:p>
        </w:tc>
      </w:tr>
    </w:tbl>
    <w:p w:rsidR="005C3F63" w:rsidRDefault="006536E7">
      <w:pPr>
        <w:jc w:val="center"/>
        <w:rPr>
          <w:rFonts w:ascii="Verdana" w:hAnsi="Verdana"/>
          <w:sz w:val="20"/>
          <w:szCs w:val="20"/>
        </w:rPr>
      </w:pPr>
      <w:r>
        <w:rPr>
          <w:rFonts w:ascii="Verdana" w:hAnsi="Verdana"/>
          <w:sz w:val="18"/>
          <w:szCs w:val="18"/>
        </w:rPr>
        <w:t>Zdroj: vlastné spracovanie</w:t>
      </w:r>
    </w:p>
    <w:p w:rsidR="005C3F63" w:rsidRDefault="006536E7">
      <w:pPr>
        <w:rPr>
          <w:rFonts w:ascii="Verdana" w:hAnsi="Verdana"/>
          <w:sz w:val="20"/>
          <w:szCs w:val="20"/>
        </w:rPr>
      </w:pPr>
      <w:r>
        <w:rPr>
          <w:rFonts w:ascii="Verdana" w:hAnsi="Verdana"/>
          <w:sz w:val="20"/>
          <w:szCs w:val="20"/>
        </w:rPr>
        <w:lastRenderedPageBreak/>
        <w:t xml:space="preserve">Na základe uvedenej tabuľky možno vidieť rýchlo rastúce veľkostné kritéria, ktoré z roka na rok budú spôsobovať, že počet účtovných jednotiek podliehajúcich povinnému auditu účtovnej závierky bude klesať. Ako sme uvádzali vyššie, pri prvotnom zvýšení veľkostných kritérií (od roku 2020), nastal pokles účtovných jednotiek s povinným auditom približne o 25 %. Keďže ďalšie roky pokračuje trend v zvyšovaní týchto kritérií, dá sa zároveň predpokladať aj zvýšenie počtu účtovných jednotiek, ktoré nebudú podliehať povinnému auditu. Ak by sme vychádzali z odhadov pri prvom zvýšení veľkostných kritérií, tak následné zvýšenie v rokoch 2021-2022 spôsobí minimálne taký istý prepad povinného auditu, čo sumárne znamená, že z povinného auditu v rokoch 2020 – 2022 „vypadne“ približne 50 % účtovných jednotiek. </w:t>
      </w:r>
    </w:p>
    <w:p w:rsidR="005C3F63" w:rsidRDefault="006536E7">
      <w:pPr>
        <w:rPr>
          <w:rFonts w:ascii="Verdana" w:hAnsi="Verdana"/>
          <w:sz w:val="20"/>
          <w:szCs w:val="20"/>
        </w:rPr>
      </w:pPr>
      <w:r>
        <w:rPr>
          <w:rFonts w:ascii="Verdana" w:hAnsi="Verdana"/>
          <w:sz w:val="20"/>
          <w:szCs w:val="20"/>
        </w:rPr>
        <w:t xml:space="preserve">S cieľom porovnania s veľkostnými kritériami okolitých krajín sme si vybrali krajiny V4, a to Českú republiku, Maďarsko a Poľsko. Údaje uvádzame v nasledujúcej tabuľke. </w:t>
      </w:r>
    </w:p>
    <w:p w:rsidR="005C3F63" w:rsidRDefault="006536E7">
      <w:pPr>
        <w:jc w:val="center"/>
        <w:rPr>
          <w:rFonts w:ascii="Verdana" w:hAnsi="Verdana"/>
          <w:sz w:val="20"/>
          <w:szCs w:val="20"/>
        </w:rPr>
      </w:pPr>
      <w:r>
        <w:rPr>
          <w:rFonts w:ascii="Verdana" w:hAnsi="Verdana"/>
          <w:b/>
          <w:sz w:val="20"/>
          <w:szCs w:val="20"/>
        </w:rPr>
        <w:t>Tabuľka 2</w:t>
      </w:r>
      <w:r>
        <w:rPr>
          <w:rFonts w:ascii="Verdana" w:hAnsi="Verdana"/>
          <w:sz w:val="20"/>
          <w:szCs w:val="20"/>
        </w:rPr>
        <w:t xml:space="preserve"> Veľkostné kritéria krajín V4 v roku 2020</w:t>
      </w:r>
    </w:p>
    <w:p w:rsidR="005C3F63" w:rsidRDefault="005C3F63">
      <w:pPr>
        <w:rPr>
          <w:rFonts w:ascii="Verdana" w:hAnsi="Verdana"/>
          <w:sz w:val="20"/>
          <w:szCs w:val="20"/>
        </w:rPr>
      </w:pPr>
    </w:p>
    <w:tbl>
      <w:tblPr>
        <w:tblW w:w="0" w:type="auto"/>
        <w:jc w:val="center"/>
        <w:tblBorders>
          <w:top w:val="single" w:sz="8" w:space="0" w:color="000000"/>
          <w:bottom w:val="single" w:sz="8" w:space="0" w:color="000000"/>
        </w:tblBorders>
        <w:tblLook w:val="04A0" w:firstRow="1" w:lastRow="0" w:firstColumn="1" w:lastColumn="0" w:noHBand="0" w:noVBand="1"/>
      </w:tblPr>
      <w:tblGrid>
        <w:gridCol w:w="2835"/>
        <w:gridCol w:w="1418"/>
        <w:gridCol w:w="1339"/>
        <w:gridCol w:w="1275"/>
        <w:gridCol w:w="1356"/>
      </w:tblGrid>
      <w:tr w:rsidR="005C3F63">
        <w:trPr>
          <w:jc w:val="center"/>
        </w:trPr>
        <w:tc>
          <w:tcPr>
            <w:tcW w:w="2835" w:type="dxa"/>
            <w:tcBorders>
              <w:top w:val="single" w:sz="8" w:space="0" w:color="000000"/>
              <w:left w:val="nil"/>
              <w:bottom w:val="double" w:sz="4" w:space="0" w:color="auto"/>
              <w:right w:val="nil"/>
            </w:tcBorders>
          </w:tcPr>
          <w:p w:rsidR="005C3F63" w:rsidRDefault="005C3F63">
            <w:pPr>
              <w:rPr>
                <w:rFonts w:ascii="Verdana" w:hAnsi="Verdana"/>
                <w:b/>
                <w:bCs/>
                <w:color w:val="000000"/>
                <w:sz w:val="20"/>
                <w:szCs w:val="20"/>
              </w:rPr>
            </w:pPr>
          </w:p>
        </w:tc>
        <w:tc>
          <w:tcPr>
            <w:tcW w:w="1418"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rPr>
            </w:pPr>
            <w:r>
              <w:rPr>
                <w:rFonts w:ascii="Verdana" w:hAnsi="Verdana"/>
                <w:b/>
                <w:bCs/>
                <w:color w:val="000000"/>
                <w:sz w:val="20"/>
                <w:szCs w:val="20"/>
              </w:rPr>
              <w:t>Česká republika</w:t>
            </w:r>
          </w:p>
        </w:tc>
        <w:tc>
          <w:tcPr>
            <w:tcW w:w="1276"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rPr>
            </w:pPr>
            <w:r>
              <w:rPr>
                <w:rFonts w:ascii="Verdana" w:hAnsi="Verdana"/>
                <w:b/>
                <w:bCs/>
                <w:color w:val="000000"/>
                <w:sz w:val="20"/>
                <w:szCs w:val="20"/>
              </w:rPr>
              <w:t>Maďarsko</w:t>
            </w:r>
          </w:p>
        </w:tc>
        <w:tc>
          <w:tcPr>
            <w:tcW w:w="1275"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rPr>
            </w:pPr>
            <w:r>
              <w:rPr>
                <w:rFonts w:ascii="Verdana" w:hAnsi="Verdana"/>
                <w:b/>
                <w:bCs/>
                <w:color w:val="000000"/>
                <w:sz w:val="20"/>
                <w:szCs w:val="20"/>
              </w:rPr>
              <w:t>Poľsko</w:t>
            </w:r>
          </w:p>
        </w:tc>
        <w:tc>
          <w:tcPr>
            <w:tcW w:w="1276"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rPr>
            </w:pPr>
            <w:r>
              <w:rPr>
                <w:rFonts w:ascii="Verdana" w:hAnsi="Verdana"/>
                <w:b/>
                <w:bCs/>
                <w:color w:val="000000"/>
                <w:sz w:val="20"/>
                <w:szCs w:val="20"/>
              </w:rPr>
              <w:t>Slovenská republika</w:t>
            </w:r>
          </w:p>
        </w:tc>
      </w:tr>
      <w:tr w:rsidR="005C3F63">
        <w:trPr>
          <w:jc w:val="center"/>
        </w:trPr>
        <w:tc>
          <w:tcPr>
            <w:tcW w:w="2835" w:type="dxa"/>
            <w:tcBorders>
              <w:top w:val="double" w:sz="4" w:space="0" w:color="auto"/>
              <w:left w:val="nil"/>
              <w:bottom w:val="single" w:sz="4" w:space="0" w:color="auto"/>
              <w:right w:val="nil"/>
            </w:tcBorders>
            <w:shd w:val="clear" w:color="auto" w:fill="FFFFFF"/>
          </w:tcPr>
          <w:p w:rsidR="005C3F63" w:rsidRDefault="006536E7">
            <w:pPr>
              <w:rPr>
                <w:rFonts w:ascii="Verdana" w:hAnsi="Verdana"/>
                <w:b/>
                <w:bCs/>
                <w:color w:val="000000"/>
                <w:sz w:val="20"/>
                <w:szCs w:val="20"/>
              </w:rPr>
            </w:pPr>
            <w:r>
              <w:rPr>
                <w:rFonts w:ascii="Verdana" w:hAnsi="Verdana"/>
                <w:b/>
                <w:bCs/>
                <w:color w:val="000000"/>
                <w:sz w:val="20"/>
                <w:szCs w:val="20"/>
              </w:rPr>
              <w:t>Celková suma majetku</w:t>
            </w:r>
          </w:p>
        </w:tc>
        <w:tc>
          <w:tcPr>
            <w:tcW w:w="1418" w:type="dxa"/>
            <w:tcBorders>
              <w:top w:val="double" w:sz="4" w:space="0" w:color="auto"/>
              <w:left w:val="nil"/>
              <w:bottom w:val="single" w:sz="4" w:space="0" w:color="auto"/>
              <w:right w:val="nil"/>
            </w:tcBorders>
            <w:shd w:val="clear" w:color="auto" w:fill="FFFFFF"/>
          </w:tcPr>
          <w:p w:rsidR="005C3F63" w:rsidRDefault="006536E7">
            <w:pPr>
              <w:ind w:firstLine="99"/>
              <w:rPr>
                <w:rFonts w:ascii="Verdana" w:hAnsi="Verdana"/>
                <w:color w:val="000000"/>
                <w:sz w:val="20"/>
                <w:szCs w:val="20"/>
              </w:rPr>
            </w:pPr>
            <w:r>
              <w:rPr>
                <w:rFonts w:ascii="Verdana" w:hAnsi="Verdana"/>
                <w:color w:val="000000"/>
                <w:sz w:val="20"/>
                <w:szCs w:val="20"/>
              </w:rPr>
              <w:t>1 500 000</w:t>
            </w:r>
          </w:p>
        </w:tc>
        <w:tc>
          <w:tcPr>
            <w:tcW w:w="1276" w:type="dxa"/>
            <w:tcBorders>
              <w:top w:val="doub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w:t>
            </w:r>
          </w:p>
        </w:tc>
        <w:tc>
          <w:tcPr>
            <w:tcW w:w="1275" w:type="dxa"/>
            <w:tcBorders>
              <w:top w:val="doub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2 500 000</w:t>
            </w:r>
          </w:p>
        </w:tc>
        <w:tc>
          <w:tcPr>
            <w:tcW w:w="1276" w:type="dxa"/>
            <w:tcBorders>
              <w:top w:val="doub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2 000 000</w:t>
            </w:r>
          </w:p>
        </w:tc>
      </w:tr>
      <w:tr w:rsidR="005C3F63">
        <w:trPr>
          <w:jc w:val="center"/>
        </w:trPr>
        <w:tc>
          <w:tcPr>
            <w:tcW w:w="2835" w:type="dxa"/>
            <w:tcBorders>
              <w:top w:val="single" w:sz="4" w:space="0" w:color="auto"/>
              <w:bottom w:val="single" w:sz="4" w:space="0" w:color="auto"/>
            </w:tcBorders>
            <w:shd w:val="clear" w:color="auto" w:fill="FFFFFF"/>
          </w:tcPr>
          <w:p w:rsidR="005C3F63" w:rsidRDefault="006536E7">
            <w:pPr>
              <w:ind w:right="-89"/>
              <w:rPr>
                <w:rFonts w:ascii="Verdana" w:hAnsi="Verdana"/>
                <w:b/>
                <w:bCs/>
                <w:color w:val="000000"/>
                <w:sz w:val="20"/>
                <w:szCs w:val="20"/>
              </w:rPr>
            </w:pPr>
            <w:r>
              <w:rPr>
                <w:rFonts w:ascii="Verdana" w:hAnsi="Verdana"/>
                <w:b/>
                <w:bCs/>
                <w:color w:val="000000"/>
                <w:sz w:val="20"/>
                <w:szCs w:val="20"/>
              </w:rPr>
              <w:t>Čistý obrat</w:t>
            </w:r>
          </w:p>
        </w:tc>
        <w:tc>
          <w:tcPr>
            <w:tcW w:w="1418"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3 000 000</w:t>
            </w:r>
          </w:p>
        </w:tc>
        <w:tc>
          <w:tcPr>
            <w:tcW w:w="1276"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 965 000</w:t>
            </w:r>
          </w:p>
        </w:tc>
        <w:tc>
          <w:tcPr>
            <w:tcW w:w="1275"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5 000 000</w:t>
            </w:r>
          </w:p>
        </w:tc>
        <w:tc>
          <w:tcPr>
            <w:tcW w:w="1276"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4 000 000</w:t>
            </w:r>
          </w:p>
        </w:tc>
      </w:tr>
      <w:tr w:rsidR="005C3F63">
        <w:trPr>
          <w:jc w:val="center"/>
        </w:trPr>
        <w:tc>
          <w:tcPr>
            <w:tcW w:w="2835" w:type="dxa"/>
            <w:tcBorders>
              <w:top w:val="single" w:sz="4" w:space="0" w:color="auto"/>
              <w:left w:val="nil"/>
              <w:right w:val="nil"/>
            </w:tcBorders>
            <w:shd w:val="clear" w:color="auto" w:fill="FFFFFF"/>
          </w:tcPr>
          <w:p w:rsidR="005C3F63" w:rsidRDefault="006536E7">
            <w:pPr>
              <w:rPr>
                <w:rFonts w:ascii="Verdana" w:hAnsi="Verdana"/>
                <w:b/>
                <w:bCs/>
                <w:color w:val="000000"/>
                <w:sz w:val="20"/>
                <w:szCs w:val="20"/>
              </w:rPr>
            </w:pPr>
            <w:r>
              <w:rPr>
                <w:rFonts w:ascii="Verdana" w:hAnsi="Verdana"/>
                <w:b/>
                <w:bCs/>
                <w:color w:val="000000"/>
                <w:sz w:val="20"/>
                <w:szCs w:val="20"/>
              </w:rPr>
              <w:t>Priemerný počet zamestnancov</w:t>
            </w:r>
          </w:p>
        </w:tc>
        <w:tc>
          <w:tcPr>
            <w:tcW w:w="1418" w:type="dxa"/>
            <w:tcBorders>
              <w:top w:val="single" w:sz="4" w:space="0" w:color="auto"/>
              <w:left w:val="nil"/>
              <w:right w:val="nil"/>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50</w:t>
            </w:r>
          </w:p>
        </w:tc>
        <w:tc>
          <w:tcPr>
            <w:tcW w:w="1276" w:type="dxa"/>
            <w:tcBorders>
              <w:top w:val="single" w:sz="4" w:space="0" w:color="auto"/>
              <w:left w:val="nil"/>
              <w:right w:val="nil"/>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50</w:t>
            </w:r>
          </w:p>
        </w:tc>
        <w:tc>
          <w:tcPr>
            <w:tcW w:w="1275" w:type="dxa"/>
            <w:tcBorders>
              <w:top w:val="single" w:sz="4" w:space="0" w:color="auto"/>
              <w:left w:val="nil"/>
              <w:right w:val="nil"/>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50</w:t>
            </w:r>
          </w:p>
        </w:tc>
        <w:tc>
          <w:tcPr>
            <w:tcW w:w="1276" w:type="dxa"/>
            <w:tcBorders>
              <w:top w:val="single" w:sz="4" w:space="0" w:color="auto"/>
              <w:left w:val="nil"/>
              <w:right w:val="nil"/>
            </w:tcBorders>
            <w:shd w:val="clear" w:color="auto" w:fill="FFFFFF"/>
          </w:tcPr>
          <w:p w:rsidR="005C3F63" w:rsidRDefault="006536E7">
            <w:pPr>
              <w:jc w:val="center"/>
              <w:rPr>
                <w:rFonts w:ascii="Verdana" w:hAnsi="Verdana"/>
                <w:color w:val="000000"/>
                <w:sz w:val="20"/>
                <w:szCs w:val="20"/>
              </w:rPr>
            </w:pPr>
            <w:r>
              <w:rPr>
                <w:rFonts w:ascii="Verdana" w:hAnsi="Verdana"/>
                <w:color w:val="000000"/>
                <w:sz w:val="20"/>
                <w:szCs w:val="20"/>
              </w:rPr>
              <w:t>30</w:t>
            </w:r>
          </w:p>
        </w:tc>
      </w:tr>
    </w:tbl>
    <w:p w:rsidR="005C3F63" w:rsidRDefault="006536E7">
      <w:pPr>
        <w:jc w:val="center"/>
        <w:rPr>
          <w:rFonts w:ascii="Verdana" w:hAnsi="Verdana"/>
          <w:sz w:val="20"/>
          <w:szCs w:val="20"/>
        </w:rPr>
      </w:pPr>
      <w:r>
        <w:rPr>
          <w:rFonts w:ascii="Verdana" w:hAnsi="Verdana"/>
          <w:sz w:val="18"/>
          <w:szCs w:val="18"/>
        </w:rPr>
        <w:t>Zdroj: Accountancy Europe</w:t>
      </w:r>
    </w:p>
    <w:p w:rsidR="005C3F63" w:rsidRDefault="006536E7">
      <w:pPr>
        <w:shd w:val="clear" w:color="auto" w:fill="FFFFFF"/>
        <w:spacing w:line="276" w:lineRule="auto"/>
        <w:rPr>
          <w:rFonts w:ascii="Verdana" w:hAnsi="Verdana"/>
          <w:sz w:val="20"/>
          <w:szCs w:val="20"/>
          <w:lang w:eastAsia="sk-SK"/>
        </w:rPr>
      </w:pPr>
      <w:r>
        <w:rPr>
          <w:rFonts w:ascii="Verdana" w:hAnsi="Verdana"/>
          <w:sz w:val="20"/>
          <w:szCs w:val="20"/>
          <w:lang w:eastAsia="sk-SK"/>
        </w:rPr>
        <w:t>V rámci jednotného európskeho trhu by nemalo dochádzať k výrazným neopodstatneným odchýlkam, a preto by sa mali limity ustanovené v zákone účtovníctve na Slovenku priblížiť limitom v ostatných členských štátoch EÚ. Malé a stredné podniky sú však na Slovensku, ale aj v Európe, významnou súčasťou ekonomiky, a preto má význam audit takýchto subjektov, avšak len do miery, aby to neznamenalo pre takéto účtovné jednotky prílišnú administratívnu záťaž, ale skôr prínos v podobe zvýšenej dôveryhodnosti účtovných informácií vykázaných v účtovnej závierke (Tumpach a Gedeon, 2019).</w:t>
      </w:r>
    </w:p>
    <w:p w:rsidR="005C3F63" w:rsidRDefault="006536E7">
      <w:pPr>
        <w:rPr>
          <w:rFonts w:ascii="Verdana" w:hAnsi="Verdana"/>
          <w:sz w:val="20"/>
          <w:szCs w:val="20"/>
        </w:rPr>
      </w:pPr>
      <w:r>
        <w:rPr>
          <w:rFonts w:ascii="Verdana" w:hAnsi="Verdana"/>
          <w:sz w:val="20"/>
          <w:szCs w:val="20"/>
        </w:rPr>
        <w:t xml:space="preserve">Z údajov tabuľky č. 2 vyplýva, že Slovenská republika sa priblížila, resp. zjednotila s veľkostnými kritériami vybraných krajín, avšak následné zvýšenie v ďalších rokoch nasvedčuje, že Slovenská republika prekročí priemer veľkostných kritérií okolitých krajín a zaradí sa v tomto aspekte skôr ku krajinám ako je Belgicko, Luxembursko alebo Rakúsko. Tu je však potrebné podotknúť, že tieto krajiny disponujú s väčším trhom pre audítorskú profesiu, a preto napriek tomu, že veľkostné kritéria majú nastavené vyššie, počet účtovných jednotiek povinne podliehajúcich auditu je väčší ako v iných krajinách s nižšími kritériami. </w:t>
      </w:r>
    </w:p>
    <w:p w:rsidR="005C3F63" w:rsidRDefault="006536E7">
      <w:pPr>
        <w:spacing w:line="276" w:lineRule="auto"/>
        <w:rPr>
          <w:rFonts w:ascii="Verdana" w:hAnsi="Verdana"/>
          <w:sz w:val="20"/>
          <w:szCs w:val="20"/>
        </w:rPr>
      </w:pPr>
      <w:r>
        <w:rPr>
          <w:rFonts w:ascii="Verdana" w:hAnsi="Verdana"/>
          <w:sz w:val="20"/>
          <w:szCs w:val="20"/>
        </w:rPr>
        <w:t>Možno súhlasiť, že eliminovanie počtu účtovných jednotiek podliehajúcich auditu prinesie zníženie administratívnej záťaže a nákladov pre účtovné jednotky a zároveň sa globálne zjednoduší podnikateľské prostredie, ale na druhej strane toto opatrenie môže spôsobiť nemalé nedostatky v predkladaných účtovných závierkach a v neposlednom rade devastovať audítorskú profesiu</w:t>
      </w:r>
      <w:r>
        <w:rPr>
          <w:rFonts w:ascii="Verdana" w:hAnsi="Verdana"/>
          <w:color w:val="000000" w:themeColor="text1"/>
          <w:sz w:val="20"/>
          <w:szCs w:val="20"/>
        </w:rPr>
        <w:t xml:space="preserve"> (</w:t>
      </w:r>
      <w:r>
        <w:rPr>
          <w:rFonts w:ascii="Verdana" w:hAnsi="Verdana"/>
          <w:color w:val="000000" w:themeColor="text1"/>
          <w:sz w:val="20"/>
          <w:szCs w:val="20"/>
          <w:lang w:val="de-DE"/>
        </w:rPr>
        <w:t xml:space="preserve">Senyigit, Zeytinoglu, 2014). </w:t>
      </w:r>
      <w:r>
        <w:rPr>
          <w:rFonts w:ascii="Verdana" w:hAnsi="Verdana"/>
          <w:sz w:val="20"/>
          <w:szCs w:val="20"/>
        </w:rPr>
        <w:t xml:space="preserve">Práve devastáciu audítorskej profesie v Slovenskej republike považujeme za veľmi rizikový následok snahy o zjednodušenie podnikateľského prostredia. Audítor vystupuje ako odborník, ktorý nahliada na účtovnú závierku nezávisle a nezaujate. Vyjadrením názoru audítora získava účtovná závierka znak vierohodnosti a spoľahlivosti (Domaracká a Kňažková, 2019). Audítorská profesia je vysoko regulovaná profesia, a to z hľadiska odbornosti, skúseností, dodržiavania príslušných predpisov a pod. Pôsobením audítorskej činnosti je možné eliminovať nesprávnosti v účtovných závierkach, ktoré môžu spôsobiť škody používateľom informácií z účtovnej závierky v oblasti súkromného sektora, ale v konečnom dôsledku aj úniky v oblasti daní s vplyvom na verejné financie (Marci a Juhászová, 2016). Jednou zo základných požiadaviek na audítorskú profesiu je nezávislosť. V tomto smere sa myslí nezávislé postavenie audítora voči účtovnej jednotke, ktorej účtovnú závierku audítor overuje a zároveň voči samotnej účtovnej </w:t>
      </w:r>
      <w:r>
        <w:rPr>
          <w:rFonts w:ascii="Verdana" w:hAnsi="Verdana"/>
          <w:sz w:val="20"/>
          <w:szCs w:val="20"/>
        </w:rPr>
        <w:lastRenderedPageBreak/>
        <w:t xml:space="preserve">závierke, ktorá je predmetom audítorského overovania. Nezávislosť zahŕňa viacero dimenzií, ktoré spoločným pôsobením zabezpečujú práve uvedenú celkovú nezávislosť ako stavebný prvok významu audítorskej profesie. Audítor má voči účtovnej jednotke ako klientovi vystupovať bez akéhokoľvek nátlaku a vplyvu, či už mentálneho alebo finančného. V tomto kontexte, vplyvom zvyšovania veľkostných kritérií a znižovania počtu účtovných jednotiek podliehajúcich povinnému auditu, vidíme možné riziko ohrozenia nezávislosti audítorov. Bude audítor „slobodne“ nezávislý ak vie, že polovica jeho klientov nebude podliehať povinnému auditu a jeho ďalšie „pôsobenie“ je na ich dobrovoľnom rozhodnutí? Nebude sa audítor snažiť o udržanie klientov „za každú cenu“, keď vplyvom zníženia skupiny účtovných jednotiek povinne podliehajúcich auditu, sa pôsobnosť audítorov zníži o 50 %? Ďalej vyvstáva otázka, ako bude možné dodržiavať tzv. finančnú nezávislosť od klientov, ak sa trh pre audítorov zmenší o polovicu. Riziko vidíme aj v tom, že v skupine účtovných jednotiek povinne podliehajúcich auditu zostávajú skôr väčšie účtovné jednotky, ktoré sa budú sústreďovať primárne v audítorských spoločnostiach tzv. Veľkej štvorky, čím bude postupne dochádzať k likvidácii malých audítorských spoločností, resp. audítorov jednotlivcov. </w:t>
      </w:r>
    </w:p>
    <w:p w:rsidR="005C3F63" w:rsidRDefault="005C3F63">
      <w:pPr>
        <w:rPr>
          <w:rFonts w:ascii="Verdana" w:hAnsi="Verdana"/>
          <w:sz w:val="20"/>
          <w:szCs w:val="20"/>
        </w:rPr>
      </w:pPr>
    </w:p>
    <w:p w:rsidR="005C3F63" w:rsidRDefault="006536E7">
      <w:pPr>
        <w:pStyle w:val="Kapitola"/>
        <w:rPr>
          <w:lang w:val="sk-SK"/>
        </w:rPr>
      </w:pPr>
      <w:r>
        <w:rPr>
          <w:lang w:val="sk-SK"/>
        </w:rPr>
        <w:t>Záver / Conclusions</w:t>
      </w:r>
    </w:p>
    <w:p w:rsidR="005C3F63" w:rsidRDefault="006536E7">
      <w:pPr>
        <w:pStyle w:val="afd"/>
        <w:spacing w:after="120"/>
        <w:ind w:left="0"/>
        <w:contextualSpacing w:val="0"/>
        <w:rPr>
          <w:rFonts w:ascii="Verdana" w:hAnsi="Verdana"/>
          <w:sz w:val="20"/>
          <w:szCs w:val="20"/>
        </w:rPr>
      </w:pPr>
      <w:r>
        <w:rPr>
          <w:rFonts w:ascii="Verdana" w:hAnsi="Verdana"/>
          <w:sz w:val="20"/>
          <w:szCs w:val="20"/>
        </w:rPr>
        <w:t xml:space="preserve">Audítorská profesia je globálna profesia, ktorej cieľom je zabezpečovanie verného a pravdivého zobrazenia informácií v účtovnej závierke. Základnou požiadavkou tejto profesie je nezávislosť. Slovenská republika v roku 2020 zaujala smer výrazného zvyšovania kvantitatívnych kritérií pre účtovné jednotky, určujúcich hranicu povinného overenia účtovnej závierky. Na základe analyzovaných údajov, týmto krokom sa počet účtovných jednotiek povinne podliehajúcich auditu účtovnej závierky zníži po roku 2022 približne o 50 %. Takéto výrazné zníženie povinne auditovaných účtovných jednotiek bude mať na jednej strane vplyv na relevantnosť údajov v účtovných závierkach a na druhej strane negatívny vplyv na samotnú audítorskú profesiu a jej základné princípy. Najviac ohrozená je v tomto smere nezávislosť audítora, a to nezávislosť mysle, ale aj finančná nezávislosť. </w:t>
      </w:r>
    </w:p>
    <w:p w:rsidR="005C3F63" w:rsidRDefault="006536E7">
      <w:pPr>
        <w:pStyle w:val="Kapitola"/>
        <w:rPr>
          <w:lang w:val="sk-SK"/>
        </w:rPr>
      </w:pPr>
      <w:r>
        <w:rPr>
          <w:lang w:val="sk-SK"/>
        </w:rPr>
        <w:t>Príslušnosť ku grantovej úlohe / Acnowledgements</w:t>
      </w:r>
    </w:p>
    <w:p w:rsidR="005C3F63" w:rsidRDefault="006536E7">
      <w:pPr>
        <w:tabs>
          <w:tab w:val="left" w:pos="3120"/>
        </w:tabs>
        <w:spacing w:after="120"/>
        <w:rPr>
          <w:rFonts w:ascii="Verdana" w:hAnsi="Verdana"/>
          <w:sz w:val="20"/>
          <w:szCs w:val="20"/>
        </w:rPr>
      </w:pPr>
      <w:r>
        <w:rPr>
          <w:rFonts w:ascii="Verdana" w:hAnsi="Verdana"/>
          <w:sz w:val="20"/>
          <w:szCs w:val="20"/>
        </w:rPr>
        <w:t>APVV-16-0602 Zvyšovanie relevantnosti účtovných informácií v SR – od nákladov k hodnote</w:t>
      </w:r>
    </w:p>
    <w:p w:rsidR="005C3F63" w:rsidRDefault="006536E7">
      <w:pPr>
        <w:pStyle w:val="Kapitola"/>
        <w:shd w:val="clear" w:color="auto" w:fill="FFFFFF" w:themeFill="background1"/>
        <w:rPr>
          <w:lang w:val="cs-CZ"/>
        </w:rPr>
      </w:pPr>
      <w:r>
        <w:rPr>
          <w:lang w:val="cs-CZ"/>
        </w:rPr>
        <w:t>Literární zdroje a jiné odkazy</w:t>
      </w:r>
      <w:r>
        <w:rPr>
          <w:lang w:val="sk-SK"/>
        </w:rPr>
        <w:t xml:space="preserve"> / References</w:t>
      </w:r>
      <w:r>
        <w:rPr>
          <w:lang w:val="cs-CZ"/>
        </w:rPr>
        <w:t xml:space="preserve"> </w:t>
      </w:r>
    </w:p>
    <w:p w:rsidR="005C3F63" w:rsidRDefault="006536E7">
      <w:pPr>
        <w:rPr>
          <w:rFonts w:ascii="Verdana" w:hAnsi="Verdana"/>
          <w:sz w:val="20"/>
          <w:szCs w:val="20"/>
        </w:rPr>
      </w:pPr>
      <w:r>
        <w:rPr>
          <w:rFonts w:ascii="Verdana" w:hAnsi="Verdana"/>
          <w:sz w:val="20"/>
          <w:szCs w:val="20"/>
        </w:rPr>
        <w:t xml:space="preserve">Antoniuk, O., Chizevska, L., Semenyshena, N. (2019) Legal regulation and trends of audit services: What are the differences (evidence of Ukraine). </w:t>
      </w:r>
      <w:r>
        <w:rPr>
          <w:rFonts w:ascii="Verdana" w:hAnsi="Verdana"/>
          <w:i/>
          <w:iCs/>
          <w:sz w:val="20"/>
          <w:szCs w:val="20"/>
        </w:rPr>
        <w:t>Independent Journal of Management &amp; Production.</w:t>
      </w:r>
      <w:r>
        <w:rPr>
          <w:rFonts w:ascii="Verdana" w:hAnsi="Verdana"/>
          <w:sz w:val="20"/>
          <w:szCs w:val="20"/>
        </w:rPr>
        <w:t xml:space="preserve"> Volume 10, Issue 7, (Special Edition -May- PDATU,2019). URL:</w:t>
      </w:r>
      <w:hyperlink r:id="rId163" w:tgtFrame="_blank" w:history="1">
        <w:r>
          <w:rPr>
            <w:rStyle w:val="af9"/>
            <w:rFonts w:ascii="Verdana" w:hAnsi="Verdana"/>
            <w:sz w:val="20"/>
            <w:szCs w:val="20"/>
          </w:rPr>
          <w:t>http://www.ijmp.jor.br/index.php/ijmp/index</w:t>
        </w:r>
      </w:hyperlink>
      <w:r>
        <w:rPr>
          <w:rFonts w:ascii="Verdana" w:hAnsi="Verdana"/>
          <w:sz w:val="20"/>
          <w:szCs w:val="20"/>
        </w:rPr>
        <w:t xml:space="preserve"> </w:t>
      </w:r>
    </w:p>
    <w:p w:rsidR="005C3F63" w:rsidRDefault="006536E7">
      <w:pPr>
        <w:rPr>
          <w:rFonts w:ascii="Verdana" w:hAnsi="Verdana"/>
          <w:color w:val="000000" w:themeColor="text1"/>
          <w:sz w:val="20"/>
          <w:szCs w:val="20"/>
          <w:u w:val="single"/>
        </w:rPr>
      </w:pPr>
      <w:r>
        <w:rPr>
          <w:rFonts w:ascii="Verdana" w:hAnsi="Verdana"/>
          <w:color w:val="000000" w:themeColor="text1"/>
          <w:sz w:val="20"/>
          <w:szCs w:val="20"/>
        </w:rPr>
        <w:t xml:space="preserve">Audit exemption thresholds in Europe (2020) Available at: </w:t>
      </w:r>
      <w:hyperlink r:id="rId164" w:history="1">
        <w:r>
          <w:rPr>
            <w:rStyle w:val="af9"/>
            <w:rFonts w:ascii="Verdana" w:hAnsi="Verdana"/>
            <w:color w:val="000000" w:themeColor="text1"/>
            <w:sz w:val="20"/>
            <w:szCs w:val="20"/>
          </w:rPr>
          <w:t>https://www.accountancyeurope.eu/wp-content/uploads/Accountancy-Europe_Audit-exemption-thresholds-in-Europe_2020_survey-update.pdf</w:t>
        </w:r>
      </w:hyperlink>
    </w:p>
    <w:p w:rsidR="005C3F63" w:rsidRDefault="006536E7">
      <w:pPr>
        <w:shd w:val="clear" w:color="auto" w:fill="FFFFFF" w:themeFill="background1"/>
        <w:adjustRightInd w:val="0"/>
        <w:rPr>
          <w:rFonts w:ascii="Verdana" w:hAnsi="Verdana"/>
          <w:sz w:val="20"/>
          <w:szCs w:val="20"/>
        </w:rPr>
      </w:pPr>
      <w:r>
        <w:rPr>
          <w:rFonts w:ascii="Verdana" w:hAnsi="Verdana"/>
          <w:sz w:val="20"/>
          <w:szCs w:val="20"/>
        </w:rPr>
        <w:t xml:space="preserve">Domaracká, D., Kňažková, V. (2019). Statutory Audit in Slovakia – Significant Phenomenon of Global European Changes. - Registrovaný v: Web of Science. In Globalization and its Socio-Economic Consequences 2019. International Scientific Conference. </w:t>
      </w:r>
      <w:r>
        <w:rPr>
          <w:rFonts w:ascii="Verdana" w:hAnsi="Verdana"/>
          <w:i/>
          <w:iCs/>
          <w:sz w:val="20"/>
          <w:szCs w:val="20"/>
        </w:rPr>
        <w:t>Globalization and its Socio-Economic Consequences 2019 : Sustainability in the Global-Knowledge Economy</w:t>
      </w:r>
      <w:r>
        <w:rPr>
          <w:rFonts w:ascii="Verdana" w:hAnsi="Verdana"/>
          <w:sz w:val="20"/>
          <w:szCs w:val="20"/>
        </w:rPr>
        <w:t>. - Zilina : University of Zilina, Faculty of Operation and Economics Transport and Communications, pp. 1-6 online.</w:t>
      </w:r>
    </w:p>
    <w:p w:rsidR="005C3F63" w:rsidRDefault="006536E7">
      <w:pPr>
        <w:shd w:val="clear" w:color="auto" w:fill="FFFFFF" w:themeFill="background1"/>
        <w:adjustRightInd w:val="0"/>
        <w:rPr>
          <w:rFonts w:ascii="Verdana" w:hAnsi="Verdana"/>
          <w:sz w:val="20"/>
          <w:szCs w:val="20"/>
        </w:rPr>
      </w:pPr>
      <w:r>
        <w:rPr>
          <w:rFonts w:ascii="Verdana" w:hAnsi="Verdana"/>
          <w:sz w:val="20"/>
          <w:szCs w:val="20"/>
        </w:rPr>
        <w:t xml:space="preserve">Marci, A., Juhászová, Z.(2016). Creating an evaluation model of accounting documentation a focus on size criteria. In MMK 2016. Mezinárodní vědecká konference. </w:t>
      </w:r>
      <w:r>
        <w:rPr>
          <w:rFonts w:ascii="Verdana" w:hAnsi="Verdana"/>
          <w:i/>
          <w:iCs/>
          <w:sz w:val="20"/>
          <w:szCs w:val="20"/>
        </w:rPr>
        <w:t xml:space="preserve">MMK 2016 : recenzovaný sborník příspěvků mezinárodní vědecké konference : mezinárodní Masarykova konference pro doktorandy a mladé vědecké pracovníky : ročník </w:t>
      </w:r>
      <w:r>
        <w:rPr>
          <w:rFonts w:ascii="Verdana" w:hAnsi="Verdana"/>
          <w:i/>
          <w:iCs/>
          <w:sz w:val="20"/>
          <w:szCs w:val="20"/>
        </w:rPr>
        <w:lastRenderedPageBreak/>
        <w:t>7. : 12. - 16. prosince 2016, Hradec Králové, Česká republika : certifikovaná vědecká konference No. 2259661633</w:t>
      </w:r>
      <w:r>
        <w:rPr>
          <w:rFonts w:ascii="Verdana" w:hAnsi="Verdana"/>
          <w:sz w:val="20"/>
          <w:szCs w:val="20"/>
        </w:rPr>
        <w:t>. - Hradec Králové : MAGNANIMITAS, s. 634-641 online.</w:t>
      </w:r>
    </w:p>
    <w:p w:rsidR="005C3F63" w:rsidRDefault="006536E7">
      <w:pPr>
        <w:shd w:val="clear" w:color="auto" w:fill="FFFFFF" w:themeFill="background1"/>
        <w:adjustRightInd w:val="0"/>
        <w:rPr>
          <w:rFonts w:ascii="Verdana" w:hAnsi="Verdana"/>
          <w:sz w:val="20"/>
          <w:szCs w:val="20"/>
          <w:lang w:val="de-DE"/>
        </w:rPr>
      </w:pPr>
      <w:r>
        <w:rPr>
          <w:rFonts w:ascii="Verdana" w:hAnsi="Verdana"/>
          <w:sz w:val="20"/>
          <w:szCs w:val="20"/>
          <w:lang w:val="de-DE"/>
        </w:rPr>
        <w:t xml:space="preserve">Senyigit Y. B., Zeytinoglu E. (2014). The Effects of Mandatory Auditor Rotation on Audit Quality: Literature Research. </w:t>
      </w:r>
      <w:r>
        <w:rPr>
          <w:rFonts w:ascii="Verdana" w:hAnsi="Verdana"/>
          <w:i/>
          <w:iCs/>
          <w:sz w:val="20"/>
          <w:szCs w:val="20"/>
          <w:lang w:val="de-DE"/>
        </w:rPr>
        <w:t>Istanbul Management Journal,</w:t>
      </w:r>
      <w:r>
        <w:rPr>
          <w:rFonts w:ascii="Verdana" w:hAnsi="Verdana"/>
          <w:sz w:val="20"/>
          <w:szCs w:val="20"/>
          <w:lang w:val="de-DE"/>
        </w:rPr>
        <w:t xml:space="preserve"> (77), 79-98. </w:t>
      </w:r>
    </w:p>
    <w:p w:rsidR="005C3F63" w:rsidRDefault="006536E7">
      <w:pPr>
        <w:shd w:val="clear" w:color="auto" w:fill="FFFFFF" w:themeFill="background1"/>
        <w:adjustRightInd w:val="0"/>
        <w:rPr>
          <w:rFonts w:ascii="Verdana" w:hAnsi="Verdana"/>
          <w:sz w:val="20"/>
          <w:szCs w:val="20"/>
        </w:rPr>
      </w:pPr>
      <w:r>
        <w:rPr>
          <w:rFonts w:ascii="Verdana" w:hAnsi="Verdana"/>
          <w:sz w:val="20"/>
          <w:szCs w:val="20"/>
        </w:rPr>
        <w:t xml:space="preserve">Tumpach, M., Gedeon, M. (2019). Navrhované zvýšenie limitov pre povinný štatutárny audit ako reakcia na gold-plating. In </w:t>
      </w:r>
      <w:r>
        <w:rPr>
          <w:rFonts w:ascii="Verdana" w:hAnsi="Verdana"/>
          <w:i/>
          <w:iCs/>
          <w:sz w:val="20"/>
          <w:szCs w:val="20"/>
        </w:rPr>
        <w:t>Účtovníctvo - audítorstvo - daňovníctvo : v teórii a praxi</w:t>
      </w:r>
      <w:r>
        <w:rPr>
          <w:rFonts w:ascii="Verdana" w:hAnsi="Verdana"/>
          <w:sz w:val="20"/>
          <w:szCs w:val="20"/>
        </w:rPr>
        <w:t>. - Bratislava : Slovenská komora certifikovaných účtovníkov. Roč. 27, č. 7-8, s. 45-49. I-19-107-00.</w:t>
      </w:r>
    </w:p>
    <w:p w:rsidR="005C3F63" w:rsidRDefault="006536E7">
      <w:pPr>
        <w:rPr>
          <w:rFonts w:ascii="Verdana" w:hAnsi="Verdana"/>
          <w:sz w:val="20"/>
          <w:szCs w:val="20"/>
        </w:rPr>
      </w:pPr>
      <w:r>
        <w:rPr>
          <w:rFonts w:ascii="Verdana" w:hAnsi="Verdana"/>
          <w:sz w:val="20"/>
          <w:szCs w:val="20"/>
        </w:rPr>
        <w:t>Zákon č. 431/2002 Z. z. o účtovníctve v znení neskorších predpisov.</w:t>
      </w:r>
    </w:p>
    <w:p w:rsidR="005C3F63" w:rsidRDefault="006536E7">
      <w:pPr>
        <w:jc w:val="left"/>
        <w:rPr>
          <w:rFonts w:ascii="Verdana" w:hAnsi="Verdana"/>
          <w:sz w:val="20"/>
          <w:szCs w:val="20"/>
          <w:lang w:val="cs-CZ"/>
        </w:rPr>
      </w:pPr>
      <w:r>
        <w:rPr>
          <w:rFonts w:ascii="Verdana" w:hAnsi="Verdana"/>
          <w:sz w:val="20"/>
          <w:szCs w:val="20"/>
          <w:lang w:val="cs-CZ"/>
        </w:rPr>
        <w:br w:type="page"/>
      </w:r>
    </w:p>
    <w:p w:rsidR="005C3F63" w:rsidRDefault="006536E7">
      <w:pPr>
        <w:pStyle w:val="1"/>
        <w:spacing w:before="0" w:after="240"/>
        <w:rPr>
          <w:b w:val="0"/>
          <w:bCs w:val="0"/>
          <w:szCs w:val="24"/>
        </w:rPr>
      </w:pPr>
      <w:bookmarkStart w:id="433" w:name="_Toc47951524"/>
      <w:r>
        <w:rPr>
          <w:szCs w:val="24"/>
        </w:rPr>
        <w:lastRenderedPageBreak/>
        <w:t>Correlation of Sentiment used in Annual Reports and Corporate Profitability</w:t>
      </w:r>
      <w:bookmarkEnd w:id="433"/>
      <w:r>
        <w:rPr>
          <w:b w:val="0"/>
          <w:bCs w:val="0"/>
          <w:szCs w:val="24"/>
        </w:rPr>
        <w:t xml:space="preserve"> </w:t>
      </w:r>
    </w:p>
    <w:p w:rsidR="005C3F63" w:rsidRDefault="006536E7">
      <w:pPr>
        <w:pStyle w:val="Autor"/>
      </w:pPr>
      <w:bookmarkStart w:id="434" w:name="_Toc47446704"/>
      <w:bookmarkStart w:id="435" w:name="_Toc47447155"/>
      <w:bookmarkStart w:id="436" w:name="_Toc47440861"/>
      <w:bookmarkStart w:id="437" w:name="_Toc47442666"/>
      <w:bookmarkStart w:id="438" w:name="_Toc47441487"/>
      <w:bookmarkStart w:id="439" w:name="_Toc47446362"/>
      <w:bookmarkStart w:id="440" w:name="_Toc47444437"/>
      <w:bookmarkStart w:id="441" w:name="_Toc47443662"/>
      <w:bookmarkStart w:id="442" w:name="_Toc47439767"/>
      <w:bookmarkStart w:id="443" w:name="_Toc47448193"/>
      <w:bookmarkStart w:id="444" w:name="_Toc47448315"/>
      <w:bookmarkStart w:id="445" w:name="_Toc47451150"/>
      <w:bookmarkStart w:id="446" w:name="_Toc47443561"/>
      <w:bookmarkStart w:id="447" w:name="_Toc47449309"/>
      <w:bookmarkStart w:id="448" w:name="_Toc47444279"/>
      <w:bookmarkStart w:id="449" w:name="_Toc47443428"/>
      <w:bookmarkStart w:id="450" w:name="_Toc47441607"/>
      <w:bookmarkStart w:id="451" w:name="_Toc47441673"/>
      <w:bookmarkStart w:id="452" w:name="_Toc47440085"/>
      <w:bookmarkStart w:id="453" w:name="_Toc47433535"/>
      <w:bookmarkStart w:id="454" w:name="_Toc47445950"/>
      <w:bookmarkStart w:id="455" w:name="_Toc47447975"/>
      <w:bookmarkStart w:id="456" w:name="_Toc47438957"/>
      <w:bookmarkStart w:id="457" w:name="_Toc47441188"/>
      <w:bookmarkStart w:id="458" w:name="_Toc47948729"/>
      <w:bookmarkStart w:id="459" w:name="_Toc47447921"/>
      <w:bookmarkStart w:id="460" w:name="_Toc47951525"/>
      <w:bookmarkStart w:id="461" w:name="_Toc47951460"/>
      <w:bookmarkStart w:id="462" w:name="_Toc47444126"/>
      <w:bookmarkStart w:id="463" w:name="_Toc47448553"/>
      <w:bookmarkStart w:id="464" w:name="_Toc47448057"/>
      <w:bookmarkStart w:id="465" w:name="_Toc47951367"/>
      <w:bookmarkStart w:id="466" w:name="_Toc47435429"/>
      <w:bookmarkStart w:id="467" w:name="_Toc47448608"/>
      <w:bookmarkStart w:id="468" w:name="_Toc47948988"/>
      <w:bookmarkStart w:id="469" w:name="_Toc47948790"/>
      <w:bookmarkStart w:id="470" w:name="_Toc47448111"/>
      <w:bookmarkStart w:id="471" w:name="_Toc47445727"/>
      <w:bookmarkStart w:id="472" w:name="_Toc47446102"/>
      <w:bookmarkStart w:id="473" w:name="_Toc47444596"/>
      <w:bookmarkStart w:id="474" w:name="_Toc47448834"/>
      <w:bookmarkStart w:id="475" w:name="_Toc47949302"/>
      <w:r>
        <w:rPr>
          <w:rStyle w:val="AutorChar"/>
          <w:b/>
        </w:rPr>
        <w:t>Zuzana Kubaščíková</w:t>
      </w:r>
      <w:r>
        <w:rPr>
          <w:rStyle w:val="AutorChar"/>
          <w:b/>
          <w:vertAlign w:val="superscript"/>
        </w:rPr>
        <w:t>1</w:t>
      </w:r>
      <w:r>
        <w:rPr>
          <w:rStyle w:val="AutorChar"/>
          <w:b/>
        </w:rPr>
        <w:t>, Miloš Tumpach</w:t>
      </w:r>
      <w:r>
        <w:rPr>
          <w:rStyle w:val="AutorChar"/>
          <w:b/>
          <w:vertAlign w:val="superscript"/>
        </w:rPr>
        <w:t>2</w:t>
      </w:r>
      <w:r>
        <w:rPr>
          <w:rStyle w:val="AutorChar"/>
          <w:b/>
        </w:rPr>
        <w:t>, Zuzana Juhászová</w:t>
      </w:r>
      <w:r>
        <w:rPr>
          <w:rStyle w:val="AutorChar"/>
          <w:b/>
          <w:vertAlign w:val="superscript"/>
        </w:rPr>
        <w:t>3</w:t>
      </w:r>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r>
        <w:t xml:space="preserve"> </w:t>
      </w:r>
    </w:p>
    <w:p w:rsidR="005C3F63" w:rsidRDefault="006536E7">
      <w:pPr>
        <w:jc w:val="center"/>
        <w:rPr>
          <w:rFonts w:ascii="Verdana" w:hAnsi="Verdana"/>
          <w:sz w:val="18"/>
          <w:szCs w:val="18"/>
        </w:rPr>
      </w:pPr>
      <w:r>
        <w:rPr>
          <w:rFonts w:ascii="Verdana" w:hAnsi="Verdana"/>
          <w:sz w:val="18"/>
          <w:szCs w:val="18"/>
          <w:vertAlign w:val="superscript"/>
        </w:rPr>
        <w:t xml:space="preserve">1 </w:t>
      </w:r>
      <w:r>
        <w:rPr>
          <w:rFonts w:ascii="Verdana" w:hAnsi="Verdana"/>
          <w:sz w:val="18"/>
          <w:szCs w:val="18"/>
        </w:rPr>
        <w:t xml:space="preserve">University of Economics in Bratislava </w:t>
      </w:r>
    </w:p>
    <w:p w:rsidR="005C3F63" w:rsidRDefault="006536E7">
      <w:pPr>
        <w:jc w:val="center"/>
        <w:rPr>
          <w:rFonts w:ascii="Verdana" w:hAnsi="Verdana"/>
          <w:sz w:val="18"/>
          <w:szCs w:val="18"/>
        </w:rPr>
      </w:pPr>
      <w:r>
        <w:rPr>
          <w:rFonts w:ascii="Verdana" w:hAnsi="Verdana"/>
          <w:sz w:val="18"/>
          <w:szCs w:val="18"/>
        </w:rPr>
        <w:t>Faculty of Business Informatics, Department of Accounting and Auditing</w:t>
      </w:r>
    </w:p>
    <w:p w:rsidR="005C3F63" w:rsidRDefault="006536E7">
      <w:pPr>
        <w:jc w:val="center"/>
        <w:rPr>
          <w:rFonts w:ascii="Verdana" w:hAnsi="Verdana"/>
          <w:sz w:val="18"/>
          <w:szCs w:val="18"/>
        </w:rPr>
      </w:pPr>
      <w:r>
        <w:rPr>
          <w:rFonts w:ascii="Verdana" w:hAnsi="Verdana"/>
          <w:sz w:val="18"/>
          <w:szCs w:val="18"/>
        </w:rPr>
        <w:t>Dolnozemská 1, 852 35 Bratislava, Slovensko</w:t>
      </w:r>
    </w:p>
    <w:p w:rsidR="005C3F63" w:rsidRDefault="006536E7">
      <w:pPr>
        <w:jc w:val="center"/>
        <w:rPr>
          <w:rFonts w:ascii="Verdana" w:hAnsi="Verdana"/>
          <w:sz w:val="18"/>
          <w:szCs w:val="18"/>
        </w:rPr>
      </w:pPr>
      <w:r>
        <w:rPr>
          <w:rFonts w:ascii="Verdana" w:hAnsi="Verdana"/>
          <w:sz w:val="18"/>
          <w:szCs w:val="18"/>
        </w:rPr>
        <w:t>E-mail: zuzana.kubascikova@euba.sk</w:t>
      </w:r>
    </w:p>
    <w:p w:rsidR="005C3F63" w:rsidRDefault="005C3F63">
      <w:pPr>
        <w:jc w:val="center"/>
        <w:rPr>
          <w:rFonts w:ascii="Verdana" w:hAnsi="Verdana"/>
          <w:sz w:val="18"/>
          <w:szCs w:val="18"/>
        </w:rPr>
      </w:pPr>
    </w:p>
    <w:p w:rsidR="005C3F63" w:rsidRDefault="006536E7">
      <w:pPr>
        <w:jc w:val="center"/>
        <w:rPr>
          <w:rFonts w:ascii="Verdana" w:hAnsi="Verdana"/>
          <w:sz w:val="18"/>
          <w:szCs w:val="18"/>
        </w:rPr>
      </w:pPr>
      <w:r>
        <w:rPr>
          <w:rFonts w:ascii="Verdana" w:hAnsi="Verdana"/>
          <w:sz w:val="18"/>
          <w:szCs w:val="18"/>
          <w:vertAlign w:val="superscript"/>
        </w:rPr>
        <w:t xml:space="preserve">2 </w:t>
      </w:r>
      <w:r>
        <w:rPr>
          <w:rFonts w:ascii="Verdana" w:hAnsi="Verdana"/>
          <w:sz w:val="18"/>
          <w:szCs w:val="18"/>
        </w:rPr>
        <w:t xml:space="preserve">University of Economics in Bratislava </w:t>
      </w:r>
    </w:p>
    <w:p w:rsidR="005C3F63" w:rsidRDefault="006536E7">
      <w:pPr>
        <w:jc w:val="center"/>
        <w:rPr>
          <w:rFonts w:ascii="Verdana" w:hAnsi="Verdana"/>
          <w:sz w:val="18"/>
          <w:szCs w:val="18"/>
        </w:rPr>
      </w:pPr>
      <w:r>
        <w:rPr>
          <w:rFonts w:ascii="Verdana" w:hAnsi="Verdana"/>
          <w:sz w:val="18"/>
          <w:szCs w:val="18"/>
        </w:rPr>
        <w:t>Faculty of Business Informatics, Department of Accounting and Auditing</w:t>
      </w:r>
    </w:p>
    <w:p w:rsidR="005C3F63" w:rsidRDefault="006536E7">
      <w:pPr>
        <w:jc w:val="center"/>
        <w:rPr>
          <w:rFonts w:ascii="Verdana" w:hAnsi="Verdana"/>
          <w:sz w:val="18"/>
          <w:szCs w:val="18"/>
        </w:rPr>
      </w:pPr>
      <w:r>
        <w:rPr>
          <w:rFonts w:ascii="Verdana" w:hAnsi="Verdana"/>
          <w:sz w:val="18"/>
          <w:szCs w:val="18"/>
        </w:rPr>
        <w:t>Dolnozemská 1, 852 35 Bratislava, Slovensko</w:t>
      </w:r>
    </w:p>
    <w:p w:rsidR="005C3F63" w:rsidRDefault="006536E7">
      <w:pPr>
        <w:jc w:val="center"/>
        <w:rPr>
          <w:rFonts w:ascii="Verdana" w:hAnsi="Verdana"/>
          <w:sz w:val="18"/>
          <w:szCs w:val="18"/>
        </w:rPr>
      </w:pPr>
      <w:r>
        <w:rPr>
          <w:rFonts w:ascii="Verdana" w:hAnsi="Verdana"/>
          <w:sz w:val="18"/>
          <w:szCs w:val="18"/>
        </w:rPr>
        <w:t>E-mail: milos.tumpach@euba.sk</w:t>
      </w:r>
    </w:p>
    <w:p w:rsidR="005C3F63" w:rsidRDefault="005C3F63">
      <w:pPr>
        <w:jc w:val="center"/>
        <w:rPr>
          <w:rFonts w:ascii="Verdana" w:hAnsi="Verdana"/>
          <w:sz w:val="18"/>
          <w:szCs w:val="18"/>
          <w:vertAlign w:val="superscript"/>
        </w:rPr>
      </w:pPr>
    </w:p>
    <w:p w:rsidR="005C3F63" w:rsidRDefault="006536E7">
      <w:pPr>
        <w:jc w:val="center"/>
        <w:rPr>
          <w:rFonts w:ascii="Verdana" w:hAnsi="Verdana"/>
          <w:sz w:val="18"/>
          <w:szCs w:val="18"/>
        </w:rPr>
      </w:pPr>
      <w:r>
        <w:rPr>
          <w:rFonts w:ascii="Verdana" w:hAnsi="Verdana"/>
          <w:sz w:val="18"/>
          <w:szCs w:val="18"/>
          <w:vertAlign w:val="superscript"/>
        </w:rPr>
        <w:t xml:space="preserve">3 </w:t>
      </w:r>
      <w:r>
        <w:rPr>
          <w:rFonts w:ascii="Verdana" w:hAnsi="Verdana"/>
          <w:sz w:val="18"/>
          <w:szCs w:val="18"/>
        </w:rPr>
        <w:t xml:space="preserve">University of Economics in Bratislava </w:t>
      </w:r>
    </w:p>
    <w:p w:rsidR="005C3F63" w:rsidRDefault="006536E7">
      <w:pPr>
        <w:jc w:val="center"/>
        <w:rPr>
          <w:rFonts w:ascii="Verdana" w:hAnsi="Verdana"/>
          <w:sz w:val="18"/>
          <w:szCs w:val="18"/>
        </w:rPr>
      </w:pPr>
      <w:r>
        <w:rPr>
          <w:rFonts w:ascii="Verdana" w:hAnsi="Verdana"/>
          <w:sz w:val="18"/>
          <w:szCs w:val="18"/>
        </w:rPr>
        <w:t>Faculty of Business Informatics, Department of Accounting and Auditing</w:t>
      </w:r>
    </w:p>
    <w:p w:rsidR="005C3F63" w:rsidRDefault="006536E7">
      <w:pPr>
        <w:jc w:val="center"/>
        <w:rPr>
          <w:rFonts w:ascii="Verdana" w:hAnsi="Verdana"/>
          <w:sz w:val="18"/>
          <w:szCs w:val="18"/>
        </w:rPr>
      </w:pPr>
      <w:r>
        <w:rPr>
          <w:rFonts w:ascii="Verdana" w:hAnsi="Verdana"/>
          <w:sz w:val="18"/>
          <w:szCs w:val="18"/>
        </w:rPr>
        <w:t>Dolnozemská 1, 852 35 Bratislava, Slovensko</w:t>
      </w:r>
    </w:p>
    <w:p w:rsidR="005C3F63" w:rsidRDefault="006536E7">
      <w:pPr>
        <w:jc w:val="center"/>
        <w:rPr>
          <w:rFonts w:ascii="Verdana" w:hAnsi="Verdana"/>
          <w:sz w:val="18"/>
          <w:szCs w:val="18"/>
        </w:rPr>
      </w:pPr>
      <w:r>
        <w:rPr>
          <w:rFonts w:ascii="Verdana" w:hAnsi="Verdana"/>
          <w:sz w:val="18"/>
          <w:szCs w:val="18"/>
        </w:rPr>
        <w:t>E-mail: zuzana.juhaszova@euba.sk</w:t>
      </w:r>
    </w:p>
    <w:p w:rsidR="005C3F63" w:rsidRDefault="005C3F63">
      <w:pPr>
        <w:jc w:val="center"/>
        <w:rPr>
          <w:rFonts w:ascii="Verdana" w:hAnsi="Verdana"/>
          <w:sz w:val="18"/>
          <w:szCs w:val="18"/>
        </w:rPr>
      </w:pPr>
    </w:p>
    <w:p w:rsidR="005C3F63" w:rsidRDefault="005C3F63">
      <w:pPr>
        <w:spacing w:before="21"/>
        <w:jc w:val="center"/>
        <w:rPr>
          <w:rFonts w:ascii="Verdana" w:hAnsi="Verdana"/>
          <w:sz w:val="22"/>
        </w:rPr>
      </w:pPr>
    </w:p>
    <w:p w:rsidR="005C3F63" w:rsidRDefault="006536E7">
      <w:pPr>
        <w:rPr>
          <w:rFonts w:ascii="Verdana" w:hAnsi="Verdana"/>
          <w:i/>
          <w:iCs/>
          <w:sz w:val="20"/>
          <w:szCs w:val="20"/>
        </w:rPr>
      </w:pPr>
      <w:r>
        <w:rPr>
          <w:rFonts w:ascii="Verdana" w:hAnsi="Verdana"/>
          <w:b/>
          <w:i/>
          <w:sz w:val="20"/>
          <w:szCs w:val="20"/>
          <w:lang w:val="sk-SK"/>
        </w:rPr>
        <w:t xml:space="preserve">Abstract: </w:t>
      </w:r>
      <w:r>
        <w:rPr>
          <w:rStyle w:val="tlid-translation"/>
          <w:rFonts w:ascii="Verdana" w:hAnsi="Verdana"/>
          <w:i/>
          <w:iCs/>
          <w:sz w:val="20"/>
          <w:szCs w:val="20"/>
          <w:lang w:val="en"/>
        </w:rPr>
        <w:t xml:space="preserve">Various sources of information are available to assess possible and future financial results for stakeholders. </w:t>
      </w:r>
      <w:r>
        <w:rPr>
          <w:rFonts w:ascii="Verdana" w:hAnsi="Verdana"/>
          <w:i/>
          <w:iCs/>
          <w:sz w:val="20"/>
          <w:szCs w:val="20"/>
          <w:lang w:val="en" w:eastAsia="sk-SK" w:bidi="ar-SA"/>
        </w:rPr>
        <w:t xml:space="preserve">The annual reports of companies should show the most realistic picture about company but they should also include information on the risks of the environment in which the company operates and doing business. Sometimes companies try to use very positive language in annual reports however reality is different. </w:t>
      </w:r>
      <w:r>
        <w:rPr>
          <w:rFonts w:ascii="Verdana" w:hAnsi="Verdana"/>
          <w:i/>
          <w:iCs/>
          <w:sz w:val="20"/>
          <w:szCs w:val="20"/>
        </w:rPr>
        <w:t xml:space="preserve">In our paper we examined whether the tone and structure of language applied in annual reports changed over time alongside the changing profitability of the company. We tested two hypotheses: </w:t>
      </w:r>
    </w:p>
    <w:p w:rsidR="005C3F63" w:rsidRDefault="006536E7">
      <w:pPr>
        <w:rPr>
          <w:rFonts w:ascii="Verdana" w:hAnsi="Verdana"/>
          <w:i/>
          <w:iCs/>
          <w:sz w:val="20"/>
          <w:szCs w:val="20"/>
        </w:rPr>
      </w:pPr>
      <w:r>
        <w:rPr>
          <w:rFonts w:ascii="Verdana" w:hAnsi="Verdana"/>
          <w:i/>
          <w:iCs/>
          <w:sz w:val="20"/>
          <w:szCs w:val="20"/>
        </w:rPr>
        <w:t>H1: whether there is correlation of sentiment used in annual report and profitability of company.</w:t>
      </w:r>
    </w:p>
    <w:p w:rsidR="005C3F63" w:rsidRDefault="006536E7">
      <w:pPr>
        <w:rPr>
          <w:rFonts w:ascii="Verdana" w:hAnsi="Verdana"/>
          <w:i/>
          <w:iCs/>
          <w:sz w:val="20"/>
          <w:szCs w:val="20"/>
        </w:rPr>
      </w:pPr>
      <w:r>
        <w:rPr>
          <w:rFonts w:ascii="Verdana" w:hAnsi="Verdana"/>
          <w:i/>
          <w:iCs/>
          <w:sz w:val="20"/>
          <w:szCs w:val="20"/>
        </w:rPr>
        <w:t xml:space="preserve">H2: whether there is correlation of sentiment used in annual report and profitability in following accounting period. </w:t>
      </w:r>
    </w:p>
    <w:p w:rsidR="005C3F63" w:rsidRDefault="006536E7">
      <w:pPr>
        <w:rPr>
          <w:rFonts w:ascii="Verdana" w:hAnsi="Verdana"/>
          <w:i/>
          <w:iCs/>
          <w:sz w:val="20"/>
          <w:szCs w:val="20"/>
          <w:lang w:val="sk-SK" w:eastAsia="sk-SK" w:bidi="ar-SA"/>
        </w:rPr>
      </w:pPr>
      <w:r>
        <w:rPr>
          <w:rFonts w:ascii="Verdana" w:hAnsi="Verdana"/>
          <w:i/>
          <w:iCs/>
          <w:sz w:val="20"/>
          <w:szCs w:val="20"/>
        </w:rPr>
        <w:t xml:space="preserve">Based on our results we conclude that only sentiment “risk” correlates with profitability of the company and we did not find any correlation with sentiment used in annual reports and profitability in following accounting period. </w:t>
      </w:r>
    </w:p>
    <w:p w:rsidR="005C3F63" w:rsidRDefault="005C3F63">
      <w:pPr>
        <w:spacing w:after="120"/>
        <w:rPr>
          <w:rFonts w:ascii="Verdana" w:hAnsi="Verdana"/>
          <w:b/>
          <w:i/>
          <w:sz w:val="20"/>
          <w:szCs w:val="20"/>
          <w:lang w:val="sk-SK"/>
        </w:rPr>
      </w:pPr>
    </w:p>
    <w:p w:rsidR="005C3F63" w:rsidRDefault="006536E7">
      <w:pPr>
        <w:spacing w:after="120"/>
        <w:rPr>
          <w:rFonts w:ascii="Verdana" w:hAnsi="Verdana"/>
          <w:i/>
          <w:sz w:val="20"/>
          <w:szCs w:val="20"/>
          <w:lang w:val="sk-SK"/>
        </w:rPr>
      </w:pPr>
      <w:r>
        <w:rPr>
          <w:rFonts w:ascii="Verdana" w:hAnsi="Verdana"/>
          <w:b/>
          <w:i/>
          <w:sz w:val="20"/>
          <w:szCs w:val="20"/>
          <w:lang w:val="sk-SK"/>
        </w:rPr>
        <w:t>Keywords:</w:t>
      </w:r>
      <w:r>
        <w:rPr>
          <w:rFonts w:ascii="Verdana" w:hAnsi="Verdana"/>
          <w:i/>
          <w:sz w:val="20"/>
          <w:szCs w:val="20"/>
          <w:lang w:val="sk-SK"/>
        </w:rPr>
        <w:t xml:space="preserve"> annual reports, sentiment analysis, narrative information</w:t>
      </w:r>
    </w:p>
    <w:p w:rsidR="005C3F63" w:rsidRDefault="006536E7">
      <w:pPr>
        <w:pStyle w:val="04-Anotacijostekstas"/>
        <w:spacing w:before="0" w:after="120"/>
        <w:ind w:left="0" w:right="-284"/>
        <w:jc w:val="left"/>
        <w:rPr>
          <w:rFonts w:ascii="Verdana" w:hAnsi="Verdana"/>
          <w:i/>
          <w:lang w:val="sk-SK"/>
        </w:rPr>
      </w:pPr>
      <w:r>
        <w:rPr>
          <w:rFonts w:ascii="Verdana" w:hAnsi="Verdana"/>
          <w:i/>
          <w:lang w:val="sk-SK"/>
        </w:rPr>
        <w:t>JEL codes: M49</w:t>
      </w:r>
    </w:p>
    <w:p w:rsidR="005C3F63" w:rsidRDefault="006536E7">
      <w:pPr>
        <w:pStyle w:val="Kapitola"/>
        <w:rPr>
          <w:lang w:val="sk-SK"/>
        </w:rPr>
      </w:pPr>
      <w:r>
        <w:rPr>
          <w:lang w:val="sk-SK"/>
        </w:rPr>
        <w:t xml:space="preserve">1 </w:t>
      </w:r>
      <w:r>
        <w:rPr>
          <w:bCs w:val="0"/>
          <w:lang w:val="sk-SK"/>
        </w:rPr>
        <w:t>Úvod</w:t>
      </w:r>
      <w:r>
        <w:rPr>
          <w:lang w:val="sk-SK"/>
        </w:rPr>
        <w:t xml:space="preserve"> / Introduction </w:t>
      </w:r>
    </w:p>
    <w:p w:rsidR="005C3F63" w:rsidRDefault="006536E7">
      <w:pPr>
        <w:rPr>
          <w:rFonts w:ascii="Verdana" w:hAnsi="Verdana"/>
          <w:iCs/>
          <w:sz w:val="20"/>
          <w:szCs w:val="20"/>
          <w:lang w:val="sk-SK"/>
        </w:rPr>
      </w:pPr>
      <w:r>
        <w:rPr>
          <w:rStyle w:val="tlid-translation"/>
          <w:rFonts w:ascii="Verdana" w:hAnsi="Verdana"/>
          <w:sz w:val="20"/>
          <w:szCs w:val="20"/>
          <w:lang w:val="sk-SK"/>
        </w:rPr>
        <w:t>Téma textovej analýzy finančných údajov nie je novou témou a hlavne v posledných štyroch rokov bola predmetom vedeckého záujmu. (Pakšiová, Janhuba, 2012) Vedci demonštrujú širokú škálu techník, ktoré možno použiť na efektívnu a rýchlu textovú analýzu nefinančných údajov a snažia sa vysvetliť to, čo  manažéri a účtovníci skrývajú v textoch výročných správ a iných podnikových dokumentoch. (Parajka, 2015) Vedci z celého sveta sa zaoberajú rôznymi typmi analýz nefinančných textových údajov a ich výsledky je možné nájsť v rôznych databázach vedeckých prác. Vývoj množstva vedeckých prác zameraných na túto tému a publikovaných v databázach Web of Knowledge and Scopus podľa jednotlivých rokov nájdeme v nasledujúcej tabuľke.</w:t>
      </w:r>
    </w:p>
    <w:p w:rsidR="005C3F63" w:rsidRDefault="005C3F63">
      <w:pPr>
        <w:rPr>
          <w:rFonts w:ascii="Verdana" w:hAnsi="Verdana"/>
          <w:iCs/>
          <w:sz w:val="20"/>
          <w:szCs w:val="20"/>
          <w:lang w:val="sk-SK"/>
        </w:rPr>
      </w:pPr>
    </w:p>
    <w:p w:rsidR="005C3F63" w:rsidRDefault="006536E7">
      <w:pPr>
        <w:spacing w:after="120"/>
        <w:jc w:val="center"/>
        <w:rPr>
          <w:rFonts w:ascii="Verdana" w:hAnsi="Verdana"/>
          <w:sz w:val="20"/>
          <w:szCs w:val="20"/>
          <w:lang w:val="sk-SK"/>
        </w:rPr>
      </w:pPr>
      <w:r>
        <w:rPr>
          <w:rFonts w:ascii="Verdana" w:hAnsi="Verdana"/>
          <w:b/>
          <w:sz w:val="20"/>
          <w:szCs w:val="20"/>
          <w:lang w:val="sk-SK"/>
        </w:rPr>
        <w:t>Tabuľka 1</w:t>
      </w:r>
      <w:r>
        <w:rPr>
          <w:rFonts w:ascii="Verdana" w:hAnsi="Verdana"/>
          <w:sz w:val="20"/>
          <w:szCs w:val="20"/>
          <w:lang w:val="sk-SK"/>
        </w:rPr>
        <w:t xml:space="preserve"> Publikácie zamerané na textovú analýzu v oblasti podnikových financií </w:t>
      </w:r>
    </w:p>
    <w:tbl>
      <w:tblPr>
        <w:tblW w:w="6833" w:type="dxa"/>
        <w:jc w:val="center"/>
        <w:tblBorders>
          <w:top w:val="single" w:sz="8" w:space="0" w:color="000000"/>
          <w:bottom w:val="single" w:sz="8" w:space="0" w:color="000000"/>
        </w:tblBorders>
        <w:tblLook w:val="04A0" w:firstRow="1" w:lastRow="0" w:firstColumn="1" w:lastColumn="0" w:noHBand="0" w:noVBand="1"/>
      </w:tblPr>
      <w:tblGrid>
        <w:gridCol w:w="1143"/>
        <w:gridCol w:w="1892"/>
        <w:gridCol w:w="293"/>
        <w:gridCol w:w="264"/>
        <w:gridCol w:w="323"/>
        <w:gridCol w:w="228"/>
        <w:gridCol w:w="2690"/>
      </w:tblGrid>
      <w:tr w:rsidR="005C3F63">
        <w:trPr>
          <w:jc w:val="center"/>
        </w:trPr>
        <w:tc>
          <w:tcPr>
            <w:tcW w:w="1143"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Rok</w:t>
            </w:r>
          </w:p>
        </w:tc>
        <w:tc>
          <w:tcPr>
            <w:tcW w:w="1892"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WOK</w:t>
            </w:r>
          </w:p>
        </w:tc>
        <w:tc>
          <w:tcPr>
            <w:tcW w:w="293" w:type="dxa"/>
            <w:tcBorders>
              <w:top w:val="single" w:sz="8" w:space="0" w:color="000000"/>
              <w:left w:val="nil"/>
              <w:bottom w:val="double" w:sz="4" w:space="0" w:color="auto"/>
              <w:right w:val="nil"/>
            </w:tcBorders>
          </w:tcPr>
          <w:p w:rsidR="005C3F63" w:rsidRDefault="005C3F63">
            <w:pPr>
              <w:jc w:val="center"/>
              <w:rPr>
                <w:rFonts w:ascii="Verdana" w:hAnsi="Verdana"/>
                <w:b/>
                <w:bCs/>
                <w:color w:val="000000"/>
                <w:sz w:val="20"/>
                <w:szCs w:val="20"/>
                <w:lang w:val="sk-SK"/>
              </w:rPr>
            </w:pPr>
          </w:p>
        </w:tc>
        <w:tc>
          <w:tcPr>
            <w:tcW w:w="264" w:type="dxa"/>
            <w:tcBorders>
              <w:top w:val="single" w:sz="8" w:space="0" w:color="000000"/>
              <w:left w:val="nil"/>
              <w:bottom w:val="double" w:sz="4" w:space="0" w:color="auto"/>
              <w:right w:val="nil"/>
            </w:tcBorders>
          </w:tcPr>
          <w:p w:rsidR="005C3F63" w:rsidRDefault="005C3F63">
            <w:pPr>
              <w:jc w:val="center"/>
              <w:rPr>
                <w:rFonts w:ascii="Verdana" w:hAnsi="Verdana"/>
                <w:b/>
                <w:bCs/>
                <w:color w:val="000000"/>
                <w:sz w:val="20"/>
                <w:szCs w:val="20"/>
                <w:lang w:val="sk-SK"/>
              </w:rPr>
            </w:pPr>
          </w:p>
        </w:tc>
        <w:tc>
          <w:tcPr>
            <w:tcW w:w="323" w:type="dxa"/>
            <w:tcBorders>
              <w:top w:val="single" w:sz="8" w:space="0" w:color="000000"/>
              <w:left w:val="nil"/>
              <w:bottom w:val="double" w:sz="4" w:space="0" w:color="auto"/>
              <w:right w:val="nil"/>
            </w:tcBorders>
          </w:tcPr>
          <w:p w:rsidR="005C3F63" w:rsidRDefault="005C3F63">
            <w:pPr>
              <w:jc w:val="center"/>
              <w:rPr>
                <w:rFonts w:ascii="Verdana" w:hAnsi="Verdana"/>
                <w:b/>
                <w:bCs/>
                <w:color w:val="000000"/>
                <w:sz w:val="20"/>
                <w:szCs w:val="20"/>
                <w:lang w:val="sk-SK"/>
              </w:rPr>
            </w:pPr>
          </w:p>
        </w:tc>
        <w:tc>
          <w:tcPr>
            <w:tcW w:w="228" w:type="dxa"/>
            <w:tcBorders>
              <w:top w:val="single" w:sz="8" w:space="0" w:color="000000"/>
              <w:left w:val="nil"/>
              <w:bottom w:val="double" w:sz="4" w:space="0" w:color="auto"/>
              <w:right w:val="nil"/>
            </w:tcBorders>
          </w:tcPr>
          <w:p w:rsidR="005C3F63" w:rsidRDefault="005C3F63">
            <w:pPr>
              <w:jc w:val="center"/>
              <w:rPr>
                <w:rFonts w:ascii="Verdana" w:hAnsi="Verdana"/>
                <w:b/>
                <w:bCs/>
                <w:color w:val="000000"/>
                <w:sz w:val="20"/>
                <w:szCs w:val="20"/>
                <w:lang w:val="sk-SK"/>
              </w:rPr>
            </w:pPr>
          </w:p>
        </w:tc>
        <w:tc>
          <w:tcPr>
            <w:tcW w:w="2690"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Scopus</w:t>
            </w:r>
          </w:p>
        </w:tc>
      </w:tr>
      <w:tr w:rsidR="005C3F63">
        <w:trPr>
          <w:jc w:val="center"/>
        </w:trPr>
        <w:tc>
          <w:tcPr>
            <w:tcW w:w="1143" w:type="dxa"/>
            <w:tcBorders>
              <w:top w:val="double" w:sz="4" w:space="0" w:color="auto"/>
              <w:left w:val="nil"/>
              <w:bottom w:val="single" w:sz="4" w:space="0" w:color="auto"/>
              <w:right w:val="nil"/>
            </w:tcBorders>
            <w:shd w:val="clear" w:color="auto" w:fill="FFFFFF"/>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2019</w:t>
            </w:r>
          </w:p>
        </w:tc>
        <w:tc>
          <w:tcPr>
            <w:tcW w:w="1892" w:type="dxa"/>
            <w:tcBorders>
              <w:top w:val="doub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 xml:space="preserve"> 67</w:t>
            </w:r>
          </w:p>
        </w:tc>
        <w:tc>
          <w:tcPr>
            <w:tcW w:w="293" w:type="dxa"/>
            <w:tcBorders>
              <w:top w:val="doub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4" w:type="dxa"/>
            <w:tcBorders>
              <w:top w:val="doub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323" w:type="dxa"/>
            <w:tcBorders>
              <w:top w:val="doub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28" w:type="dxa"/>
            <w:tcBorders>
              <w:top w:val="doub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90" w:type="dxa"/>
            <w:tcBorders>
              <w:top w:val="double" w:sz="4" w:space="0" w:color="auto"/>
              <w:left w:val="nil"/>
              <w:bottom w:val="single" w:sz="4" w:space="0" w:color="auto"/>
              <w:right w:val="nil"/>
            </w:tcBorders>
            <w:shd w:val="clear" w:color="auto" w:fill="FFFFFF"/>
          </w:tcPr>
          <w:p w:rsidR="005C3F63" w:rsidRDefault="006536E7">
            <w:pPr>
              <w:ind w:firstLine="99"/>
              <w:jc w:val="center"/>
              <w:rPr>
                <w:rFonts w:ascii="Verdana" w:hAnsi="Verdana"/>
                <w:color w:val="000000"/>
                <w:sz w:val="20"/>
                <w:szCs w:val="20"/>
                <w:lang w:val="sk-SK"/>
              </w:rPr>
            </w:pPr>
            <w:r>
              <w:rPr>
                <w:rFonts w:ascii="Verdana" w:hAnsi="Verdana"/>
                <w:color w:val="000000"/>
                <w:sz w:val="20"/>
                <w:szCs w:val="20"/>
                <w:lang w:val="sk-SK"/>
              </w:rPr>
              <w:t>50</w:t>
            </w:r>
          </w:p>
        </w:tc>
      </w:tr>
      <w:tr w:rsidR="005C3F63">
        <w:trPr>
          <w:jc w:val="center"/>
        </w:trPr>
        <w:tc>
          <w:tcPr>
            <w:tcW w:w="1143" w:type="dxa"/>
            <w:tcBorders>
              <w:top w:val="single" w:sz="4" w:space="0" w:color="auto"/>
              <w:bottom w:val="single" w:sz="4" w:space="0" w:color="auto"/>
            </w:tcBorders>
            <w:shd w:val="clear" w:color="auto" w:fill="FFFFFF"/>
          </w:tcPr>
          <w:p w:rsidR="005C3F63" w:rsidRDefault="006536E7">
            <w:pPr>
              <w:ind w:right="-89"/>
              <w:rPr>
                <w:rFonts w:ascii="Verdana" w:hAnsi="Verdana"/>
                <w:b/>
                <w:bCs/>
                <w:color w:val="000000"/>
                <w:sz w:val="20"/>
                <w:szCs w:val="20"/>
                <w:lang w:val="sk-SK"/>
              </w:rPr>
            </w:pPr>
            <w:r>
              <w:rPr>
                <w:rFonts w:ascii="Verdana" w:hAnsi="Verdana"/>
                <w:b/>
                <w:bCs/>
                <w:color w:val="000000"/>
                <w:sz w:val="20"/>
                <w:szCs w:val="20"/>
                <w:lang w:val="sk-SK"/>
              </w:rPr>
              <w:t xml:space="preserve">   2018</w:t>
            </w:r>
          </w:p>
        </w:tc>
        <w:tc>
          <w:tcPr>
            <w:tcW w:w="1892"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30</w:t>
            </w:r>
          </w:p>
        </w:tc>
        <w:tc>
          <w:tcPr>
            <w:tcW w:w="293" w:type="dxa"/>
            <w:tcBorders>
              <w:top w:val="single" w:sz="4" w:space="0" w:color="auto"/>
              <w:bottom w:val="single" w:sz="4" w:space="0" w:color="auto"/>
            </w:tcBorders>
            <w:shd w:val="clear" w:color="auto" w:fill="FFFFFF"/>
          </w:tcPr>
          <w:p w:rsidR="005C3F63" w:rsidRDefault="005C3F63">
            <w:pPr>
              <w:jc w:val="center"/>
              <w:rPr>
                <w:rFonts w:ascii="Verdana" w:hAnsi="Verdana"/>
                <w:color w:val="000000"/>
                <w:sz w:val="20"/>
                <w:szCs w:val="20"/>
                <w:lang w:val="sk-SK"/>
              </w:rPr>
            </w:pPr>
          </w:p>
        </w:tc>
        <w:tc>
          <w:tcPr>
            <w:tcW w:w="264" w:type="dxa"/>
            <w:tcBorders>
              <w:top w:val="single" w:sz="4" w:space="0" w:color="auto"/>
              <w:bottom w:val="single" w:sz="4" w:space="0" w:color="auto"/>
            </w:tcBorders>
            <w:shd w:val="clear" w:color="auto" w:fill="FFFFFF"/>
          </w:tcPr>
          <w:p w:rsidR="005C3F63" w:rsidRDefault="005C3F63">
            <w:pPr>
              <w:jc w:val="center"/>
              <w:rPr>
                <w:rFonts w:ascii="Verdana" w:hAnsi="Verdana"/>
                <w:color w:val="000000"/>
                <w:sz w:val="20"/>
                <w:szCs w:val="20"/>
                <w:lang w:val="sk-SK"/>
              </w:rPr>
            </w:pPr>
          </w:p>
        </w:tc>
        <w:tc>
          <w:tcPr>
            <w:tcW w:w="323" w:type="dxa"/>
            <w:tcBorders>
              <w:top w:val="single" w:sz="4" w:space="0" w:color="auto"/>
              <w:bottom w:val="single" w:sz="4" w:space="0" w:color="auto"/>
            </w:tcBorders>
            <w:shd w:val="clear" w:color="auto" w:fill="FFFFFF"/>
          </w:tcPr>
          <w:p w:rsidR="005C3F63" w:rsidRDefault="005C3F63">
            <w:pPr>
              <w:jc w:val="center"/>
              <w:rPr>
                <w:rFonts w:ascii="Verdana" w:hAnsi="Verdana"/>
                <w:color w:val="000000"/>
                <w:sz w:val="20"/>
                <w:szCs w:val="20"/>
                <w:lang w:val="sk-SK"/>
              </w:rPr>
            </w:pPr>
          </w:p>
        </w:tc>
        <w:tc>
          <w:tcPr>
            <w:tcW w:w="228" w:type="dxa"/>
            <w:tcBorders>
              <w:top w:val="single" w:sz="4" w:space="0" w:color="auto"/>
              <w:bottom w:val="single" w:sz="4" w:space="0" w:color="auto"/>
            </w:tcBorders>
            <w:shd w:val="clear" w:color="auto" w:fill="FFFFFF"/>
          </w:tcPr>
          <w:p w:rsidR="005C3F63" w:rsidRDefault="005C3F63">
            <w:pPr>
              <w:jc w:val="center"/>
              <w:rPr>
                <w:rFonts w:ascii="Verdana" w:hAnsi="Verdana"/>
                <w:color w:val="000000"/>
                <w:sz w:val="20"/>
                <w:szCs w:val="20"/>
                <w:lang w:val="sk-SK"/>
              </w:rPr>
            </w:pPr>
          </w:p>
        </w:tc>
        <w:tc>
          <w:tcPr>
            <w:tcW w:w="2690"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 xml:space="preserve"> 37</w:t>
            </w:r>
          </w:p>
        </w:tc>
      </w:tr>
      <w:tr w:rsidR="005C3F63">
        <w:trPr>
          <w:jc w:val="center"/>
        </w:trPr>
        <w:tc>
          <w:tcPr>
            <w:tcW w:w="1143"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2017</w:t>
            </w:r>
          </w:p>
        </w:tc>
        <w:tc>
          <w:tcPr>
            <w:tcW w:w="1892"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24</w:t>
            </w:r>
          </w:p>
        </w:tc>
        <w:tc>
          <w:tcPr>
            <w:tcW w:w="29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4"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32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28"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90"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 xml:space="preserve"> 36</w:t>
            </w:r>
          </w:p>
        </w:tc>
      </w:tr>
      <w:tr w:rsidR="005C3F63">
        <w:trPr>
          <w:jc w:val="center"/>
        </w:trPr>
        <w:tc>
          <w:tcPr>
            <w:tcW w:w="1143"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lastRenderedPageBreak/>
              <w:t>2016</w:t>
            </w:r>
          </w:p>
        </w:tc>
        <w:tc>
          <w:tcPr>
            <w:tcW w:w="1892"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18</w:t>
            </w:r>
          </w:p>
        </w:tc>
        <w:tc>
          <w:tcPr>
            <w:tcW w:w="29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4"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32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28"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90"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 xml:space="preserve"> 26</w:t>
            </w:r>
          </w:p>
        </w:tc>
      </w:tr>
      <w:tr w:rsidR="005C3F63">
        <w:trPr>
          <w:jc w:val="center"/>
        </w:trPr>
        <w:tc>
          <w:tcPr>
            <w:tcW w:w="1143"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2015</w:t>
            </w:r>
          </w:p>
        </w:tc>
        <w:tc>
          <w:tcPr>
            <w:tcW w:w="1892"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5</w:t>
            </w:r>
          </w:p>
        </w:tc>
        <w:tc>
          <w:tcPr>
            <w:tcW w:w="29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4"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32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28"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90"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 xml:space="preserve"> 14</w:t>
            </w:r>
          </w:p>
        </w:tc>
      </w:tr>
      <w:tr w:rsidR="005C3F63">
        <w:trPr>
          <w:jc w:val="center"/>
        </w:trPr>
        <w:tc>
          <w:tcPr>
            <w:tcW w:w="1143"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2014</w:t>
            </w:r>
          </w:p>
        </w:tc>
        <w:tc>
          <w:tcPr>
            <w:tcW w:w="1892"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8</w:t>
            </w:r>
          </w:p>
        </w:tc>
        <w:tc>
          <w:tcPr>
            <w:tcW w:w="29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4"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32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28"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90"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 xml:space="preserve"> 17</w:t>
            </w:r>
          </w:p>
        </w:tc>
      </w:tr>
      <w:tr w:rsidR="005C3F63">
        <w:trPr>
          <w:jc w:val="center"/>
        </w:trPr>
        <w:tc>
          <w:tcPr>
            <w:tcW w:w="1143"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2013</w:t>
            </w:r>
          </w:p>
        </w:tc>
        <w:tc>
          <w:tcPr>
            <w:tcW w:w="1892"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5</w:t>
            </w:r>
          </w:p>
        </w:tc>
        <w:tc>
          <w:tcPr>
            <w:tcW w:w="29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4"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32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28"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90"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 xml:space="preserve"> 20</w:t>
            </w:r>
          </w:p>
        </w:tc>
      </w:tr>
      <w:tr w:rsidR="005C3F63">
        <w:trPr>
          <w:jc w:val="center"/>
        </w:trPr>
        <w:tc>
          <w:tcPr>
            <w:tcW w:w="1143"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2012</w:t>
            </w:r>
          </w:p>
        </w:tc>
        <w:tc>
          <w:tcPr>
            <w:tcW w:w="1892"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5</w:t>
            </w:r>
          </w:p>
        </w:tc>
        <w:tc>
          <w:tcPr>
            <w:tcW w:w="29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4"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32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28"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90"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 xml:space="preserve"> 8</w:t>
            </w:r>
          </w:p>
        </w:tc>
      </w:tr>
      <w:tr w:rsidR="005C3F63">
        <w:trPr>
          <w:jc w:val="center"/>
        </w:trPr>
        <w:tc>
          <w:tcPr>
            <w:tcW w:w="1143"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2011</w:t>
            </w:r>
          </w:p>
        </w:tc>
        <w:tc>
          <w:tcPr>
            <w:tcW w:w="1892"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4</w:t>
            </w:r>
          </w:p>
        </w:tc>
        <w:tc>
          <w:tcPr>
            <w:tcW w:w="29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4"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32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28"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90"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 xml:space="preserve"> 7</w:t>
            </w:r>
          </w:p>
        </w:tc>
      </w:tr>
      <w:tr w:rsidR="005C3F63">
        <w:trPr>
          <w:jc w:val="center"/>
        </w:trPr>
        <w:tc>
          <w:tcPr>
            <w:tcW w:w="1143"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2010</w:t>
            </w:r>
          </w:p>
        </w:tc>
        <w:tc>
          <w:tcPr>
            <w:tcW w:w="1892"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4</w:t>
            </w:r>
          </w:p>
        </w:tc>
        <w:tc>
          <w:tcPr>
            <w:tcW w:w="29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4"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32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28"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90"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 xml:space="preserve"> 7</w:t>
            </w:r>
          </w:p>
        </w:tc>
      </w:tr>
      <w:tr w:rsidR="005C3F63">
        <w:trPr>
          <w:jc w:val="center"/>
        </w:trPr>
        <w:tc>
          <w:tcPr>
            <w:tcW w:w="1143"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2009</w:t>
            </w:r>
          </w:p>
        </w:tc>
        <w:tc>
          <w:tcPr>
            <w:tcW w:w="1892"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1</w:t>
            </w:r>
          </w:p>
        </w:tc>
        <w:tc>
          <w:tcPr>
            <w:tcW w:w="29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4"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32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28"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90"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 xml:space="preserve"> 6</w:t>
            </w:r>
          </w:p>
        </w:tc>
      </w:tr>
      <w:tr w:rsidR="005C3F63">
        <w:trPr>
          <w:jc w:val="center"/>
        </w:trPr>
        <w:tc>
          <w:tcPr>
            <w:tcW w:w="1143"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2008</w:t>
            </w:r>
          </w:p>
        </w:tc>
        <w:tc>
          <w:tcPr>
            <w:tcW w:w="1892"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2</w:t>
            </w:r>
          </w:p>
        </w:tc>
        <w:tc>
          <w:tcPr>
            <w:tcW w:w="29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4"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32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28"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90"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 xml:space="preserve"> 4</w:t>
            </w:r>
          </w:p>
        </w:tc>
      </w:tr>
      <w:tr w:rsidR="005C3F63">
        <w:trPr>
          <w:jc w:val="center"/>
        </w:trPr>
        <w:tc>
          <w:tcPr>
            <w:tcW w:w="1143"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2007</w:t>
            </w:r>
          </w:p>
        </w:tc>
        <w:tc>
          <w:tcPr>
            <w:tcW w:w="1892"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0</w:t>
            </w:r>
          </w:p>
        </w:tc>
        <w:tc>
          <w:tcPr>
            <w:tcW w:w="29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4"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32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28"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90"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 xml:space="preserve"> 5</w:t>
            </w:r>
          </w:p>
        </w:tc>
      </w:tr>
      <w:tr w:rsidR="005C3F63">
        <w:trPr>
          <w:jc w:val="center"/>
        </w:trPr>
        <w:tc>
          <w:tcPr>
            <w:tcW w:w="1143"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2006</w:t>
            </w:r>
          </w:p>
        </w:tc>
        <w:tc>
          <w:tcPr>
            <w:tcW w:w="1892"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0</w:t>
            </w:r>
          </w:p>
        </w:tc>
        <w:tc>
          <w:tcPr>
            <w:tcW w:w="29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4"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32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28"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90"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 xml:space="preserve"> 2</w:t>
            </w:r>
          </w:p>
        </w:tc>
      </w:tr>
      <w:tr w:rsidR="005C3F63">
        <w:trPr>
          <w:jc w:val="center"/>
        </w:trPr>
        <w:tc>
          <w:tcPr>
            <w:tcW w:w="1143"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2005</w:t>
            </w:r>
          </w:p>
        </w:tc>
        <w:tc>
          <w:tcPr>
            <w:tcW w:w="1892"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0</w:t>
            </w:r>
          </w:p>
        </w:tc>
        <w:tc>
          <w:tcPr>
            <w:tcW w:w="29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4"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323"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28" w:type="dxa"/>
            <w:tcBorders>
              <w:top w:val="sing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sk-SK"/>
              </w:rPr>
            </w:pPr>
          </w:p>
        </w:tc>
        <w:tc>
          <w:tcPr>
            <w:tcW w:w="2690" w:type="dxa"/>
            <w:tcBorders>
              <w:top w:val="sing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 xml:space="preserve"> 3</w:t>
            </w:r>
          </w:p>
        </w:tc>
      </w:tr>
      <w:tr w:rsidR="005C3F63">
        <w:trPr>
          <w:jc w:val="center"/>
        </w:trPr>
        <w:tc>
          <w:tcPr>
            <w:tcW w:w="1143" w:type="dxa"/>
            <w:tcBorders>
              <w:top w:val="single" w:sz="4" w:space="0" w:color="auto"/>
              <w:left w:val="nil"/>
              <w:right w:val="nil"/>
            </w:tcBorders>
            <w:shd w:val="clear" w:color="auto" w:fill="FFFFFF"/>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2004</w:t>
            </w:r>
          </w:p>
        </w:tc>
        <w:tc>
          <w:tcPr>
            <w:tcW w:w="1892" w:type="dxa"/>
            <w:tcBorders>
              <w:top w:val="single" w:sz="4" w:space="0" w:color="auto"/>
              <w:left w:val="nil"/>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0</w:t>
            </w:r>
          </w:p>
        </w:tc>
        <w:tc>
          <w:tcPr>
            <w:tcW w:w="293" w:type="dxa"/>
            <w:tcBorders>
              <w:top w:val="single" w:sz="4" w:space="0" w:color="auto"/>
              <w:left w:val="nil"/>
              <w:right w:val="nil"/>
            </w:tcBorders>
            <w:shd w:val="clear" w:color="auto" w:fill="FFFFFF"/>
          </w:tcPr>
          <w:p w:rsidR="005C3F63" w:rsidRDefault="005C3F63">
            <w:pPr>
              <w:jc w:val="center"/>
              <w:rPr>
                <w:rFonts w:ascii="Verdana" w:hAnsi="Verdana"/>
                <w:color w:val="000000"/>
                <w:sz w:val="20"/>
                <w:szCs w:val="20"/>
                <w:lang w:val="sk-SK"/>
              </w:rPr>
            </w:pPr>
          </w:p>
        </w:tc>
        <w:tc>
          <w:tcPr>
            <w:tcW w:w="264" w:type="dxa"/>
            <w:tcBorders>
              <w:top w:val="single" w:sz="4" w:space="0" w:color="auto"/>
              <w:left w:val="nil"/>
              <w:right w:val="nil"/>
            </w:tcBorders>
            <w:shd w:val="clear" w:color="auto" w:fill="FFFFFF"/>
          </w:tcPr>
          <w:p w:rsidR="005C3F63" w:rsidRDefault="005C3F63">
            <w:pPr>
              <w:jc w:val="center"/>
              <w:rPr>
                <w:rFonts w:ascii="Verdana" w:hAnsi="Verdana"/>
                <w:color w:val="000000"/>
                <w:sz w:val="20"/>
                <w:szCs w:val="20"/>
                <w:lang w:val="sk-SK"/>
              </w:rPr>
            </w:pPr>
          </w:p>
        </w:tc>
        <w:tc>
          <w:tcPr>
            <w:tcW w:w="323" w:type="dxa"/>
            <w:tcBorders>
              <w:top w:val="single" w:sz="4" w:space="0" w:color="auto"/>
              <w:left w:val="nil"/>
              <w:right w:val="nil"/>
            </w:tcBorders>
            <w:shd w:val="clear" w:color="auto" w:fill="FFFFFF"/>
          </w:tcPr>
          <w:p w:rsidR="005C3F63" w:rsidRDefault="005C3F63">
            <w:pPr>
              <w:jc w:val="center"/>
              <w:rPr>
                <w:rFonts w:ascii="Verdana" w:hAnsi="Verdana"/>
                <w:color w:val="000000"/>
                <w:sz w:val="20"/>
                <w:szCs w:val="20"/>
                <w:lang w:val="sk-SK"/>
              </w:rPr>
            </w:pPr>
          </w:p>
        </w:tc>
        <w:tc>
          <w:tcPr>
            <w:tcW w:w="228" w:type="dxa"/>
            <w:tcBorders>
              <w:top w:val="single" w:sz="4" w:space="0" w:color="auto"/>
              <w:left w:val="nil"/>
              <w:right w:val="nil"/>
            </w:tcBorders>
            <w:shd w:val="clear" w:color="auto" w:fill="FFFFFF"/>
          </w:tcPr>
          <w:p w:rsidR="005C3F63" w:rsidRDefault="005C3F63">
            <w:pPr>
              <w:jc w:val="center"/>
              <w:rPr>
                <w:rFonts w:ascii="Verdana" w:hAnsi="Verdana"/>
                <w:color w:val="000000"/>
                <w:sz w:val="20"/>
                <w:szCs w:val="20"/>
                <w:lang w:val="sk-SK"/>
              </w:rPr>
            </w:pPr>
          </w:p>
        </w:tc>
        <w:tc>
          <w:tcPr>
            <w:tcW w:w="2690" w:type="dxa"/>
            <w:tcBorders>
              <w:top w:val="single" w:sz="4" w:space="0" w:color="auto"/>
              <w:left w:val="nil"/>
              <w:right w:val="nil"/>
            </w:tcBorders>
            <w:shd w:val="clear" w:color="auto" w:fill="FFFFFF"/>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 xml:space="preserve"> 1</w:t>
            </w:r>
          </w:p>
        </w:tc>
      </w:tr>
    </w:tbl>
    <w:p w:rsidR="005C3F63" w:rsidRDefault="006536E7">
      <w:pPr>
        <w:spacing w:after="240"/>
        <w:jc w:val="center"/>
        <w:rPr>
          <w:rFonts w:ascii="Verdana" w:hAnsi="Verdana"/>
          <w:sz w:val="20"/>
          <w:szCs w:val="20"/>
          <w:lang w:val="sk-SK"/>
        </w:rPr>
      </w:pPr>
      <w:r>
        <w:rPr>
          <w:rFonts w:ascii="Verdana" w:hAnsi="Verdana"/>
          <w:sz w:val="20"/>
          <w:szCs w:val="20"/>
          <w:lang w:val="sk-SK"/>
        </w:rPr>
        <w:t xml:space="preserve">Zdroj: </w:t>
      </w:r>
      <w:hyperlink r:id="rId165" w:history="1">
        <w:r>
          <w:rPr>
            <w:rStyle w:val="af9"/>
            <w:rFonts w:ascii="Verdana" w:hAnsi="Verdana"/>
            <w:sz w:val="20"/>
            <w:szCs w:val="20"/>
            <w:lang w:val="sk-SK"/>
          </w:rPr>
          <w:t>www.webofknowledge.com</w:t>
        </w:r>
      </w:hyperlink>
      <w:r>
        <w:rPr>
          <w:rFonts w:ascii="Verdana" w:hAnsi="Verdana"/>
          <w:sz w:val="20"/>
          <w:szCs w:val="20"/>
          <w:lang w:val="sk-SK"/>
        </w:rPr>
        <w:t xml:space="preserve">, </w:t>
      </w:r>
      <w:hyperlink r:id="rId166" w:history="1">
        <w:r>
          <w:rPr>
            <w:rStyle w:val="af9"/>
            <w:rFonts w:ascii="Verdana" w:hAnsi="Verdana"/>
            <w:sz w:val="20"/>
            <w:szCs w:val="20"/>
            <w:lang w:val="sk-SK"/>
          </w:rPr>
          <w:t>www.scopus.com</w:t>
        </w:r>
      </w:hyperlink>
    </w:p>
    <w:p w:rsidR="005C3F63" w:rsidRDefault="006536E7">
      <w:pPr>
        <w:rPr>
          <w:rFonts w:ascii="Verdana" w:hAnsi="Verdana"/>
          <w:sz w:val="20"/>
          <w:szCs w:val="20"/>
          <w:lang w:val="sk-SK" w:eastAsia="sk-SK" w:bidi="ar-SA"/>
        </w:rPr>
      </w:pPr>
      <w:r>
        <w:rPr>
          <w:rFonts w:ascii="Verdana" w:hAnsi="Verdana"/>
          <w:sz w:val="20"/>
          <w:szCs w:val="20"/>
          <w:lang w:val="sk-SK" w:eastAsia="sk-SK" w:bidi="ar-SA"/>
        </w:rPr>
        <w:t>V sledovanom období bolo publikovaných 416 vedeckých prác na tému textovej analýzy v oblasti podnikového financovania (obchod, správa, účtovníctvo) v obidvoch databázach (Scopus a Web of Knowledge), v posledných rokoch bol zaznamenaný výrazný nárast počtu vedeckých článkov a počet publikácií na tému textovej analýzy sa neustále zvyšuje, čo poukazuje na rastúci záujem akademickej obce a výskum na túto tému. Počet publikácií vydávaných v USA na túto tému prudko vzrástol v posledných rokoch v oboch databázach, s rastúcim počtom publikácii rastie aj počet citácii, najcitovanejší (849-krát a 715-krát) v obidvoch databázach je príspevok „</w:t>
      </w:r>
      <w:r>
        <w:rPr>
          <w:rFonts w:ascii="Verdana" w:hAnsi="Verdana"/>
          <w:sz w:val="20"/>
          <w:szCs w:val="20"/>
          <w:lang w:val="sk-SK"/>
        </w:rPr>
        <w:t>When is a Liability Not a Liability? Textual Analysis, Dictionaries, and 10-Ks”</w:t>
      </w:r>
      <w:r>
        <w:rPr>
          <w:rFonts w:ascii="Verdana" w:hAnsi="Verdana"/>
          <w:sz w:val="20"/>
          <w:szCs w:val="20"/>
          <w:lang w:val="sk-SK" w:eastAsia="sk-SK" w:bidi="ar-SA"/>
        </w:rPr>
        <w:t xml:space="preserve"> (Loughran, Mcdonald, 2011).</w:t>
      </w:r>
    </w:p>
    <w:tbl>
      <w:tblPr>
        <w:tblW w:w="0" w:type="auto"/>
        <w:tblCellSpacing w:w="15" w:type="dxa"/>
        <w:tblInd w:w="-239" w:type="dxa"/>
        <w:tblCellMar>
          <w:top w:w="15" w:type="dxa"/>
          <w:left w:w="15" w:type="dxa"/>
          <w:bottom w:w="15" w:type="dxa"/>
          <w:right w:w="15" w:type="dxa"/>
        </w:tblCellMar>
        <w:tblLook w:val="04A0" w:firstRow="1" w:lastRow="0" w:firstColumn="1" w:lastColumn="0" w:noHBand="0" w:noVBand="1"/>
      </w:tblPr>
      <w:tblGrid>
        <w:gridCol w:w="81"/>
        <w:gridCol w:w="66"/>
        <w:gridCol w:w="66"/>
        <w:gridCol w:w="9041"/>
        <w:gridCol w:w="66"/>
        <w:gridCol w:w="81"/>
      </w:tblGrid>
      <w:tr w:rsidR="005C3F63">
        <w:trPr>
          <w:tblCellSpacing w:w="15" w:type="dxa"/>
        </w:trPr>
        <w:tc>
          <w:tcPr>
            <w:tcW w:w="0" w:type="auto"/>
            <w:vAlign w:val="center"/>
          </w:tcPr>
          <w:p w:rsidR="005C3F63" w:rsidRDefault="005C3F63">
            <w:pPr>
              <w:jc w:val="left"/>
              <w:rPr>
                <w:rFonts w:ascii="Verdana" w:hAnsi="Verdana"/>
                <w:sz w:val="20"/>
                <w:szCs w:val="20"/>
                <w:lang w:val="sk-SK" w:eastAsia="sk-SK" w:bidi="ar-SA"/>
              </w:rPr>
            </w:pPr>
          </w:p>
        </w:tc>
        <w:tc>
          <w:tcPr>
            <w:tcW w:w="0" w:type="auto"/>
            <w:vAlign w:val="center"/>
          </w:tcPr>
          <w:p w:rsidR="005C3F63" w:rsidRDefault="005C3F63">
            <w:pPr>
              <w:jc w:val="left"/>
              <w:rPr>
                <w:rFonts w:ascii="Verdana" w:hAnsi="Verdana"/>
                <w:sz w:val="20"/>
                <w:szCs w:val="20"/>
                <w:lang w:val="sk-SK"/>
              </w:rPr>
            </w:pPr>
          </w:p>
        </w:tc>
        <w:tc>
          <w:tcPr>
            <w:tcW w:w="0" w:type="auto"/>
            <w:vAlign w:val="center"/>
          </w:tcPr>
          <w:p w:rsidR="005C3F63" w:rsidRDefault="005C3F63">
            <w:pPr>
              <w:rPr>
                <w:rFonts w:ascii="Verdana" w:hAnsi="Verdana"/>
                <w:sz w:val="20"/>
                <w:szCs w:val="20"/>
                <w:lang w:val="sk-SK"/>
              </w:rPr>
            </w:pPr>
          </w:p>
        </w:tc>
        <w:tc>
          <w:tcPr>
            <w:tcW w:w="0" w:type="auto"/>
            <w:vAlign w:val="center"/>
          </w:tcPr>
          <w:p w:rsidR="005C3F63" w:rsidRDefault="005C3F63">
            <w:pPr>
              <w:rPr>
                <w:rFonts w:ascii="Verdana" w:hAnsi="Verdana"/>
                <w:sz w:val="20"/>
                <w:szCs w:val="20"/>
                <w:lang w:val="sk-SK"/>
              </w:rPr>
            </w:pPr>
          </w:p>
          <w:p w:rsidR="005C3F63" w:rsidRDefault="006536E7">
            <w:pPr>
              <w:rPr>
                <w:rStyle w:val="tlid-translation"/>
                <w:rFonts w:ascii="Verdana" w:hAnsi="Verdana"/>
                <w:sz w:val="20"/>
                <w:szCs w:val="20"/>
                <w:lang w:val="sk-SK"/>
              </w:rPr>
            </w:pPr>
            <w:r>
              <w:rPr>
                <w:rStyle w:val="tlid-translation"/>
                <w:rFonts w:ascii="Verdana" w:hAnsi="Verdana"/>
                <w:sz w:val="20"/>
                <w:szCs w:val="20"/>
                <w:lang w:val="sk-SK"/>
              </w:rPr>
              <w:t>Loughran a Mcdonald vo svojom vysoko citovanom príspevku (Loughran, Mcdonald, 2011) vypracovali a uviedli zoznam negatívnych slov, ktorý odráža charakter finančného textu a preukázali, že bežne používané zoznamy slov nesprávne klasifikujú slová vo finančnom texte. Ukázali, že takmer 75% negatívnych slov detekovaných v účtovných závierkach 10-K založených na slovníku Harvard nie sú v skutočnosti pre účely finančného výkazníctva negatívne.</w:t>
            </w:r>
          </w:p>
          <w:p w:rsidR="005C3F63" w:rsidRDefault="005C3F63">
            <w:pPr>
              <w:rPr>
                <w:rFonts w:ascii="Verdana" w:hAnsi="Verdana"/>
                <w:sz w:val="20"/>
                <w:szCs w:val="20"/>
                <w:lang w:val="sk-SK"/>
              </w:rPr>
            </w:pPr>
          </w:p>
          <w:p w:rsidR="005C3F63" w:rsidRDefault="006536E7">
            <w:pPr>
              <w:rPr>
                <w:rFonts w:ascii="Verdana" w:hAnsi="Verdana"/>
                <w:sz w:val="20"/>
                <w:szCs w:val="20"/>
                <w:lang w:val="sk-SK"/>
              </w:rPr>
            </w:pPr>
            <w:r>
              <w:rPr>
                <w:rStyle w:val="tlid-translation"/>
                <w:rFonts w:ascii="Verdana" w:hAnsi="Verdana"/>
                <w:sz w:val="20"/>
                <w:szCs w:val="20"/>
                <w:lang w:val="sk-SK"/>
              </w:rPr>
              <w:t>Existuje len málo dokumentov, ktoré skúmali, či sa tón a zložitosť výročných správ týka finančnej situácie spoločností. Ďalšie práce analyzovali, či sa textová analýza výročných správ líši v jednotlivých fázach životného cyklu spoločnosti. Bakarich, Hossain, Weintrop preukázali, že spoločnosti poskytujú kvalitatívne odlišné informácie, a ukazujú, že zverejňovanie sa líši v závislosti od štádiu cyklu podniku (Bakarich, Hossain, Weintrop, 2019).</w:t>
            </w:r>
          </w:p>
        </w:tc>
        <w:tc>
          <w:tcPr>
            <w:tcW w:w="0" w:type="auto"/>
            <w:vAlign w:val="center"/>
          </w:tcPr>
          <w:p w:rsidR="005C3F63" w:rsidRDefault="005C3F63">
            <w:pPr>
              <w:rPr>
                <w:rFonts w:ascii="Verdana" w:hAnsi="Verdana"/>
                <w:sz w:val="20"/>
                <w:szCs w:val="20"/>
                <w:lang w:val="sk-SK"/>
              </w:rPr>
            </w:pPr>
          </w:p>
        </w:tc>
        <w:tc>
          <w:tcPr>
            <w:tcW w:w="0" w:type="auto"/>
            <w:vAlign w:val="center"/>
          </w:tcPr>
          <w:p w:rsidR="005C3F63" w:rsidRDefault="005C3F63">
            <w:pPr>
              <w:rPr>
                <w:rFonts w:ascii="Verdana" w:hAnsi="Verdana"/>
                <w:sz w:val="20"/>
                <w:szCs w:val="20"/>
                <w:lang w:val="sk-SK"/>
              </w:rPr>
            </w:pPr>
          </w:p>
        </w:tc>
      </w:tr>
    </w:tbl>
    <w:p w:rsidR="005C3F63" w:rsidRDefault="006536E7">
      <w:pPr>
        <w:pStyle w:val="Kapitola"/>
        <w:rPr>
          <w:lang w:val="sk-SK"/>
        </w:rPr>
      </w:pPr>
      <w:r>
        <w:rPr>
          <w:lang w:val="sk-SK"/>
        </w:rPr>
        <w:t xml:space="preserve">2 Metodológia a zdrojové údaje / Methodology and Data </w:t>
      </w:r>
    </w:p>
    <w:p w:rsidR="005C3F63" w:rsidRDefault="006536E7">
      <w:pPr>
        <w:rPr>
          <w:rFonts w:ascii="Verdana" w:hAnsi="Verdana"/>
          <w:sz w:val="20"/>
          <w:szCs w:val="20"/>
          <w:lang w:val="sk-SK" w:eastAsia="sk-SK" w:bidi="ar-SA"/>
        </w:rPr>
      </w:pPr>
      <w:r>
        <w:rPr>
          <w:rFonts w:ascii="Verdana" w:hAnsi="Verdana"/>
          <w:sz w:val="20"/>
          <w:szCs w:val="20"/>
          <w:lang w:val="sk-SK" w:eastAsia="sk-SK" w:bidi="ar-SA"/>
        </w:rPr>
        <w:t>Výročná správa je jedným z najdôležitejších prostriedkom, ktorým spoločnosť komunikuje navonok. Ak chce spoločnosť byť medzi konkurenčnými podnikmi úspešná, mala by považovať kvalitu výročnej správy za dôležitý prostriedok dosiahnutia tohto cieľa. (Ondrušová, 2011) V tomto príspevku sme analyzovali nefinančné údaje vo výročnej správe pomocou nástroja na analýzu textu.</w:t>
      </w:r>
    </w:p>
    <w:p w:rsidR="005C3F63" w:rsidRDefault="005C3F63">
      <w:pPr>
        <w:rPr>
          <w:rFonts w:ascii="Verdana" w:hAnsi="Verdana"/>
          <w:sz w:val="20"/>
          <w:szCs w:val="20"/>
          <w:lang w:val="sk-SK" w:eastAsia="sk-SK" w:bidi="ar-SA"/>
        </w:rPr>
      </w:pPr>
    </w:p>
    <w:p w:rsidR="005C3F63" w:rsidRDefault="006536E7">
      <w:pPr>
        <w:rPr>
          <w:rStyle w:val="tlid-translation"/>
          <w:rFonts w:ascii="Verdana" w:hAnsi="Verdana"/>
          <w:sz w:val="20"/>
          <w:szCs w:val="20"/>
          <w:lang w:val="sk-SK" w:eastAsia="sk-SK" w:bidi="ar-SA"/>
        </w:rPr>
      </w:pPr>
      <w:r>
        <w:rPr>
          <w:rStyle w:val="tlid-translation"/>
          <w:rFonts w:ascii="Verdana" w:hAnsi="Verdana"/>
          <w:sz w:val="20"/>
          <w:szCs w:val="20"/>
          <w:lang w:val="sk-SK"/>
        </w:rPr>
        <w:t>Na účely analýzy sme vybrali 58 výročných správ zo Slovenska za roky 2008 - 2018. Mohli sme zvoliť iba výročné správy pripravené v angličtine, takže náš výber bol obmedzený. Pri výbere sme sa pokúsili vybrať spoločnosti z rôznych sektorov, aby boli výsledky objektívnejšie a mohli sme formulovať závery. Výročné správy jednotlivých spoločností sme získali priamo z webových stránok analyzovaných spoločností.</w:t>
      </w:r>
    </w:p>
    <w:p w:rsidR="005C3F63" w:rsidRDefault="005C3F63">
      <w:pPr>
        <w:spacing w:after="120"/>
        <w:rPr>
          <w:rStyle w:val="tlid-translation"/>
          <w:rFonts w:ascii="Verdana" w:hAnsi="Verdana"/>
          <w:sz w:val="20"/>
          <w:szCs w:val="20"/>
          <w:lang w:val="sk-SK"/>
        </w:rPr>
      </w:pPr>
    </w:p>
    <w:p w:rsidR="005C3F63" w:rsidRDefault="006536E7">
      <w:pPr>
        <w:spacing w:after="120"/>
        <w:rPr>
          <w:rStyle w:val="tlid-translation"/>
          <w:rFonts w:ascii="Verdana" w:hAnsi="Verdana"/>
          <w:sz w:val="20"/>
          <w:szCs w:val="20"/>
          <w:lang w:val="sk-SK"/>
        </w:rPr>
      </w:pPr>
      <w:r>
        <w:rPr>
          <w:rStyle w:val="tlid-translation"/>
          <w:rFonts w:ascii="Verdana" w:hAnsi="Verdana"/>
          <w:sz w:val="20"/>
          <w:szCs w:val="20"/>
          <w:lang w:val="sk-SK"/>
        </w:rPr>
        <w:t xml:space="preserve">Zamerali sme sa na hodnotenie výročných správ pomocou nástroja na analýzu textu, ktorý ich hodnotí z pohľadu sentimentu. Pomocou nástroja na analýzu textu a rôznych metód sa pokúsime dosiahnuť hlavný cieľ - analýzu nefinančných údajov vo výročných </w:t>
      </w:r>
      <w:r>
        <w:rPr>
          <w:rStyle w:val="tlid-translation"/>
          <w:rFonts w:ascii="Verdana" w:hAnsi="Verdana"/>
          <w:sz w:val="20"/>
          <w:szCs w:val="20"/>
          <w:lang w:val="sk-SK"/>
        </w:rPr>
        <w:lastRenderedPageBreak/>
        <w:t xml:space="preserve">správach. Ak chceme získať porovnateľné informácie z výročných správ rôznych spoločností, musíme zabezpečiť, aby sme používali výročné správy, ktoré majú približne rovnaký rozsah. Testovali sme hypotézu, či text vo výročnej správe koreluje v výnosnosťou daného podniku v danom alebo nasledujúcom účtovnom období. </w:t>
      </w:r>
    </w:p>
    <w:p w:rsidR="005C3F63" w:rsidRDefault="006536E7">
      <w:pPr>
        <w:spacing w:after="120"/>
        <w:rPr>
          <w:rStyle w:val="tlid-translation"/>
          <w:rFonts w:ascii="Verdana" w:hAnsi="Verdana"/>
          <w:sz w:val="20"/>
          <w:szCs w:val="20"/>
          <w:lang w:val="sk-SK"/>
        </w:rPr>
      </w:pPr>
      <w:r>
        <w:rPr>
          <w:rStyle w:val="tlid-translation"/>
          <w:rFonts w:ascii="Verdana" w:hAnsi="Verdana"/>
          <w:sz w:val="20"/>
          <w:szCs w:val="20"/>
          <w:lang w:val="sk-SK"/>
        </w:rPr>
        <w:t>Na analýzu textu sme použili softvér Linguistic Inquiry a Word Count (LIWC 2015). Softvér analyzuje text a vypočíta percento slov, ktoré odrážajú rôzne emócie, štýly myslenia, spoločenské záujmy a štruktúru viet. Boli vytvorené kategórie jazykov na zachytenie sociálnych a psychologických podmienok. Softvér obsahuje vstavané slovníky a modul textovej analýzy porovnáva každé slovo s definovaným slovníkom.</w:t>
      </w:r>
    </w:p>
    <w:p w:rsidR="005C3F63" w:rsidRDefault="006536E7">
      <w:pPr>
        <w:spacing w:after="120"/>
        <w:rPr>
          <w:rStyle w:val="tlid-translation"/>
          <w:rFonts w:ascii="Verdana" w:hAnsi="Verdana"/>
          <w:sz w:val="20"/>
          <w:szCs w:val="20"/>
          <w:lang w:val="sk-SK"/>
        </w:rPr>
      </w:pPr>
      <w:r>
        <w:rPr>
          <w:rStyle w:val="tlid-translation"/>
          <w:rFonts w:ascii="Verdana" w:hAnsi="Verdana"/>
          <w:sz w:val="20"/>
          <w:szCs w:val="20"/>
          <w:lang w:val="sk-SK"/>
        </w:rPr>
        <w:t>Softvér identifikuje slová, ktoré súvisia s relevantnými psychologickými kategóriami.</w:t>
      </w:r>
      <w:r>
        <w:rPr>
          <w:rFonts w:ascii="Verdana" w:hAnsi="Verdana"/>
          <w:sz w:val="20"/>
          <w:szCs w:val="20"/>
          <w:lang w:val="sk-SK"/>
        </w:rPr>
        <w:br/>
      </w:r>
      <w:r>
        <w:rPr>
          <w:rStyle w:val="tlid-translation"/>
          <w:rFonts w:ascii="Verdana" w:hAnsi="Verdana"/>
          <w:sz w:val="20"/>
          <w:szCs w:val="20"/>
          <w:lang w:val="sk-SK"/>
        </w:rPr>
        <w:t>Po identifikácii a spočítaní všetkých slov v danom texte sa vypočíta percento z celkového počtu slov, ktoré sa zhodujú s kategóriami v slovníku. Modul textovej analýzy identifikuje a kategorizuje slová. Jadrom softvéru sú slovník, pre každé slovo v slovníku je zodpovedajúca položka v slovníku, ktorá definuje jednu alebo viac kategórií slov. Rovnako ako každý softvér má aj LIWC2015 niekoľko nedostatkov. Pri analýze krátkych textov a pri použití sarkazmu, irónie alebo metafory sa musí postupovať opatrne. Keďže však analyzujeme nefinančné údaje vo výročných správach, môžeme vylúčiť neformálny štýl písania a dĺžka výročných správ je vo všeobecnosti postačujúca. (Andrejovska, Banociova, 2013)</w:t>
      </w:r>
    </w:p>
    <w:p w:rsidR="005C3F63" w:rsidRDefault="006536E7">
      <w:pPr>
        <w:pStyle w:val="Kapitola"/>
        <w:rPr>
          <w:lang w:val="sk-SK"/>
        </w:rPr>
      </w:pPr>
      <w:r>
        <w:rPr>
          <w:lang w:val="sk-SK"/>
        </w:rPr>
        <w:t xml:space="preserve">3 Výsledky a diskusia / Results and Discussion </w:t>
      </w:r>
    </w:p>
    <w:p w:rsidR="005C3F63" w:rsidRDefault="006536E7">
      <w:pPr>
        <w:rPr>
          <w:rStyle w:val="tlid-translation"/>
          <w:rFonts w:ascii="Verdana" w:hAnsi="Verdana"/>
          <w:sz w:val="20"/>
          <w:szCs w:val="20"/>
          <w:lang w:val="sk-SK"/>
        </w:rPr>
      </w:pPr>
      <w:r>
        <w:rPr>
          <w:rStyle w:val="tlid-translation"/>
          <w:rFonts w:ascii="Verdana" w:hAnsi="Verdana"/>
          <w:sz w:val="20"/>
          <w:szCs w:val="20"/>
          <w:lang w:val="sk-SK"/>
        </w:rPr>
        <w:t xml:space="preserve">Rozhodnutia vlastníkov nemusia zakladať na finančných informáciách z účtovníctva, ale môžu byť ovplyvnené nefinančnými informáciami z výročných správ. Používatelia výročných správ môžu byť ovplyvnení sentimentom použitým vo výročných správach a môžu byť manipulovaní do rozhodnutí, ktoré nie sú racionálne (Slobodyanik, Chyzhevska, 2019). Toto správanie používateľov sa nazýva kognitívna odchýlka od racionality. Kognitívna odchýlka od racionality je výsledkom nesprávneho zhromažďovania alebo analýzy informácií, najmä pri rozhodovaní o potenciálnych ziskoch alebo stratách. Väčšina odchýlok od racionality v rozhodovaní je kognitívna. Pravidlá týkajúce sa duševného účtu môžeme uplatniť aj na používateľov účtovných informácií. Rozhodujúcimi činiteľmi v spoločnostiach sú vlastníci, ktorí posudzujú finančné ciele spoločnosti (ziskovosť, solventnosť atď.) (Kurnaz, Dalkilic, Zeytinoglu, 2010). A klasifikujú svoje investície do mentálnych účtov. Finančné ciele spoločnosti a duševné účty vlastníkov sú usporiadané podľa dôležitosti. Napríklad, ak cieľom vlastníkov je nízkoriziková investícia a zároveň majú averziu voči riziku, priradia na daný duševný účet podnik, ktorý dbá na bezpečnosť a ochranu a tieto slová sa vo veľkom počte nachádzajú v zdrojoch, ktoré má vlastník k dispozícii (napr. vo výročnej správe). Rôzne pravidlá pre majiteľov mentálnych účtov majú ťažkosti pri posudzovaní investičných a finančných cieľov spoločnosti (Kontsyvaya, Alborov, Kontsevaya, Smutka, Makunina, Turebekova, 2019). Rozhodovanie vlastníkov o investovaní kapitálu do firmy by nemalo byť subjektívne, ale založené na dôkladnej analýze účtovných informácií. </w:t>
      </w:r>
    </w:p>
    <w:p w:rsidR="005C3F63" w:rsidRDefault="005C3F63">
      <w:pPr>
        <w:rPr>
          <w:rStyle w:val="tlid-translation"/>
          <w:rFonts w:ascii="Verdana" w:hAnsi="Verdana"/>
          <w:sz w:val="20"/>
          <w:szCs w:val="20"/>
          <w:lang w:val="sk-SK"/>
        </w:rPr>
      </w:pPr>
    </w:p>
    <w:p w:rsidR="005C3F63" w:rsidRDefault="006536E7">
      <w:pPr>
        <w:rPr>
          <w:rFonts w:ascii="Verdana" w:hAnsi="Verdana"/>
          <w:sz w:val="20"/>
          <w:szCs w:val="20"/>
        </w:rPr>
      </w:pPr>
      <w:r>
        <w:rPr>
          <w:rStyle w:val="tlid-translation"/>
          <w:rFonts w:ascii="Verdana" w:hAnsi="Verdana"/>
          <w:sz w:val="20"/>
          <w:szCs w:val="20"/>
          <w:lang w:val="sk-SK"/>
        </w:rPr>
        <w:t xml:space="preserve">V rámci analýzy sme sa zamerali na štyri základné kategórie emócii vyskytujúce sa vo výročných správach– risk, odmena, pozitívne a negatívne emócie. Riziko je vyjadrené slovami: problémy, ochrany, prevencia, bezpečnosť, nebezpečenstvo, atď. Odmena je vyjadrená slovami dostať, získať, získať prístup, povýšiť, vziať atď. Podľa softvéru sú pozitívne emócie z analyzovaných výročných správ sú vyjadrené nasledujúcimi slovami - odpustenie, zdravie, podpora, úcta, bezpečnosť, sloboda, výzva, väčšie, povzbudenie, starostlivosť, dôležitosť, pomoc, zachrániť, dohodnúť, spokojnosť, zlepšenie, dobre, bezpečnosť atď. Negatívne emócie sú napríklad: problémy, zneužitie, vyčerpanie, nebezpečenstvo, kritické a pod. </w:t>
      </w:r>
      <w:r>
        <w:rPr>
          <w:rStyle w:val="tlid-translation"/>
          <w:rFonts w:ascii="Verdana" w:hAnsi="Verdana"/>
          <w:sz w:val="20"/>
          <w:szCs w:val="20"/>
          <w:lang w:val="en"/>
        </w:rPr>
        <w:t>(</w:t>
      </w:r>
      <w:r>
        <w:rPr>
          <w:rFonts w:ascii="Verdana" w:hAnsi="Verdana"/>
          <w:sz w:val="20"/>
          <w:szCs w:val="20"/>
        </w:rPr>
        <w:t>Krišková, Užík, 2016)</w:t>
      </w:r>
    </w:p>
    <w:p w:rsidR="005C3F63" w:rsidRDefault="005C3F63">
      <w:pPr>
        <w:rPr>
          <w:rFonts w:ascii="Verdana" w:hAnsi="Verdana"/>
          <w:sz w:val="20"/>
          <w:szCs w:val="20"/>
        </w:rPr>
      </w:pPr>
    </w:p>
    <w:p w:rsidR="005C3F63" w:rsidRDefault="005C3F63">
      <w:pPr>
        <w:rPr>
          <w:rFonts w:ascii="Verdana" w:hAnsi="Verdana"/>
          <w:sz w:val="20"/>
          <w:szCs w:val="20"/>
        </w:rPr>
      </w:pPr>
    </w:p>
    <w:p w:rsidR="005C3F63" w:rsidRDefault="005C3F63">
      <w:pPr>
        <w:rPr>
          <w:rFonts w:ascii="Verdana" w:hAnsi="Verdana"/>
          <w:sz w:val="20"/>
          <w:szCs w:val="20"/>
        </w:rPr>
      </w:pPr>
    </w:p>
    <w:p w:rsidR="005C3F63" w:rsidRDefault="005C3F63">
      <w:pPr>
        <w:rPr>
          <w:rFonts w:ascii="Verdana" w:hAnsi="Verdana"/>
          <w:sz w:val="20"/>
          <w:szCs w:val="20"/>
        </w:rPr>
      </w:pPr>
    </w:p>
    <w:p w:rsidR="005C3F63" w:rsidRDefault="005C3F63">
      <w:pPr>
        <w:rPr>
          <w:rFonts w:ascii="Verdana" w:hAnsi="Verdana"/>
          <w:b/>
          <w:sz w:val="20"/>
          <w:szCs w:val="20"/>
          <w:lang w:val="sk-SK"/>
        </w:rPr>
      </w:pPr>
    </w:p>
    <w:p w:rsidR="005C3F63" w:rsidRDefault="005C3F63">
      <w:pPr>
        <w:rPr>
          <w:rFonts w:ascii="Verdana" w:hAnsi="Verdana"/>
          <w:b/>
          <w:sz w:val="20"/>
          <w:szCs w:val="20"/>
          <w:lang w:val="sk-SK"/>
        </w:rPr>
      </w:pPr>
    </w:p>
    <w:p w:rsidR="005C3F63" w:rsidRDefault="006536E7">
      <w:pPr>
        <w:jc w:val="center"/>
        <w:rPr>
          <w:rFonts w:ascii="Verdana" w:hAnsi="Verdana"/>
          <w:sz w:val="20"/>
          <w:szCs w:val="20"/>
          <w:lang w:val="sk-SK" w:eastAsia="sk-SK" w:bidi="ar-SA"/>
        </w:rPr>
      </w:pPr>
      <w:r>
        <w:rPr>
          <w:rFonts w:ascii="Verdana" w:hAnsi="Verdana"/>
          <w:b/>
          <w:sz w:val="20"/>
          <w:szCs w:val="20"/>
          <w:lang w:val="sk-SK"/>
        </w:rPr>
        <w:t>Tabuľka 1</w:t>
      </w:r>
      <w:r>
        <w:rPr>
          <w:rFonts w:ascii="Verdana" w:hAnsi="Verdana"/>
          <w:sz w:val="20"/>
          <w:szCs w:val="20"/>
          <w:lang w:val="sk-SK"/>
        </w:rPr>
        <w:t xml:space="preserve"> Korelácia vybraných oblastí sentimentu a výsledku hospodárenia</w:t>
      </w:r>
    </w:p>
    <w:p w:rsidR="005C3F63" w:rsidRDefault="005C3F63">
      <w:pPr>
        <w:jc w:val="center"/>
        <w:rPr>
          <w:rFonts w:ascii="Verdana" w:hAnsi="Verdana"/>
          <w:sz w:val="20"/>
          <w:szCs w:val="20"/>
          <w:lang w:val="sk-SK" w:eastAsia="sk-SK" w:bidi="ar-SA"/>
        </w:rPr>
      </w:pPr>
    </w:p>
    <w:tbl>
      <w:tblPr>
        <w:tblW w:w="8419" w:type="dxa"/>
        <w:jc w:val="center"/>
        <w:tblBorders>
          <w:top w:val="single" w:sz="8" w:space="0" w:color="000000"/>
          <w:bottom w:val="single" w:sz="8" w:space="0" w:color="000000"/>
        </w:tblBorders>
        <w:tblLook w:val="04A0" w:firstRow="1" w:lastRow="0" w:firstColumn="1" w:lastColumn="0" w:noHBand="0" w:noVBand="1"/>
      </w:tblPr>
      <w:tblGrid>
        <w:gridCol w:w="2728"/>
        <w:gridCol w:w="71"/>
        <w:gridCol w:w="1246"/>
        <w:gridCol w:w="72"/>
        <w:gridCol w:w="1221"/>
        <w:gridCol w:w="152"/>
        <w:gridCol w:w="1189"/>
        <w:gridCol w:w="107"/>
        <w:gridCol w:w="1234"/>
        <w:gridCol w:w="62"/>
        <w:gridCol w:w="337"/>
      </w:tblGrid>
      <w:tr w:rsidR="005C3F63">
        <w:trPr>
          <w:jc w:val="center"/>
        </w:trPr>
        <w:tc>
          <w:tcPr>
            <w:tcW w:w="2799" w:type="dxa"/>
            <w:gridSpan w:val="2"/>
            <w:tcBorders>
              <w:top w:val="double" w:sz="4" w:space="0" w:color="000000"/>
              <w:left w:val="nil"/>
              <w:bottom w:val="double" w:sz="4" w:space="0" w:color="000000"/>
              <w:right w:val="nil"/>
            </w:tcBorders>
            <w:shd w:val="clear" w:color="auto" w:fill="FFFFFF"/>
            <w:vAlign w:val="bottom"/>
          </w:tcPr>
          <w:p w:rsidR="005C3F63" w:rsidRDefault="005C3F63">
            <w:pPr>
              <w:jc w:val="left"/>
              <w:rPr>
                <w:rFonts w:ascii="Verdana" w:hAnsi="Verdana" w:cs="Calibri"/>
                <w:b/>
                <w:bCs/>
                <w:color w:val="000000"/>
                <w:sz w:val="20"/>
                <w:szCs w:val="20"/>
                <w:lang w:val="sk-SK" w:eastAsia="sk-SK" w:bidi="ar-SA"/>
              </w:rPr>
            </w:pPr>
          </w:p>
        </w:tc>
        <w:tc>
          <w:tcPr>
            <w:tcW w:w="1318" w:type="dxa"/>
            <w:gridSpan w:val="2"/>
            <w:tcBorders>
              <w:top w:val="double" w:sz="4" w:space="0" w:color="000000"/>
              <w:left w:val="nil"/>
              <w:bottom w:val="double" w:sz="4" w:space="0" w:color="000000"/>
              <w:right w:val="nil"/>
            </w:tcBorders>
            <w:shd w:val="clear" w:color="auto" w:fill="FFFFFF"/>
            <w:vAlign w:val="bottom"/>
          </w:tcPr>
          <w:p w:rsidR="005C3F63" w:rsidRDefault="006536E7">
            <w:pPr>
              <w:jc w:val="center"/>
              <w:rPr>
                <w:rFonts w:ascii="Verdana" w:hAnsi="Verdana" w:cs="Calibri"/>
                <w:color w:val="000000"/>
                <w:sz w:val="20"/>
                <w:szCs w:val="20"/>
                <w:lang w:val="sk-SK" w:eastAsia="sk-SK" w:bidi="ar-SA"/>
              </w:rPr>
            </w:pPr>
            <w:r>
              <w:rPr>
                <w:rFonts w:ascii="Verdana" w:hAnsi="Verdana" w:cs="Calibri"/>
                <w:color w:val="000000"/>
                <w:sz w:val="20"/>
                <w:szCs w:val="20"/>
                <w:lang w:val="sk-SK"/>
              </w:rPr>
              <w:t xml:space="preserve">      </w:t>
            </w:r>
            <w:r>
              <w:rPr>
                <w:rFonts w:ascii="Verdana" w:hAnsi="Verdana" w:cs="Calibri"/>
                <w:color w:val="000000"/>
                <w:sz w:val="20"/>
                <w:szCs w:val="20"/>
              </w:rPr>
              <w:t>Risk</w:t>
            </w:r>
          </w:p>
        </w:tc>
        <w:tc>
          <w:tcPr>
            <w:tcW w:w="1373" w:type="dxa"/>
            <w:gridSpan w:val="2"/>
            <w:tcBorders>
              <w:top w:val="double" w:sz="4" w:space="0" w:color="000000"/>
              <w:left w:val="nil"/>
              <w:bottom w:val="double" w:sz="4" w:space="0" w:color="000000"/>
              <w:right w:val="nil"/>
            </w:tcBorders>
            <w:shd w:val="clear" w:color="auto" w:fill="FFFFFF"/>
            <w:vAlign w:val="bottom"/>
          </w:tcPr>
          <w:p w:rsidR="005C3F63" w:rsidRDefault="006536E7">
            <w:pPr>
              <w:jc w:val="center"/>
              <w:rPr>
                <w:rFonts w:ascii="Verdana" w:hAnsi="Verdana" w:cs="Calibri"/>
                <w:color w:val="000000"/>
                <w:sz w:val="20"/>
                <w:szCs w:val="20"/>
              </w:rPr>
            </w:pPr>
            <w:r>
              <w:rPr>
                <w:rFonts w:ascii="Verdana" w:hAnsi="Verdana" w:cs="Calibri"/>
                <w:color w:val="000000"/>
                <w:sz w:val="20"/>
                <w:szCs w:val="20"/>
              </w:rPr>
              <w:t xml:space="preserve">    Odmena</w:t>
            </w:r>
          </w:p>
        </w:tc>
        <w:tc>
          <w:tcPr>
            <w:tcW w:w="1296" w:type="dxa"/>
            <w:gridSpan w:val="2"/>
            <w:tcBorders>
              <w:top w:val="double" w:sz="4" w:space="0" w:color="000000"/>
              <w:bottom w:val="double" w:sz="4" w:space="0" w:color="000000"/>
            </w:tcBorders>
            <w:vAlign w:val="bottom"/>
          </w:tcPr>
          <w:p w:rsidR="005C3F63" w:rsidRDefault="006536E7">
            <w:pPr>
              <w:jc w:val="center"/>
              <w:rPr>
                <w:rFonts w:ascii="Verdana" w:hAnsi="Verdana" w:cs="Calibri"/>
                <w:color w:val="000000"/>
                <w:sz w:val="20"/>
                <w:szCs w:val="20"/>
              </w:rPr>
            </w:pPr>
            <w:r>
              <w:rPr>
                <w:rFonts w:ascii="Verdana" w:hAnsi="Verdana" w:cs="Calibri"/>
                <w:color w:val="000000"/>
                <w:sz w:val="20"/>
                <w:szCs w:val="20"/>
              </w:rPr>
              <w:t>Pozitívne emócie</w:t>
            </w:r>
          </w:p>
        </w:tc>
        <w:tc>
          <w:tcPr>
            <w:tcW w:w="1296" w:type="dxa"/>
            <w:gridSpan w:val="2"/>
            <w:tcBorders>
              <w:top w:val="double" w:sz="4" w:space="0" w:color="000000"/>
              <w:bottom w:val="double" w:sz="4" w:space="0" w:color="000000"/>
            </w:tcBorders>
            <w:vAlign w:val="bottom"/>
          </w:tcPr>
          <w:p w:rsidR="005C3F63" w:rsidRDefault="006536E7">
            <w:pPr>
              <w:jc w:val="center"/>
              <w:rPr>
                <w:rFonts w:ascii="Verdana" w:hAnsi="Verdana" w:cs="Calibri"/>
                <w:b/>
                <w:bCs/>
                <w:color w:val="000000"/>
                <w:sz w:val="20"/>
                <w:szCs w:val="20"/>
                <w:lang w:val="sk-SK" w:eastAsia="sk-SK" w:bidi="ar-SA"/>
              </w:rPr>
            </w:pPr>
            <w:r>
              <w:rPr>
                <w:rFonts w:ascii="Verdana" w:hAnsi="Verdana" w:cs="Calibri"/>
                <w:color w:val="000000"/>
                <w:sz w:val="20"/>
                <w:szCs w:val="20"/>
              </w:rPr>
              <w:t>Negatívne emócie</w:t>
            </w:r>
          </w:p>
        </w:tc>
        <w:tc>
          <w:tcPr>
            <w:tcW w:w="337" w:type="dxa"/>
            <w:tcBorders>
              <w:top w:val="double" w:sz="4" w:space="0" w:color="000000"/>
              <w:bottom w:val="double" w:sz="4" w:space="0" w:color="000000"/>
            </w:tcBorders>
            <w:vAlign w:val="bottom"/>
          </w:tcPr>
          <w:p w:rsidR="005C3F63" w:rsidRDefault="005C3F63">
            <w:pPr>
              <w:jc w:val="left"/>
              <w:rPr>
                <w:rFonts w:ascii="Verdana" w:hAnsi="Verdana" w:cs="Calibri"/>
                <w:color w:val="000000"/>
                <w:sz w:val="20"/>
                <w:szCs w:val="20"/>
                <w:lang w:val="sk-SK" w:eastAsia="sk-SK" w:bidi="ar-SA"/>
              </w:rPr>
            </w:pPr>
          </w:p>
        </w:tc>
      </w:tr>
      <w:tr w:rsidR="005C3F63">
        <w:trPr>
          <w:jc w:val="center"/>
        </w:trPr>
        <w:tc>
          <w:tcPr>
            <w:tcW w:w="2728" w:type="dxa"/>
            <w:tcBorders>
              <w:top w:val="single" w:sz="4" w:space="0" w:color="auto"/>
              <w:left w:val="nil"/>
              <w:right w:val="nil"/>
            </w:tcBorders>
            <w:shd w:val="clear" w:color="auto" w:fill="FFFFFF"/>
            <w:vAlign w:val="bottom"/>
          </w:tcPr>
          <w:p w:rsidR="005C3F63" w:rsidRDefault="006536E7">
            <w:pPr>
              <w:jc w:val="left"/>
              <w:rPr>
                <w:rFonts w:ascii="Verdana" w:hAnsi="Verdana" w:cs="Calibri"/>
                <w:b/>
                <w:bCs/>
                <w:color w:val="000000"/>
                <w:sz w:val="20"/>
                <w:szCs w:val="20"/>
              </w:rPr>
            </w:pPr>
            <w:r>
              <w:rPr>
                <w:rFonts w:ascii="Verdana" w:hAnsi="Verdana" w:cs="Calibri"/>
                <w:b/>
                <w:bCs/>
                <w:color w:val="000000"/>
                <w:sz w:val="20"/>
                <w:szCs w:val="20"/>
              </w:rPr>
              <w:t>IBM Slovakia 2008-2018</w:t>
            </w:r>
          </w:p>
        </w:tc>
        <w:tc>
          <w:tcPr>
            <w:tcW w:w="1317" w:type="dxa"/>
            <w:gridSpan w:val="2"/>
            <w:tcBorders>
              <w:top w:val="single" w:sz="4" w:space="0" w:color="auto"/>
              <w:left w:val="nil"/>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0,52</w:t>
            </w:r>
          </w:p>
        </w:tc>
        <w:tc>
          <w:tcPr>
            <w:tcW w:w="1293" w:type="dxa"/>
            <w:gridSpan w:val="2"/>
            <w:tcBorders>
              <w:top w:val="single" w:sz="8" w:space="0" w:color="000000"/>
              <w:left w:val="nil"/>
              <w:bottom w:val="single" w:sz="8" w:space="0" w:color="000000"/>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0,43</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0,03</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0,02</w:t>
            </w:r>
          </w:p>
        </w:tc>
        <w:tc>
          <w:tcPr>
            <w:tcW w:w="395" w:type="dxa"/>
            <w:gridSpan w:val="2"/>
            <w:tcBorders>
              <w:top w:val="single" w:sz="8" w:space="0" w:color="000000"/>
              <w:bottom w:val="single" w:sz="8" w:space="0" w:color="000000"/>
            </w:tcBorders>
          </w:tcPr>
          <w:p w:rsidR="005C3F63" w:rsidRDefault="005C3F63">
            <w:pPr>
              <w:jc w:val="right"/>
              <w:rPr>
                <w:rFonts w:ascii="Verdana" w:hAnsi="Verdana" w:cs="Calibri"/>
                <w:color w:val="000000"/>
                <w:sz w:val="20"/>
                <w:szCs w:val="20"/>
              </w:rPr>
            </w:pPr>
          </w:p>
        </w:tc>
      </w:tr>
      <w:tr w:rsidR="005C3F63">
        <w:trPr>
          <w:jc w:val="center"/>
        </w:trPr>
        <w:tc>
          <w:tcPr>
            <w:tcW w:w="2728" w:type="dxa"/>
            <w:tcBorders>
              <w:top w:val="single" w:sz="4" w:space="0" w:color="auto"/>
              <w:left w:val="nil"/>
              <w:right w:val="nil"/>
            </w:tcBorders>
            <w:shd w:val="clear" w:color="auto" w:fill="FFFFFF"/>
            <w:vAlign w:val="bottom"/>
          </w:tcPr>
          <w:p w:rsidR="005C3F63" w:rsidRDefault="006536E7">
            <w:pPr>
              <w:jc w:val="left"/>
              <w:rPr>
                <w:rFonts w:ascii="Verdana" w:hAnsi="Verdana" w:cs="Calibri"/>
                <w:b/>
                <w:bCs/>
                <w:color w:val="000000"/>
                <w:sz w:val="20"/>
                <w:szCs w:val="20"/>
              </w:rPr>
            </w:pPr>
            <w:r>
              <w:rPr>
                <w:rFonts w:ascii="Verdana" w:hAnsi="Verdana" w:cs="Calibri"/>
                <w:b/>
                <w:bCs/>
                <w:color w:val="000000"/>
                <w:sz w:val="20"/>
                <w:szCs w:val="20"/>
              </w:rPr>
              <w:t>KIA Slovakia 2008-2018</w:t>
            </w:r>
          </w:p>
        </w:tc>
        <w:tc>
          <w:tcPr>
            <w:tcW w:w="1317" w:type="dxa"/>
            <w:gridSpan w:val="2"/>
            <w:tcBorders>
              <w:top w:val="single" w:sz="4" w:space="0" w:color="auto"/>
              <w:left w:val="nil"/>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0,37</w:t>
            </w:r>
          </w:p>
        </w:tc>
        <w:tc>
          <w:tcPr>
            <w:tcW w:w="1293" w:type="dxa"/>
            <w:gridSpan w:val="2"/>
            <w:tcBorders>
              <w:top w:val="single" w:sz="8" w:space="0" w:color="000000"/>
              <w:left w:val="nil"/>
              <w:bottom w:val="single" w:sz="8" w:space="0" w:color="000000"/>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0,26</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0,62</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0,20</w:t>
            </w:r>
          </w:p>
        </w:tc>
        <w:tc>
          <w:tcPr>
            <w:tcW w:w="395" w:type="dxa"/>
            <w:gridSpan w:val="2"/>
            <w:tcBorders>
              <w:top w:val="single" w:sz="8" w:space="0" w:color="000000"/>
              <w:bottom w:val="single" w:sz="8" w:space="0" w:color="000000"/>
            </w:tcBorders>
          </w:tcPr>
          <w:p w:rsidR="005C3F63" w:rsidRDefault="005C3F63">
            <w:pPr>
              <w:jc w:val="right"/>
              <w:rPr>
                <w:rFonts w:ascii="Verdana" w:hAnsi="Verdana" w:cs="Calibri"/>
                <w:color w:val="000000"/>
                <w:sz w:val="20"/>
                <w:szCs w:val="20"/>
              </w:rPr>
            </w:pPr>
          </w:p>
        </w:tc>
      </w:tr>
      <w:tr w:rsidR="005C3F63">
        <w:trPr>
          <w:jc w:val="center"/>
        </w:trPr>
        <w:tc>
          <w:tcPr>
            <w:tcW w:w="2728" w:type="dxa"/>
            <w:tcBorders>
              <w:top w:val="single" w:sz="4" w:space="0" w:color="auto"/>
              <w:left w:val="nil"/>
              <w:bottom w:val="single" w:sz="4" w:space="0" w:color="auto"/>
              <w:right w:val="nil"/>
            </w:tcBorders>
            <w:shd w:val="clear" w:color="auto" w:fill="FFFFFF"/>
            <w:vAlign w:val="bottom"/>
          </w:tcPr>
          <w:p w:rsidR="005C3F63" w:rsidRDefault="006536E7">
            <w:pPr>
              <w:jc w:val="left"/>
              <w:rPr>
                <w:rFonts w:ascii="Verdana" w:hAnsi="Verdana" w:cs="Calibri"/>
                <w:b/>
                <w:bCs/>
                <w:color w:val="000000"/>
                <w:sz w:val="20"/>
                <w:szCs w:val="20"/>
              </w:rPr>
            </w:pPr>
            <w:r>
              <w:rPr>
                <w:rFonts w:ascii="Verdana" w:hAnsi="Verdana" w:cs="Calibri"/>
                <w:b/>
                <w:bCs/>
                <w:color w:val="000000"/>
                <w:sz w:val="20"/>
                <w:szCs w:val="20"/>
              </w:rPr>
              <w:t>Slovak Telekom 2008-2018</w:t>
            </w:r>
          </w:p>
        </w:tc>
        <w:tc>
          <w:tcPr>
            <w:tcW w:w="1317" w:type="dxa"/>
            <w:gridSpan w:val="2"/>
            <w:tcBorders>
              <w:top w:val="single" w:sz="4" w:space="0" w:color="auto"/>
              <w:left w:val="nil"/>
              <w:bottom w:val="single" w:sz="4" w:space="0" w:color="auto"/>
              <w:right w:val="nil"/>
            </w:tcBorders>
            <w:shd w:val="clear" w:color="auto" w:fill="FFFFFF"/>
            <w:vAlign w:val="bottom"/>
          </w:tcPr>
          <w:p w:rsidR="005C3F63" w:rsidRDefault="006536E7">
            <w:pPr>
              <w:jc w:val="center"/>
              <w:rPr>
                <w:rFonts w:ascii="Verdana" w:hAnsi="Verdana" w:cs="Calibri"/>
                <w:color w:val="000000"/>
                <w:sz w:val="20"/>
                <w:szCs w:val="20"/>
              </w:rPr>
            </w:pPr>
            <w:r>
              <w:rPr>
                <w:rFonts w:ascii="Verdana" w:hAnsi="Verdana" w:cs="Calibri"/>
                <w:color w:val="000000"/>
                <w:sz w:val="20"/>
                <w:szCs w:val="20"/>
              </w:rPr>
              <w:t xml:space="preserve">              0,40</w:t>
            </w:r>
          </w:p>
        </w:tc>
        <w:tc>
          <w:tcPr>
            <w:tcW w:w="1293" w:type="dxa"/>
            <w:gridSpan w:val="2"/>
            <w:tcBorders>
              <w:top w:val="single" w:sz="8" w:space="0" w:color="000000"/>
              <w:left w:val="nil"/>
              <w:bottom w:val="single" w:sz="8" w:space="0" w:color="000000"/>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-0,82</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-0,15</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0,41</w:t>
            </w:r>
          </w:p>
        </w:tc>
        <w:tc>
          <w:tcPr>
            <w:tcW w:w="395" w:type="dxa"/>
            <w:gridSpan w:val="2"/>
            <w:tcBorders>
              <w:top w:val="single" w:sz="8" w:space="0" w:color="000000"/>
              <w:bottom w:val="single" w:sz="8" w:space="0" w:color="000000"/>
            </w:tcBorders>
          </w:tcPr>
          <w:p w:rsidR="005C3F63" w:rsidRDefault="005C3F63">
            <w:pPr>
              <w:jc w:val="right"/>
              <w:rPr>
                <w:rFonts w:ascii="Verdana" w:hAnsi="Verdana" w:cs="Calibri"/>
                <w:color w:val="000000"/>
                <w:sz w:val="20"/>
                <w:szCs w:val="20"/>
              </w:rPr>
            </w:pPr>
          </w:p>
        </w:tc>
      </w:tr>
      <w:tr w:rsidR="005C3F63">
        <w:trPr>
          <w:jc w:val="center"/>
        </w:trPr>
        <w:tc>
          <w:tcPr>
            <w:tcW w:w="2728" w:type="dxa"/>
            <w:tcBorders>
              <w:top w:val="single" w:sz="4" w:space="0" w:color="auto"/>
              <w:left w:val="nil"/>
              <w:right w:val="nil"/>
            </w:tcBorders>
            <w:shd w:val="clear" w:color="auto" w:fill="FFFFFF"/>
            <w:vAlign w:val="bottom"/>
          </w:tcPr>
          <w:p w:rsidR="005C3F63" w:rsidRDefault="006536E7">
            <w:pPr>
              <w:jc w:val="left"/>
              <w:rPr>
                <w:rFonts w:ascii="Verdana" w:hAnsi="Verdana" w:cs="Calibri"/>
                <w:b/>
                <w:bCs/>
                <w:color w:val="000000"/>
                <w:sz w:val="20"/>
                <w:szCs w:val="20"/>
              </w:rPr>
            </w:pPr>
            <w:bookmarkStart w:id="476" w:name="_Hlk41218187"/>
            <w:r>
              <w:rPr>
                <w:rFonts w:ascii="Verdana" w:hAnsi="Verdana" w:cs="Calibri"/>
                <w:b/>
                <w:bCs/>
                <w:color w:val="000000"/>
                <w:sz w:val="20"/>
                <w:szCs w:val="20"/>
              </w:rPr>
              <w:t>Orange Slovakia 2008-2018</w:t>
            </w:r>
          </w:p>
        </w:tc>
        <w:tc>
          <w:tcPr>
            <w:tcW w:w="1317" w:type="dxa"/>
            <w:gridSpan w:val="2"/>
            <w:tcBorders>
              <w:top w:val="single" w:sz="4" w:space="0" w:color="auto"/>
              <w:left w:val="nil"/>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0,21</w:t>
            </w:r>
          </w:p>
        </w:tc>
        <w:tc>
          <w:tcPr>
            <w:tcW w:w="1293" w:type="dxa"/>
            <w:gridSpan w:val="2"/>
            <w:tcBorders>
              <w:top w:val="single" w:sz="8" w:space="0" w:color="000000"/>
              <w:left w:val="nil"/>
              <w:bottom w:val="single" w:sz="8" w:space="0" w:color="000000"/>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-0,15</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0,22</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0,07</w:t>
            </w:r>
          </w:p>
        </w:tc>
        <w:tc>
          <w:tcPr>
            <w:tcW w:w="395" w:type="dxa"/>
            <w:gridSpan w:val="2"/>
            <w:tcBorders>
              <w:top w:val="single" w:sz="8" w:space="0" w:color="000000"/>
              <w:bottom w:val="single" w:sz="8" w:space="0" w:color="000000"/>
            </w:tcBorders>
          </w:tcPr>
          <w:p w:rsidR="005C3F63" w:rsidRDefault="005C3F63">
            <w:pPr>
              <w:jc w:val="right"/>
              <w:rPr>
                <w:rFonts w:ascii="Verdana" w:hAnsi="Verdana" w:cs="Calibri"/>
                <w:color w:val="000000"/>
                <w:sz w:val="20"/>
                <w:szCs w:val="20"/>
              </w:rPr>
            </w:pPr>
          </w:p>
        </w:tc>
      </w:tr>
      <w:tr w:rsidR="005C3F63">
        <w:trPr>
          <w:jc w:val="center"/>
        </w:trPr>
        <w:tc>
          <w:tcPr>
            <w:tcW w:w="2728" w:type="dxa"/>
            <w:tcBorders>
              <w:top w:val="single" w:sz="4" w:space="0" w:color="auto"/>
              <w:left w:val="nil"/>
              <w:right w:val="nil"/>
            </w:tcBorders>
            <w:shd w:val="clear" w:color="auto" w:fill="FFFFFF"/>
            <w:vAlign w:val="bottom"/>
          </w:tcPr>
          <w:p w:rsidR="005C3F63" w:rsidRDefault="006536E7">
            <w:pPr>
              <w:jc w:val="left"/>
              <w:rPr>
                <w:rFonts w:ascii="Verdana" w:hAnsi="Verdana" w:cs="Calibri"/>
                <w:b/>
                <w:bCs/>
                <w:color w:val="000000"/>
                <w:sz w:val="20"/>
                <w:szCs w:val="20"/>
              </w:rPr>
            </w:pPr>
            <w:r>
              <w:rPr>
                <w:rFonts w:ascii="Verdana" w:hAnsi="Verdana" w:cs="Calibri"/>
                <w:b/>
                <w:bCs/>
                <w:color w:val="000000"/>
                <w:sz w:val="20"/>
                <w:szCs w:val="20"/>
              </w:rPr>
              <w:t>US STEEL Košice 2008-2018</w:t>
            </w:r>
          </w:p>
        </w:tc>
        <w:tc>
          <w:tcPr>
            <w:tcW w:w="1317" w:type="dxa"/>
            <w:gridSpan w:val="2"/>
            <w:tcBorders>
              <w:top w:val="single" w:sz="4" w:space="0" w:color="auto"/>
              <w:left w:val="nil"/>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0,14</w:t>
            </w:r>
          </w:p>
        </w:tc>
        <w:tc>
          <w:tcPr>
            <w:tcW w:w="1293" w:type="dxa"/>
            <w:gridSpan w:val="2"/>
            <w:tcBorders>
              <w:top w:val="single" w:sz="8" w:space="0" w:color="000000"/>
              <w:left w:val="nil"/>
              <w:bottom w:val="single" w:sz="8" w:space="0" w:color="000000"/>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-0,43</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-0,76</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-0,37</w:t>
            </w:r>
          </w:p>
        </w:tc>
        <w:tc>
          <w:tcPr>
            <w:tcW w:w="395" w:type="dxa"/>
            <w:gridSpan w:val="2"/>
            <w:tcBorders>
              <w:top w:val="single" w:sz="8" w:space="0" w:color="000000"/>
              <w:bottom w:val="single" w:sz="8" w:space="0" w:color="000000"/>
            </w:tcBorders>
          </w:tcPr>
          <w:p w:rsidR="005C3F63" w:rsidRDefault="005C3F63">
            <w:pPr>
              <w:jc w:val="right"/>
              <w:rPr>
                <w:rFonts w:ascii="Verdana" w:hAnsi="Verdana" w:cs="Calibri"/>
                <w:color w:val="000000"/>
                <w:sz w:val="20"/>
                <w:szCs w:val="20"/>
              </w:rPr>
            </w:pPr>
          </w:p>
        </w:tc>
      </w:tr>
      <w:tr w:rsidR="005C3F63">
        <w:trPr>
          <w:jc w:val="center"/>
        </w:trPr>
        <w:tc>
          <w:tcPr>
            <w:tcW w:w="2728" w:type="dxa"/>
            <w:tcBorders>
              <w:top w:val="single" w:sz="4" w:space="0" w:color="auto"/>
              <w:left w:val="nil"/>
              <w:bottom w:val="single" w:sz="4" w:space="0" w:color="auto"/>
              <w:right w:val="nil"/>
            </w:tcBorders>
            <w:shd w:val="clear" w:color="auto" w:fill="FFFFFF"/>
            <w:vAlign w:val="bottom"/>
          </w:tcPr>
          <w:p w:rsidR="005C3F63" w:rsidRDefault="006536E7">
            <w:pPr>
              <w:jc w:val="left"/>
              <w:rPr>
                <w:rFonts w:ascii="Verdana" w:hAnsi="Verdana" w:cs="Calibri"/>
                <w:b/>
                <w:bCs/>
                <w:color w:val="000000"/>
                <w:sz w:val="20"/>
                <w:szCs w:val="20"/>
              </w:rPr>
            </w:pPr>
            <w:r>
              <w:rPr>
                <w:rFonts w:ascii="Verdana" w:hAnsi="Verdana" w:cs="Calibri"/>
                <w:b/>
                <w:bCs/>
                <w:color w:val="000000"/>
                <w:sz w:val="20"/>
                <w:szCs w:val="20"/>
              </w:rPr>
              <w:t>Teléfonica O2 2011-2018</w:t>
            </w:r>
          </w:p>
        </w:tc>
        <w:tc>
          <w:tcPr>
            <w:tcW w:w="1317" w:type="dxa"/>
            <w:gridSpan w:val="2"/>
            <w:tcBorders>
              <w:top w:val="single" w:sz="4" w:space="0" w:color="auto"/>
              <w:left w:val="nil"/>
              <w:bottom w:val="single" w:sz="4" w:space="0" w:color="auto"/>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0,57</w:t>
            </w:r>
          </w:p>
        </w:tc>
        <w:tc>
          <w:tcPr>
            <w:tcW w:w="1293" w:type="dxa"/>
            <w:gridSpan w:val="2"/>
            <w:tcBorders>
              <w:top w:val="single" w:sz="8" w:space="0" w:color="000000"/>
              <w:left w:val="nil"/>
              <w:bottom w:val="single" w:sz="8" w:space="0" w:color="000000"/>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-0,32</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-0,29</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-0,60</w:t>
            </w:r>
          </w:p>
        </w:tc>
        <w:tc>
          <w:tcPr>
            <w:tcW w:w="395" w:type="dxa"/>
            <w:gridSpan w:val="2"/>
            <w:tcBorders>
              <w:top w:val="single" w:sz="8" w:space="0" w:color="000000"/>
              <w:bottom w:val="single" w:sz="8" w:space="0" w:color="000000"/>
            </w:tcBorders>
          </w:tcPr>
          <w:p w:rsidR="005C3F63" w:rsidRDefault="005C3F63">
            <w:pPr>
              <w:jc w:val="right"/>
              <w:rPr>
                <w:rFonts w:ascii="Verdana" w:hAnsi="Verdana" w:cs="Calibri"/>
                <w:color w:val="000000"/>
                <w:sz w:val="20"/>
                <w:szCs w:val="20"/>
              </w:rPr>
            </w:pPr>
          </w:p>
        </w:tc>
      </w:tr>
    </w:tbl>
    <w:bookmarkEnd w:id="476"/>
    <w:p w:rsidR="005C3F63" w:rsidRDefault="006536E7">
      <w:pPr>
        <w:spacing w:after="240"/>
        <w:jc w:val="center"/>
        <w:rPr>
          <w:rFonts w:ascii="Verdana" w:hAnsi="Verdana"/>
          <w:sz w:val="18"/>
          <w:szCs w:val="18"/>
          <w:lang w:val="sk-SK"/>
        </w:rPr>
      </w:pPr>
      <w:r>
        <w:rPr>
          <w:rFonts w:ascii="Verdana" w:hAnsi="Verdana"/>
          <w:sz w:val="18"/>
          <w:szCs w:val="18"/>
          <w:lang w:val="sk-SK"/>
        </w:rPr>
        <w:t>Zdroj: vlastné spracovanie v LIWC2015</w:t>
      </w:r>
    </w:p>
    <w:p w:rsidR="005C3F63" w:rsidRDefault="006536E7">
      <w:pPr>
        <w:rPr>
          <w:rStyle w:val="tlid-translation"/>
          <w:rFonts w:ascii="Verdana" w:hAnsi="Verdana"/>
          <w:sz w:val="20"/>
          <w:szCs w:val="20"/>
          <w:lang w:val="sk-SK"/>
        </w:rPr>
      </w:pPr>
      <w:r>
        <w:rPr>
          <w:rStyle w:val="tlid-translation"/>
          <w:rFonts w:ascii="Verdana" w:hAnsi="Verdana"/>
          <w:sz w:val="20"/>
          <w:szCs w:val="20"/>
          <w:lang w:val="sk-SK"/>
        </w:rPr>
        <w:t>Vo všetkých vybraných výročných správach pozitívne emócie jednoznačne prevažujú nad negatívnymi. Spracovatelia výročných správ sa však zameriavajú predovšetkým na pozitívne postoje, názory zamerané na odmenu, spokojnosť. Napriek tomu môžeme konštatovať, že výročné správy a ich nefinančné údaje analyzovaných spoločností mali určite istý stupeň informačnej hodnoty pre všetky známe zainteresované strany (zákazníkov, zamestnancov, regulátorov, vrcholový manažment).</w:t>
      </w:r>
    </w:p>
    <w:p w:rsidR="005C3F63" w:rsidRDefault="005C3F63">
      <w:pPr>
        <w:rPr>
          <w:rStyle w:val="tlid-translation"/>
          <w:rFonts w:ascii="Verdana" w:hAnsi="Verdana"/>
          <w:sz w:val="20"/>
          <w:szCs w:val="20"/>
          <w:lang w:val="sk-SK"/>
        </w:rPr>
      </w:pPr>
    </w:p>
    <w:p w:rsidR="005C3F63" w:rsidRDefault="006536E7">
      <w:pPr>
        <w:rPr>
          <w:rStyle w:val="tlid-translation"/>
          <w:rFonts w:ascii="Verdana" w:hAnsi="Verdana"/>
          <w:sz w:val="20"/>
          <w:szCs w:val="20"/>
          <w:lang w:val="sk-SK"/>
        </w:rPr>
      </w:pPr>
      <w:r>
        <w:rPr>
          <w:rStyle w:val="tlid-translation"/>
          <w:rFonts w:ascii="Verdana" w:hAnsi="Verdana"/>
          <w:sz w:val="20"/>
          <w:szCs w:val="20"/>
          <w:lang w:val="sk-SK"/>
        </w:rPr>
        <w:t>Na základe vykonanej analýzy môžeme konštatovať, že sentiment „riziko“ použitý vo výročných správach všetkých vybraných spoločností vo všetkých rokoch pozitívne koreloval s dosiahnutým výsledkom hospodárenia v danom roku. Rast alebo pokles emócií medzi rokmi súvisel s výsledkom hospodárenia. Dalo by sa konštatovať, že zostavovatelia výročnej správy chcú pri vyššom výsledku hospodárenia viac utvrdiť používateľov výročnej správy o bezpečnosti a stabilite rastu podniku, stabilite investície a pod.</w:t>
      </w:r>
    </w:p>
    <w:p w:rsidR="005C3F63" w:rsidRDefault="005C3F63">
      <w:pPr>
        <w:autoSpaceDE w:val="0"/>
        <w:autoSpaceDN w:val="0"/>
        <w:adjustRightInd w:val="0"/>
        <w:rPr>
          <w:rFonts w:ascii="Verdana" w:hAnsi="Verdana"/>
          <w:sz w:val="20"/>
          <w:szCs w:val="20"/>
          <w:lang w:val="sk-SK"/>
        </w:rPr>
      </w:pPr>
    </w:p>
    <w:p w:rsidR="005C3F63" w:rsidRDefault="006536E7">
      <w:pPr>
        <w:jc w:val="center"/>
        <w:rPr>
          <w:rFonts w:ascii="Verdana" w:hAnsi="Verdana"/>
          <w:sz w:val="20"/>
          <w:szCs w:val="20"/>
          <w:lang w:val="sk-SK"/>
        </w:rPr>
      </w:pPr>
      <w:r>
        <w:rPr>
          <w:rFonts w:ascii="Verdana" w:hAnsi="Verdana"/>
          <w:b/>
          <w:sz w:val="20"/>
          <w:szCs w:val="20"/>
          <w:lang w:val="sk-SK"/>
        </w:rPr>
        <w:t>Tabuľka 2</w:t>
      </w:r>
      <w:r>
        <w:rPr>
          <w:rFonts w:ascii="Verdana" w:hAnsi="Verdana"/>
          <w:sz w:val="20"/>
          <w:szCs w:val="20"/>
          <w:lang w:val="sk-SK"/>
        </w:rPr>
        <w:t xml:space="preserve"> Korelácia vybraných oblastí sentimentu a výsledku hospodárenia v ďalšom období</w:t>
      </w:r>
    </w:p>
    <w:p w:rsidR="005C3F63" w:rsidRDefault="005C3F63">
      <w:pPr>
        <w:jc w:val="center"/>
        <w:rPr>
          <w:rFonts w:ascii="Verdana" w:hAnsi="Verdana"/>
          <w:sz w:val="20"/>
          <w:szCs w:val="20"/>
          <w:lang w:val="sk-SK" w:eastAsia="sk-SK" w:bidi="ar-SA"/>
        </w:rPr>
      </w:pPr>
    </w:p>
    <w:tbl>
      <w:tblPr>
        <w:tblW w:w="8419" w:type="dxa"/>
        <w:jc w:val="center"/>
        <w:tblBorders>
          <w:top w:val="single" w:sz="8" w:space="0" w:color="000000"/>
          <w:bottom w:val="single" w:sz="8" w:space="0" w:color="000000"/>
        </w:tblBorders>
        <w:tblLook w:val="04A0" w:firstRow="1" w:lastRow="0" w:firstColumn="1" w:lastColumn="0" w:noHBand="0" w:noVBand="1"/>
      </w:tblPr>
      <w:tblGrid>
        <w:gridCol w:w="2728"/>
        <w:gridCol w:w="71"/>
        <w:gridCol w:w="1246"/>
        <w:gridCol w:w="72"/>
        <w:gridCol w:w="1221"/>
        <w:gridCol w:w="152"/>
        <w:gridCol w:w="1189"/>
        <w:gridCol w:w="107"/>
        <w:gridCol w:w="1234"/>
        <w:gridCol w:w="62"/>
        <w:gridCol w:w="337"/>
      </w:tblGrid>
      <w:tr w:rsidR="005C3F63">
        <w:trPr>
          <w:jc w:val="center"/>
        </w:trPr>
        <w:tc>
          <w:tcPr>
            <w:tcW w:w="2799" w:type="dxa"/>
            <w:gridSpan w:val="2"/>
            <w:tcBorders>
              <w:top w:val="double" w:sz="4" w:space="0" w:color="000000"/>
              <w:left w:val="nil"/>
              <w:bottom w:val="double" w:sz="4" w:space="0" w:color="000000"/>
              <w:right w:val="nil"/>
            </w:tcBorders>
            <w:shd w:val="clear" w:color="auto" w:fill="FFFFFF"/>
            <w:vAlign w:val="bottom"/>
          </w:tcPr>
          <w:p w:rsidR="005C3F63" w:rsidRDefault="005C3F63">
            <w:pPr>
              <w:jc w:val="left"/>
              <w:rPr>
                <w:rFonts w:ascii="Verdana" w:hAnsi="Verdana" w:cs="Calibri"/>
                <w:b/>
                <w:bCs/>
                <w:color w:val="000000"/>
                <w:sz w:val="20"/>
                <w:szCs w:val="20"/>
                <w:lang w:val="sk-SK" w:eastAsia="sk-SK" w:bidi="ar-SA"/>
              </w:rPr>
            </w:pPr>
          </w:p>
        </w:tc>
        <w:tc>
          <w:tcPr>
            <w:tcW w:w="1318" w:type="dxa"/>
            <w:gridSpan w:val="2"/>
            <w:tcBorders>
              <w:top w:val="double" w:sz="4" w:space="0" w:color="000000"/>
              <w:left w:val="nil"/>
              <w:bottom w:val="double" w:sz="4" w:space="0" w:color="000000"/>
              <w:right w:val="nil"/>
            </w:tcBorders>
            <w:shd w:val="clear" w:color="auto" w:fill="FFFFFF"/>
            <w:vAlign w:val="bottom"/>
          </w:tcPr>
          <w:p w:rsidR="005C3F63" w:rsidRDefault="006536E7">
            <w:pPr>
              <w:jc w:val="center"/>
              <w:rPr>
                <w:rFonts w:ascii="Verdana" w:hAnsi="Verdana" w:cs="Calibri"/>
                <w:color w:val="000000"/>
                <w:sz w:val="20"/>
                <w:szCs w:val="20"/>
                <w:lang w:val="sk-SK" w:eastAsia="sk-SK" w:bidi="ar-SA"/>
              </w:rPr>
            </w:pPr>
            <w:r>
              <w:rPr>
                <w:rFonts w:ascii="Verdana" w:hAnsi="Verdana" w:cs="Calibri"/>
                <w:color w:val="000000"/>
                <w:sz w:val="20"/>
                <w:szCs w:val="20"/>
                <w:lang w:val="sk-SK"/>
              </w:rPr>
              <w:t xml:space="preserve">      </w:t>
            </w:r>
            <w:r>
              <w:rPr>
                <w:rFonts w:ascii="Verdana" w:hAnsi="Verdana" w:cs="Calibri"/>
                <w:color w:val="000000"/>
                <w:sz w:val="20"/>
                <w:szCs w:val="20"/>
              </w:rPr>
              <w:t>Risk</w:t>
            </w:r>
          </w:p>
        </w:tc>
        <w:tc>
          <w:tcPr>
            <w:tcW w:w="1373" w:type="dxa"/>
            <w:gridSpan w:val="2"/>
            <w:tcBorders>
              <w:top w:val="double" w:sz="4" w:space="0" w:color="000000"/>
              <w:left w:val="nil"/>
              <w:bottom w:val="double" w:sz="4" w:space="0" w:color="000000"/>
              <w:right w:val="nil"/>
            </w:tcBorders>
            <w:shd w:val="clear" w:color="auto" w:fill="FFFFFF"/>
            <w:vAlign w:val="bottom"/>
          </w:tcPr>
          <w:p w:rsidR="005C3F63" w:rsidRDefault="006536E7">
            <w:pPr>
              <w:jc w:val="center"/>
              <w:rPr>
                <w:rFonts w:ascii="Verdana" w:hAnsi="Verdana" w:cs="Calibri"/>
                <w:color w:val="000000"/>
                <w:sz w:val="20"/>
                <w:szCs w:val="20"/>
              </w:rPr>
            </w:pPr>
            <w:r>
              <w:rPr>
                <w:rFonts w:ascii="Verdana" w:hAnsi="Verdana" w:cs="Calibri"/>
                <w:color w:val="000000"/>
                <w:sz w:val="20"/>
                <w:szCs w:val="20"/>
              </w:rPr>
              <w:t xml:space="preserve">    Odmena</w:t>
            </w:r>
          </w:p>
        </w:tc>
        <w:tc>
          <w:tcPr>
            <w:tcW w:w="1296" w:type="dxa"/>
            <w:gridSpan w:val="2"/>
            <w:tcBorders>
              <w:top w:val="double" w:sz="4" w:space="0" w:color="000000"/>
              <w:bottom w:val="double" w:sz="4" w:space="0" w:color="000000"/>
            </w:tcBorders>
            <w:vAlign w:val="bottom"/>
          </w:tcPr>
          <w:p w:rsidR="005C3F63" w:rsidRDefault="006536E7">
            <w:pPr>
              <w:jc w:val="center"/>
              <w:rPr>
                <w:rFonts w:ascii="Verdana" w:hAnsi="Verdana" w:cs="Calibri"/>
                <w:color w:val="000000"/>
                <w:sz w:val="20"/>
                <w:szCs w:val="20"/>
              </w:rPr>
            </w:pPr>
            <w:r>
              <w:rPr>
                <w:rFonts w:ascii="Verdana" w:hAnsi="Verdana" w:cs="Calibri"/>
                <w:color w:val="000000"/>
                <w:sz w:val="20"/>
                <w:szCs w:val="20"/>
              </w:rPr>
              <w:t>Pozitívne emócie</w:t>
            </w:r>
          </w:p>
        </w:tc>
        <w:tc>
          <w:tcPr>
            <w:tcW w:w="1296" w:type="dxa"/>
            <w:gridSpan w:val="2"/>
            <w:tcBorders>
              <w:top w:val="double" w:sz="4" w:space="0" w:color="000000"/>
              <w:bottom w:val="double" w:sz="4" w:space="0" w:color="000000"/>
            </w:tcBorders>
            <w:vAlign w:val="bottom"/>
          </w:tcPr>
          <w:p w:rsidR="005C3F63" w:rsidRDefault="006536E7">
            <w:pPr>
              <w:jc w:val="center"/>
              <w:rPr>
                <w:rFonts w:ascii="Verdana" w:hAnsi="Verdana" w:cs="Calibri"/>
                <w:b/>
                <w:bCs/>
                <w:color w:val="000000"/>
                <w:sz w:val="20"/>
                <w:szCs w:val="20"/>
                <w:lang w:val="sk-SK" w:eastAsia="sk-SK" w:bidi="ar-SA"/>
              </w:rPr>
            </w:pPr>
            <w:r>
              <w:rPr>
                <w:rFonts w:ascii="Verdana" w:hAnsi="Verdana" w:cs="Calibri"/>
                <w:color w:val="000000"/>
                <w:sz w:val="20"/>
                <w:szCs w:val="20"/>
              </w:rPr>
              <w:t>Negatívne emócie</w:t>
            </w:r>
          </w:p>
        </w:tc>
        <w:tc>
          <w:tcPr>
            <w:tcW w:w="337" w:type="dxa"/>
            <w:tcBorders>
              <w:top w:val="double" w:sz="4" w:space="0" w:color="000000"/>
              <w:bottom w:val="double" w:sz="4" w:space="0" w:color="000000"/>
            </w:tcBorders>
            <w:vAlign w:val="bottom"/>
          </w:tcPr>
          <w:p w:rsidR="005C3F63" w:rsidRDefault="005C3F63">
            <w:pPr>
              <w:jc w:val="left"/>
              <w:rPr>
                <w:rFonts w:ascii="Verdana" w:hAnsi="Verdana" w:cs="Calibri"/>
                <w:color w:val="000000"/>
                <w:sz w:val="20"/>
                <w:szCs w:val="20"/>
                <w:lang w:val="sk-SK" w:eastAsia="sk-SK" w:bidi="ar-SA"/>
              </w:rPr>
            </w:pPr>
          </w:p>
        </w:tc>
      </w:tr>
      <w:tr w:rsidR="005C3F63">
        <w:trPr>
          <w:jc w:val="center"/>
        </w:trPr>
        <w:tc>
          <w:tcPr>
            <w:tcW w:w="2728" w:type="dxa"/>
            <w:tcBorders>
              <w:top w:val="single" w:sz="4" w:space="0" w:color="auto"/>
              <w:left w:val="nil"/>
              <w:right w:val="nil"/>
            </w:tcBorders>
            <w:shd w:val="clear" w:color="auto" w:fill="FFFFFF"/>
            <w:vAlign w:val="bottom"/>
          </w:tcPr>
          <w:p w:rsidR="005C3F63" w:rsidRDefault="006536E7">
            <w:pPr>
              <w:jc w:val="left"/>
              <w:rPr>
                <w:rFonts w:ascii="Verdana" w:hAnsi="Verdana" w:cs="Calibri"/>
                <w:b/>
                <w:bCs/>
                <w:color w:val="000000"/>
                <w:sz w:val="20"/>
                <w:szCs w:val="20"/>
              </w:rPr>
            </w:pPr>
            <w:r>
              <w:rPr>
                <w:rFonts w:ascii="Verdana" w:hAnsi="Verdana" w:cs="Calibri"/>
                <w:b/>
                <w:bCs/>
                <w:color w:val="000000"/>
                <w:sz w:val="20"/>
                <w:szCs w:val="20"/>
              </w:rPr>
              <w:t>IBM Slovakia 2008-2018</w:t>
            </w:r>
          </w:p>
        </w:tc>
        <w:tc>
          <w:tcPr>
            <w:tcW w:w="1317" w:type="dxa"/>
            <w:gridSpan w:val="2"/>
            <w:tcBorders>
              <w:top w:val="single" w:sz="4" w:space="0" w:color="auto"/>
              <w:left w:val="nil"/>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-0,12</w:t>
            </w:r>
          </w:p>
        </w:tc>
        <w:tc>
          <w:tcPr>
            <w:tcW w:w="1293" w:type="dxa"/>
            <w:gridSpan w:val="2"/>
            <w:tcBorders>
              <w:top w:val="single" w:sz="8" w:space="0" w:color="000000"/>
              <w:left w:val="nil"/>
              <w:bottom w:val="single" w:sz="8" w:space="0" w:color="000000"/>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0,07</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0,25</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-0,11</w:t>
            </w:r>
          </w:p>
        </w:tc>
        <w:tc>
          <w:tcPr>
            <w:tcW w:w="395" w:type="dxa"/>
            <w:gridSpan w:val="2"/>
            <w:tcBorders>
              <w:top w:val="single" w:sz="8" w:space="0" w:color="000000"/>
              <w:bottom w:val="single" w:sz="8" w:space="0" w:color="000000"/>
            </w:tcBorders>
          </w:tcPr>
          <w:p w:rsidR="005C3F63" w:rsidRDefault="005C3F63">
            <w:pPr>
              <w:jc w:val="right"/>
              <w:rPr>
                <w:rFonts w:ascii="Verdana" w:hAnsi="Verdana" w:cs="Calibri"/>
                <w:color w:val="000000"/>
                <w:sz w:val="20"/>
                <w:szCs w:val="20"/>
              </w:rPr>
            </w:pPr>
          </w:p>
        </w:tc>
      </w:tr>
      <w:tr w:rsidR="005C3F63">
        <w:trPr>
          <w:jc w:val="center"/>
        </w:trPr>
        <w:tc>
          <w:tcPr>
            <w:tcW w:w="2728" w:type="dxa"/>
            <w:tcBorders>
              <w:top w:val="single" w:sz="4" w:space="0" w:color="auto"/>
              <w:left w:val="nil"/>
              <w:right w:val="nil"/>
            </w:tcBorders>
            <w:shd w:val="clear" w:color="auto" w:fill="FFFFFF"/>
            <w:vAlign w:val="bottom"/>
          </w:tcPr>
          <w:p w:rsidR="005C3F63" w:rsidRDefault="006536E7">
            <w:pPr>
              <w:jc w:val="left"/>
              <w:rPr>
                <w:rFonts w:ascii="Verdana" w:hAnsi="Verdana" w:cs="Calibri"/>
                <w:b/>
                <w:bCs/>
                <w:color w:val="000000"/>
                <w:sz w:val="20"/>
                <w:szCs w:val="20"/>
              </w:rPr>
            </w:pPr>
            <w:r>
              <w:rPr>
                <w:rFonts w:ascii="Verdana" w:hAnsi="Verdana" w:cs="Calibri"/>
                <w:b/>
                <w:bCs/>
                <w:color w:val="000000"/>
                <w:sz w:val="20"/>
                <w:szCs w:val="20"/>
              </w:rPr>
              <w:t>KIA Slovakia 2008-2018</w:t>
            </w:r>
          </w:p>
        </w:tc>
        <w:tc>
          <w:tcPr>
            <w:tcW w:w="1317" w:type="dxa"/>
            <w:gridSpan w:val="2"/>
            <w:tcBorders>
              <w:top w:val="single" w:sz="4" w:space="0" w:color="auto"/>
              <w:left w:val="nil"/>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-0,57</w:t>
            </w:r>
          </w:p>
        </w:tc>
        <w:tc>
          <w:tcPr>
            <w:tcW w:w="1293" w:type="dxa"/>
            <w:gridSpan w:val="2"/>
            <w:tcBorders>
              <w:top w:val="single" w:sz="8" w:space="0" w:color="000000"/>
              <w:left w:val="nil"/>
              <w:bottom w:val="single" w:sz="8" w:space="0" w:color="000000"/>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-0,08</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0,67</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0,02</w:t>
            </w:r>
          </w:p>
        </w:tc>
        <w:tc>
          <w:tcPr>
            <w:tcW w:w="395" w:type="dxa"/>
            <w:gridSpan w:val="2"/>
            <w:tcBorders>
              <w:top w:val="single" w:sz="8" w:space="0" w:color="000000"/>
              <w:bottom w:val="single" w:sz="8" w:space="0" w:color="000000"/>
            </w:tcBorders>
          </w:tcPr>
          <w:p w:rsidR="005C3F63" w:rsidRDefault="005C3F63">
            <w:pPr>
              <w:jc w:val="right"/>
              <w:rPr>
                <w:rFonts w:ascii="Verdana" w:hAnsi="Verdana" w:cs="Calibri"/>
                <w:color w:val="000000"/>
                <w:sz w:val="20"/>
                <w:szCs w:val="20"/>
              </w:rPr>
            </w:pPr>
          </w:p>
        </w:tc>
      </w:tr>
      <w:tr w:rsidR="005C3F63">
        <w:trPr>
          <w:jc w:val="center"/>
        </w:trPr>
        <w:tc>
          <w:tcPr>
            <w:tcW w:w="2728" w:type="dxa"/>
            <w:tcBorders>
              <w:top w:val="single" w:sz="4" w:space="0" w:color="auto"/>
              <w:left w:val="nil"/>
              <w:bottom w:val="single" w:sz="4" w:space="0" w:color="auto"/>
              <w:right w:val="nil"/>
            </w:tcBorders>
            <w:shd w:val="clear" w:color="auto" w:fill="FFFFFF"/>
            <w:vAlign w:val="bottom"/>
          </w:tcPr>
          <w:p w:rsidR="005C3F63" w:rsidRDefault="006536E7">
            <w:pPr>
              <w:jc w:val="left"/>
              <w:rPr>
                <w:rFonts w:ascii="Verdana" w:hAnsi="Verdana" w:cs="Calibri"/>
                <w:b/>
                <w:bCs/>
                <w:color w:val="000000"/>
                <w:sz w:val="20"/>
                <w:szCs w:val="20"/>
              </w:rPr>
            </w:pPr>
            <w:r>
              <w:rPr>
                <w:rFonts w:ascii="Verdana" w:hAnsi="Verdana" w:cs="Calibri"/>
                <w:b/>
                <w:bCs/>
                <w:color w:val="000000"/>
                <w:sz w:val="20"/>
                <w:szCs w:val="20"/>
              </w:rPr>
              <w:t>Slovak Telekom 2008-2018</w:t>
            </w:r>
          </w:p>
        </w:tc>
        <w:tc>
          <w:tcPr>
            <w:tcW w:w="1317" w:type="dxa"/>
            <w:gridSpan w:val="2"/>
            <w:tcBorders>
              <w:top w:val="single" w:sz="4" w:space="0" w:color="auto"/>
              <w:left w:val="nil"/>
              <w:bottom w:val="single" w:sz="4" w:space="0" w:color="auto"/>
              <w:right w:val="nil"/>
            </w:tcBorders>
            <w:shd w:val="clear" w:color="auto" w:fill="FFFFFF"/>
            <w:vAlign w:val="bottom"/>
          </w:tcPr>
          <w:p w:rsidR="005C3F63" w:rsidRDefault="006536E7">
            <w:pPr>
              <w:jc w:val="center"/>
              <w:rPr>
                <w:rFonts w:ascii="Verdana" w:hAnsi="Verdana" w:cs="Calibri"/>
                <w:color w:val="000000"/>
                <w:sz w:val="20"/>
                <w:szCs w:val="20"/>
              </w:rPr>
            </w:pPr>
            <w:r>
              <w:rPr>
                <w:rFonts w:ascii="Verdana" w:hAnsi="Verdana" w:cs="Calibri"/>
                <w:color w:val="000000"/>
                <w:sz w:val="20"/>
                <w:szCs w:val="20"/>
              </w:rPr>
              <w:t xml:space="preserve">              0,60</w:t>
            </w:r>
          </w:p>
        </w:tc>
        <w:tc>
          <w:tcPr>
            <w:tcW w:w="1293" w:type="dxa"/>
            <w:gridSpan w:val="2"/>
            <w:tcBorders>
              <w:top w:val="single" w:sz="8" w:space="0" w:color="000000"/>
              <w:left w:val="nil"/>
              <w:bottom w:val="single" w:sz="8" w:space="0" w:color="000000"/>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-0,92</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0,00</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0,58</w:t>
            </w:r>
          </w:p>
        </w:tc>
        <w:tc>
          <w:tcPr>
            <w:tcW w:w="395" w:type="dxa"/>
            <w:gridSpan w:val="2"/>
            <w:tcBorders>
              <w:top w:val="single" w:sz="8" w:space="0" w:color="000000"/>
              <w:bottom w:val="single" w:sz="8" w:space="0" w:color="000000"/>
            </w:tcBorders>
          </w:tcPr>
          <w:p w:rsidR="005C3F63" w:rsidRDefault="005C3F63">
            <w:pPr>
              <w:jc w:val="right"/>
              <w:rPr>
                <w:rFonts w:ascii="Verdana" w:hAnsi="Verdana" w:cs="Calibri"/>
                <w:color w:val="000000"/>
                <w:sz w:val="20"/>
                <w:szCs w:val="20"/>
              </w:rPr>
            </w:pPr>
          </w:p>
        </w:tc>
      </w:tr>
      <w:tr w:rsidR="005C3F63">
        <w:trPr>
          <w:jc w:val="center"/>
        </w:trPr>
        <w:tc>
          <w:tcPr>
            <w:tcW w:w="2728" w:type="dxa"/>
            <w:tcBorders>
              <w:top w:val="single" w:sz="4" w:space="0" w:color="auto"/>
              <w:left w:val="nil"/>
              <w:right w:val="nil"/>
            </w:tcBorders>
            <w:shd w:val="clear" w:color="auto" w:fill="FFFFFF"/>
            <w:vAlign w:val="bottom"/>
          </w:tcPr>
          <w:p w:rsidR="005C3F63" w:rsidRDefault="006536E7">
            <w:pPr>
              <w:jc w:val="left"/>
              <w:rPr>
                <w:rFonts w:ascii="Verdana" w:hAnsi="Verdana" w:cs="Calibri"/>
                <w:b/>
                <w:bCs/>
                <w:color w:val="000000"/>
                <w:sz w:val="20"/>
                <w:szCs w:val="20"/>
              </w:rPr>
            </w:pPr>
            <w:r>
              <w:rPr>
                <w:rFonts w:ascii="Verdana" w:hAnsi="Verdana" w:cs="Calibri"/>
                <w:b/>
                <w:bCs/>
                <w:color w:val="000000"/>
                <w:sz w:val="20"/>
                <w:szCs w:val="20"/>
              </w:rPr>
              <w:t>Orange Slovakia 2008-2018</w:t>
            </w:r>
          </w:p>
        </w:tc>
        <w:tc>
          <w:tcPr>
            <w:tcW w:w="1317" w:type="dxa"/>
            <w:gridSpan w:val="2"/>
            <w:tcBorders>
              <w:top w:val="single" w:sz="4" w:space="0" w:color="auto"/>
              <w:left w:val="nil"/>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0,13</w:t>
            </w:r>
          </w:p>
        </w:tc>
        <w:tc>
          <w:tcPr>
            <w:tcW w:w="1293" w:type="dxa"/>
            <w:gridSpan w:val="2"/>
            <w:tcBorders>
              <w:top w:val="single" w:sz="8" w:space="0" w:color="000000"/>
              <w:left w:val="nil"/>
              <w:bottom w:val="single" w:sz="8" w:space="0" w:color="000000"/>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0,19</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0,27</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0,07</w:t>
            </w:r>
          </w:p>
        </w:tc>
        <w:tc>
          <w:tcPr>
            <w:tcW w:w="395" w:type="dxa"/>
            <w:gridSpan w:val="2"/>
            <w:tcBorders>
              <w:top w:val="single" w:sz="8" w:space="0" w:color="000000"/>
              <w:bottom w:val="single" w:sz="8" w:space="0" w:color="000000"/>
            </w:tcBorders>
          </w:tcPr>
          <w:p w:rsidR="005C3F63" w:rsidRDefault="005C3F63">
            <w:pPr>
              <w:jc w:val="right"/>
              <w:rPr>
                <w:rFonts w:ascii="Verdana" w:hAnsi="Verdana" w:cs="Calibri"/>
                <w:color w:val="000000"/>
                <w:sz w:val="20"/>
                <w:szCs w:val="20"/>
              </w:rPr>
            </w:pPr>
          </w:p>
        </w:tc>
      </w:tr>
      <w:tr w:rsidR="005C3F63">
        <w:trPr>
          <w:jc w:val="center"/>
        </w:trPr>
        <w:tc>
          <w:tcPr>
            <w:tcW w:w="2728" w:type="dxa"/>
            <w:tcBorders>
              <w:top w:val="single" w:sz="4" w:space="0" w:color="auto"/>
              <w:left w:val="nil"/>
              <w:right w:val="nil"/>
            </w:tcBorders>
            <w:shd w:val="clear" w:color="auto" w:fill="FFFFFF"/>
            <w:vAlign w:val="bottom"/>
          </w:tcPr>
          <w:p w:rsidR="005C3F63" w:rsidRDefault="006536E7">
            <w:pPr>
              <w:jc w:val="left"/>
              <w:rPr>
                <w:rFonts w:ascii="Verdana" w:hAnsi="Verdana" w:cs="Calibri"/>
                <w:b/>
                <w:bCs/>
                <w:color w:val="000000"/>
                <w:sz w:val="20"/>
                <w:szCs w:val="20"/>
              </w:rPr>
            </w:pPr>
            <w:r>
              <w:rPr>
                <w:rFonts w:ascii="Verdana" w:hAnsi="Verdana" w:cs="Calibri"/>
                <w:b/>
                <w:bCs/>
                <w:color w:val="000000"/>
                <w:sz w:val="20"/>
                <w:szCs w:val="20"/>
              </w:rPr>
              <w:t>US STEEL Košice 2008-2018</w:t>
            </w:r>
          </w:p>
        </w:tc>
        <w:tc>
          <w:tcPr>
            <w:tcW w:w="1317" w:type="dxa"/>
            <w:gridSpan w:val="2"/>
            <w:tcBorders>
              <w:top w:val="single" w:sz="4" w:space="0" w:color="auto"/>
              <w:left w:val="nil"/>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-0,28</w:t>
            </w:r>
          </w:p>
        </w:tc>
        <w:tc>
          <w:tcPr>
            <w:tcW w:w="1293" w:type="dxa"/>
            <w:gridSpan w:val="2"/>
            <w:tcBorders>
              <w:top w:val="single" w:sz="8" w:space="0" w:color="000000"/>
              <w:left w:val="nil"/>
              <w:bottom w:val="single" w:sz="8" w:space="0" w:color="000000"/>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-0,56</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-0,83</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-0,47</w:t>
            </w:r>
          </w:p>
        </w:tc>
        <w:tc>
          <w:tcPr>
            <w:tcW w:w="395" w:type="dxa"/>
            <w:gridSpan w:val="2"/>
            <w:tcBorders>
              <w:top w:val="single" w:sz="8" w:space="0" w:color="000000"/>
              <w:bottom w:val="single" w:sz="8" w:space="0" w:color="000000"/>
            </w:tcBorders>
          </w:tcPr>
          <w:p w:rsidR="005C3F63" w:rsidRDefault="005C3F63">
            <w:pPr>
              <w:jc w:val="right"/>
              <w:rPr>
                <w:rFonts w:ascii="Verdana" w:hAnsi="Verdana" w:cs="Calibri"/>
                <w:color w:val="000000"/>
                <w:sz w:val="20"/>
                <w:szCs w:val="20"/>
              </w:rPr>
            </w:pPr>
          </w:p>
        </w:tc>
      </w:tr>
      <w:tr w:rsidR="005C3F63">
        <w:trPr>
          <w:jc w:val="center"/>
        </w:trPr>
        <w:tc>
          <w:tcPr>
            <w:tcW w:w="2728" w:type="dxa"/>
            <w:tcBorders>
              <w:top w:val="single" w:sz="4" w:space="0" w:color="auto"/>
              <w:left w:val="nil"/>
              <w:bottom w:val="single" w:sz="4" w:space="0" w:color="auto"/>
              <w:right w:val="nil"/>
            </w:tcBorders>
            <w:shd w:val="clear" w:color="auto" w:fill="FFFFFF"/>
            <w:vAlign w:val="bottom"/>
          </w:tcPr>
          <w:p w:rsidR="005C3F63" w:rsidRDefault="006536E7">
            <w:pPr>
              <w:jc w:val="left"/>
              <w:rPr>
                <w:rFonts w:ascii="Verdana" w:hAnsi="Verdana" w:cs="Calibri"/>
                <w:b/>
                <w:bCs/>
                <w:color w:val="000000"/>
                <w:sz w:val="20"/>
                <w:szCs w:val="20"/>
              </w:rPr>
            </w:pPr>
            <w:r>
              <w:rPr>
                <w:rFonts w:ascii="Verdana" w:hAnsi="Verdana" w:cs="Calibri"/>
                <w:b/>
                <w:bCs/>
                <w:color w:val="000000"/>
                <w:sz w:val="20"/>
                <w:szCs w:val="20"/>
              </w:rPr>
              <w:t>Teléfonica O2 2011-2018</w:t>
            </w:r>
          </w:p>
        </w:tc>
        <w:tc>
          <w:tcPr>
            <w:tcW w:w="1317" w:type="dxa"/>
            <w:gridSpan w:val="2"/>
            <w:tcBorders>
              <w:top w:val="single" w:sz="4" w:space="0" w:color="auto"/>
              <w:left w:val="nil"/>
              <w:bottom w:val="single" w:sz="4" w:space="0" w:color="auto"/>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-0,49</w:t>
            </w:r>
          </w:p>
        </w:tc>
        <w:tc>
          <w:tcPr>
            <w:tcW w:w="1293" w:type="dxa"/>
            <w:gridSpan w:val="2"/>
            <w:tcBorders>
              <w:top w:val="single" w:sz="8" w:space="0" w:color="000000"/>
              <w:left w:val="nil"/>
              <w:bottom w:val="single" w:sz="8" w:space="0" w:color="000000"/>
              <w:right w:val="nil"/>
            </w:tcBorders>
            <w:shd w:val="clear" w:color="auto" w:fill="FFFFFF"/>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-0,61</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-0,59</w:t>
            </w:r>
          </w:p>
        </w:tc>
        <w:tc>
          <w:tcPr>
            <w:tcW w:w="1341" w:type="dxa"/>
            <w:gridSpan w:val="2"/>
            <w:tcBorders>
              <w:top w:val="single" w:sz="8" w:space="0" w:color="000000"/>
              <w:bottom w:val="single" w:sz="8" w:space="0" w:color="000000"/>
            </w:tcBorders>
            <w:vAlign w:val="bottom"/>
          </w:tcPr>
          <w:p w:rsidR="005C3F63" w:rsidRDefault="006536E7">
            <w:pPr>
              <w:jc w:val="right"/>
              <w:rPr>
                <w:rFonts w:ascii="Verdana" w:hAnsi="Verdana" w:cs="Calibri"/>
                <w:color w:val="000000"/>
                <w:sz w:val="20"/>
                <w:szCs w:val="20"/>
              </w:rPr>
            </w:pPr>
            <w:r>
              <w:rPr>
                <w:rFonts w:ascii="Verdana" w:hAnsi="Verdana" w:cs="Calibri"/>
                <w:color w:val="000000"/>
                <w:sz w:val="20"/>
                <w:szCs w:val="20"/>
              </w:rPr>
              <w:t>-0,56</w:t>
            </w:r>
          </w:p>
        </w:tc>
        <w:tc>
          <w:tcPr>
            <w:tcW w:w="395" w:type="dxa"/>
            <w:gridSpan w:val="2"/>
            <w:tcBorders>
              <w:top w:val="single" w:sz="8" w:space="0" w:color="000000"/>
              <w:bottom w:val="single" w:sz="8" w:space="0" w:color="000000"/>
            </w:tcBorders>
          </w:tcPr>
          <w:p w:rsidR="005C3F63" w:rsidRDefault="005C3F63">
            <w:pPr>
              <w:jc w:val="right"/>
              <w:rPr>
                <w:rFonts w:ascii="Verdana" w:hAnsi="Verdana" w:cs="Calibri"/>
                <w:color w:val="000000"/>
                <w:sz w:val="20"/>
                <w:szCs w:val="20"/>
              </w:rPr>
            </w:pPr>
          </w:p>
        </w:tc>
      </w:tr>
    </w:tbl>
    <w:p w:rsidR="005C3F63" w:rsidRDefault="006536E7">
      <w:pPr>
        <w:spacing w:after="240"/>
        <w:jc w:val="center"/>
        <w:rPr>
          <w:rFonts w:ascii="Verdana" w:hAnsi="Verdana"/>
          <w:sz w:val="18"/>
          <w:szCs w:val="18"/>
          <w:lang w:val="sk-SK"/>
        </w:rPr>
      </w:pPr>
      <w:r>
        <w:rPr>
          <w:rFonts w:ascii="Verdana" w:hAnsi="Verdana"/>
          <w:sz w:val="18"/>
          <w:szCs w:val="18"/>
          <w:lang w:val="sk-SK"/>
        </w:rPr>
        <w:t>Zdroj: vlastné spracovanie v LIWC2015</w:t>
      </w:r>
    </w:p>
    <w:p w:rsidR="005C3F63" w:rsidRDefault="006536E7">
      <w:pPr>
        <w:pStyle w:val="a"/>
        <w:numPr>
          <w:ilvl w:val="0"/>
          <w:numId w:val="0"/>
        </w:numPr>
        <w:spacing w:line="240" w:lineRule="auto"/>
        <w:ind w:left="18" w:hangingChars="9" w:hanging="18"/>
        <w:rPr>
          <w:rStyle w:val="tlid-translation"/>
          <w:rFonts w:ascii="Verdana" w:hAnsi="Verdana"/>
          <w:sz w:val="20"/>
          <w:szCs w:val="20"/>
        </w:rPr>
      </w:pPr>
      <w:r>
        <w:rPr>
          <w:rStyle w:val="tlid-translation"/>
          <w:rFonts w:ascii="Verdana" w:hAnsi="Verdana"/>
          <w:sz w:val="20"/>
          <w:szCs w:val="20"/>
        </w:rPr>
        <w:t xml:space="preserve">Pri skúmaní závislosti sentimentu použitého vo výročných správach a výsledku hospodárenia dosiahnutého v ďalšom období sa nepreukázala žiadna korelácia. Môžeme konštatovať, že trend prevládajúcich pozitívnych emócií nad negatívnymi bol opakovaný </w:t>
      </w:r>
      <w:r>
        <w:rPr>
          <w:rStyle w:val="tlid-translation"/>
          <w:rFonts w:ascii="Verdana" w:hAnsi="Verdana"/>
          <w:sz w:val="20"/>
          <w:szCs w:val="20"/>
        </w:rPr>
        <w:lastRenderedPageBreak/>
        <w:t xml:space="preserve">v analyzovaných výročných správach, ale rast alebo pokles týchto emócií v porovnaní s predchádzajúcim rokom nie je vždy taký jednostranný. </w:t>
      </w:r>
    </w:p>
    <w:p w:rsidR="005C3F63" w:rsidRDefault="005C3F63">
      <w:pPr>
        <w:pStyle w:val="a"/>
        <w:numPr>
          <w:ilvl w:val="0"/>
          <w:numId w:val="0"/>
        </w:numPr>
        <w:spacing w:line="240" w:lineRule="auto"/>
        <w:ind w:left="18" w:hangingChars="9" w:hanging="18"/>
        <w:rPr>
          <w:rStyle w:val="tlid-translation"/>
          <w:rFonts w:ascii="Verdana" w:hAnsi="Verdana"/>
          <w:sz w:val="20"/>
          <w:szCs w:val="20"/>
        </w:rPr>
      </w:pPr>
    </w:p>
    <w:p w:rsidR="005C3F63" w:rsidRDefault="006536E7">
      <w:pPr>
        <w:pStyle w:val="a"/>
        <w:numPr>
          <w:ilvl w:val="0"/>
          <w:numId w:val="0"/>
        </w:numPr>
        <w:spacing w:line="240" w:lineRule="auto"/>
        <w:ind w:left="18" w:hangingChars="9" w:hanging="18"/>
        <w:rPr>
          <w:rFonts w:ascii="Verdana" w:hAnsi="Verdana"/>
          <w:sz w:val="20"/>
          <w:szCs w:val="20"/>
          <w:lang w:eastAsia="sk-SK"/>
        </w:rPr>
      </w:pPr>
      <w:r>
        <w:rPr>
          <w:rFonts w:ascii="Verdana" w:hAnsi="Verdana"/>
          <w:sz w:val="20"/>
          <w:szCs w:val="20"/>
          <w:lang w:eastAsia="sk-SK"/>
        </w:rPr>
        <w:t>Výročné správy majú poukázať na skutočnosti o danom podniku bez skreslenia, čo nie je vždy pravidlom. Zostavovatelia výročných správ týmto zabezpečujú, že výročné správy sú skutočným prostriedkom komunikácie medzi spoločnosťou a všetkými zúčastnenými stranami.</w:t>
      </w:r>
    </w:p>
    <w:p w:rsidR="005C3F63" w:rsidRDefault="006536E7">
      <w:pPr>
        <w:pStyle w:val="a"/>
        <w:numPr>
          <w:ilvl w:val="0"/>
          <w:numId w:val="0"/>
        </w:numPr>
        <w:spacing w:line="240" w:lineRule="auto"/>
        <w:ind w:left="18" w:hangingChars="9" w:hanging="18"/>
        <w:rPr>
          <w:rStyle w:val="tlid-translation"/>
          <w:rFonts w:ascii="Verdana" w:hAnsi="Verdana"/>
          <w:sz w:val="20"/>
          <w:szCs w:val="20"/>
        </w:rPr>
      </w:pPr>
      <w:r>
        <w:rPr>
          <w:rFonts w:ascii="Verdana" w:hAnsi="Verdana"/>
          <w:sz w:val="20"/>
          <w:szCs w:val="20"/>
          <w:lang w:eastAsia="sk-SK"/>
        </w:rPr>
        <w:br/>
        <w:t xml:space="preserve">Na základe zistení analýzy môžeme konštatovať, že najspoľahlivejšou oblasťou sentimentu, ktorá indikuje hospodárenie podniku môže byť „riziko“. </w:t>
      </w:r>
      <w:r>
        <w:rPr>
          <w:rStyle w:val="tlid-translation"/>
          <w:rFonts w:ascii="Verdana" w:hAnsi="Verdana"/>
          <w:sz w:val="20"/>
          <w:szCs w:val="20"/>
        </w:rPr>
        <w:t xml:space="preserve">Riziko sa vo všeobecnosti spája s istotou vyššej odmeny a odmeny za pozitívnu emóciu, čo sa aj vo výročných správach analýza sentimentu potvrdila. </w:t>
      </w:r>
    </w:p>
    <w:p w:rsidR="005C3F63" w:rsidRDefault="006536E7">
      <w:pPr>
        <w:pStyle w:val="Kapitola"/>
        <w:rPr>
          <w:lang w:val="sk-SK"/>
        </w:rPr>
      </w:pPr>
      <w:r>
        <w:rPr>
          <w:lang w:val="sk-SK"/>
        </w:rPr>
        <w:t>Záver / Conclusions</w:t>
      </w:r>
    </w:p>
    <w:p w:rsidR="005C3F63" w:rsidRDefault="006536E7">
      <w:pPr>
        <w:rPr>
          <w:rStyle w:val="tlid-translation"/>
          <w:rFonts w:ascii="Verdana" w:hAnsi="Verdana"/>
          <w:sz w:val="20"/>
          <w:szCs w:val="20"/>
          <w:lang w:val="sk-SK"/>
        </w:rPr>
      </w:pPr>
      <w:r>
        <w:rPr>
          <w:rStyle w:val="tlid-translation"/>
          <w:rFonts w:ascii="Verdana" w:hAnsi="Verdana"/>
          <w:sz w:val="20"/>
          <w:szCs w:val="20"/>
          <w:lang w:val="sk-SK"/>
        </w:rPr>
        <w:t>Účtovníctvo je pre používateľov zdrojom informácií o spoločnosti. Hlavnými používateľmi účtovných informácií sú vlastníci, finančníci a iní veritelia. Behaviorálne financovanie je súčasťou behaviorálnej ekonómie „ktorá aplikuje znalosti kognitívnych a emocionálnych odchýlok od racionality pri ekonomických rozhodnutiach na finančných trhoch“ (Baláž, 2009). Behaviorálne účtovníctvo, ako je behaviorálna ekonomika, sa zameriava na odchýlky od racionality v ľudskom správaní. Prepojenie účtovníckej a behaviorálnej ekonómie je založené na postavení vlastníkov, finančných a iných veriteľov, ktorí sa môžu odchýliť od racionality pri rozhodovaní alebo rozhodovaní. Do výraznej miery odchýlky od racionality môžu byť spôsobené sentimentom použitým vo výročných správach.</w:t>
      </w:r>
    </w:p>
    <w:p w:rsidR="005C3F63" w:rsidRDefault="005C3F63">
      <w:pPr>
        <w:rPr>
          <w:rStyle w:val="tlid-translation"/>
          <w:rFonts w:ascii="Verdana" w:hAnsi="Verdana"/>
          <w:sz w:val="20"/>
          <w:szCs w:val="20"/>
          <w:lang w:val="sk-SK"/>
        </w:rPr>
      </w:pPr>
    </w:p>
    <w:p w:rsidR="005C3F63" w:rsidRDefault="006536E7">
      <w:pPr>
        <w:spacing w:after="120"/>
        <w:rPr>
          <w:rStyle w:val="tlid-translation"/>
          <w:rFonts w:ascii="Verdana" w:hAnsi="Verdana"/>
          <w:sz w:val="20"/>
          <w:szCs w:val="20"/>
          <w:lang w:val="sk-SK"/>
        </w:rPr>
      </w:pPr>
      <w:r>
        <w:rPr>
          <w:rStyle w:val="tlid-translation"/>
          <w:rFonts w:ascii="Verdana" w:hAnsi="Verdana"/>
          <w:sz w:val="20"/>
          <w:szCs w:val="20"/>
          <w:lang w:val="sk-SK"/>
        </w:rPr>
        <w:t>Nefinančné údaje, ako aj finančné údaje sú určené rôznym zainteresovaným stranám. Informácie vo výročných správach spoločností by mali byť čitateľné pre potenciálnych investorov, zamestnancov, klientov, regulátorov. Výročné správy v rámci spoločnosti, ktoré odhaľujú ich činnosti, výsledky, vývoj a budúce trendy, sú dostupné zdroje informácií. Výročné správy obsahujú aj nefinančné informácie, ktoré poskytujú širší prehľad o podnikaní a výkonnosti spoločnosti. S rastúcim záujmom investorov alebo analytikov o nefinančné informácie z výročných správ sme sa rozhodli zamerať na tieto údaje a rozhodli sme sa zistiť do akej miery je možné aby relevantne podporili ich rozhodnutia. V tomto článku sme testovali hypotézy, či je pomocou textovej analýzy možné odhaliť súvislosť s meniacou sa výnosnosťou podniku. Testovanie hypotéz preukázalo, že pozitívna korelácia medzi výsledkom hospodárenia a použitým sentimentom bola zaznamenaná v oblasti „rizika“.</w:t>
      </w:r>
    </w:p>
    <w:p w:rsidR="005C3F63" w:rsidRDefault="006536E7">
      <w:pPr>
        <w:pStyle w:val="Kapitola"/>
        <w:rPr>
          <w:lang w:val="sk-SK"/>
        </w:rPr>
      </w:pPr>
      <w:r>
        <w:rPr>
          <w:lang w:val="sk-SK"/>
        </w:rPr>
        <w:t>Príslušnosť ku grantovej úlohe / Acknowledgments</w:t>
      </w:r>
    </w:p>
    <w:p w:rsidR="005C3F63" w:rsidRDefault="006536E7">
      <w:pPr>
        <w:rPr>
          <w:lang w:val="sk-SK"/>
        </w:rPr>
      </w:pPr>
      <w:r>
        <w:rPr>
          <w:lang w:val="sk-SK"/>
        </w:rPr>
        <w:t>Príspevok bol spracovaný ako jeden z výstupov riešenia projektu grantovej agentúry Vedecká grantová agentúra MŠ SR a Slovenskej akadémie vied (</w:t>
      </w:r>
      <w:r>
        <w:rPr>
          <w:rStyle w:val="il"/>
          <w:b/>
          <w:bCs/>
          <w:sz w:val="20"/>
          <w:szCs w:val="20"/>
          <w:lang w:val="sk-SK"/>
        </w:rPr>
        <w:t>VEGA</w:t>
      </w:r>
      <w:r>
        <w:rPr>
          <w:lang w:val="sk-SK"/>
        </w:rPr>
        <w:t>) č. 1/0517/20 (2020-2022) „Virtuálne kryptosiete ako relevantný nástroj na elimináciu ekonomickej kriminality.“</w:t>
      </w:r>
    </w:p>
    <w:p w:rsidR="005C3F63" w:rsidRDefault="006536E7">
      <w:pPr>
        <w:pStyle w:val="Kapitola"/>
        <w:rPr>
          <w:lang w:val="sk-SK"/>
        </w:rPr>
      </w:pPr>
      <w:r>
        <w:rPr>
          <w:lang w:val="sk-SK"/>
        </w:rPr>
        <w:t>Literárne zdroje a iné odkazy / References</w:t>
      </w:r>
      <w:r>
        <w:rPr>
          <w:lang w:val="sk-SK"/>
        </w:rPr>
        <w:tab/>
      </w:r>
    </w:p>
    <w:p w:rsidR="005C3F63" w:rsidRDefault="006536E7">
      <w:pPr>
        <w:pStyle w:val="a"/>
        <w:numPr>
          <w:ilvl w:val="0"/>
          <w:numId w:val="0"/>
        </w:numPr>
        <w:spacing w:line="240" w:lineRule="auto"/>
        <w:rPr>
          <w:rFonts w:ascii="Verdana" w:hAnsi="Verdana"/>
          <w:iCs/>
          <w:sz w:val="20"/>
          <w:szCs w:val="20"/>
        </w:rPr>
      </w:pPr>
      <w:r>
        <w:rPr>
          <w:rFonts w:ascii="Verdana" w:hAnsi="Verdana"/>
          <w:sz w:val="20"/>
          <w:szCs w:val="20"/>
        </w:rPr>
        <w:t xml:space="preserve">Andrejovska, A., Banociova, A. (2013) Payment discipline in business environment. In. </w:t>
      </w:r>
      <w:r>
        <w:rPr>
          <w:rFonts w:ascii="Verdana" w:hAnsi="Verdana"/>
          <w:i/>
          <w:sz w:val="20"/>
          <w:szCs w:val="20"/>
        </w:rPr>
        <w:t xml:space="preserve">International conference on Emerging Markets Queries in Finance and Business. </w:t>
      </w:r>
      <w:r>
        <w:rPr>
          <w:rFonts w:ascii="Verdana" w:hAnsi="Verdana"/>
          <w:iCs/>
          <w:sz w:val="20"/>
          <w:szCs w:val="20"/>
        </w:rPr>
        <w:t xml:space="preserve">Procedia Economics and Finance. vol. 15, pp. 1217-1224. </w:t>
      </w:r>
    </w:p>
    <w:p w:rsidR="005C3F63" w:rsidRDefault="005C3F63">
      <w:pPr>
        <w:pStyle w:val="a"/>
        <w:numPr>
          <w:ilvl w:val="0"/>
          <w:numId w:val="0"/>
        </w:numPr>
        <w:spacing w:line="240" w:lineRule="auto"/>
        <w:rPr>
          <w:rFonts w:ascii="Verdana" w:hAnsi="Verdana"/>
          <w:iCs/>
          <w:sz w:val="20"/>
          <w:szCs w:val="20"/>
        </w:rPr>
      </w:pPr>
    </w:p>
    <w:p w:rsidR="005C3F63" w:rsidRDefault="006536E7">
      <w:pPr>
        <w:pStyle w:val="a"/>
        <w:numPr>
          <w:ilvl w:val="0"/>
          <w:numId w:val="0"/>
        </w:numPr>
        <w:spacing w:line="240" w:lineRule="auto"/>
        <w:rPr>
          <w:rFonts w:ascii="Verdana" w:eastAsia="Calibri" w:hAnsi="Verdana" w:cs="TimesNewRomanPSMT"/>
          <w:sz w:val="20"/>
          <w:szCs w:val="20"/>
          <w:lang w:eastAsia="sk-SK"/>
        </w:rPr>
      </w:pPr>
      <w:r>
        <w:rPr>
          <w:rFonts w:ascii="Verdana" w:eastAsia="Calibri" w:hAnsi="Verdana" w:cs="TimesNewRomanPSMT"/>
          <w:sz w:val="20"/>
          <w:szCs w:val="20"/>
          <w:lang w:eastAsia="sk-SK"/>
        </w:rPr>
        <w:t xml:space="preserve">Baláž, V. (2009) </w:t>
      </w:r>
      <w:r>
        <w:rPr>
          <w:rFonts w:ascii="Verdana" w:eastAsia="Calibri" w:hAnsi="Verdana" w:cs="TimesNewRomanPS-ItalicMT"/>
          <w:i/>
          <w:iCs/>
          <w:sz w:val="20"/>
          <w:szCs w:val="20"/>
          <w:lang w:eastAsia="sk-SK"/>
        </w:rPr>
        <w:t xml:space="preserve">Riziko a neistota. </w:t>
      </w:r>
      <w:r>
        <w:rPr>
          <w:rFonts w:ascii="Verdana" w:eastAsia="Calibri" w:hAnsi="Verdana" w:cs="TimesNewRomanPSMT"/>
          <w:sz w:val="20"/>
          <w:szCs w:val="20"/>
          <w:lang w:eastAsia="sk-SK"/>
        </w:rPr>
        <w:t xml:space="preserve">Bratislava : Veda, pp. 211. </w:t>
      </w:r>
    </w:p>
    <w:p w:rsidR="005C3F63" w:rsidRDefault="005C3F63">
      <w:pPr>
        <w:pStyle w:val="a"/>
        <w:numPr>
          <w:ilvl w:val="0"/>
          <w:numId w:val="0"/>
        </w:numPr>
        <w:spacing w:line="240" w:lineRule="auto"/>
        <w:rPr>
          <w:rFonts w:ascii="Verdana" w:eastAsia="Calibri" w:hAnsi="Verdana" w:cs="TimesNewRomanPSMT"/>
          <w:sz w:val="20"/>
          <w:szCs w:val="20"/>
          <w:lang w:eastAsia="sk-SK"/>
        </w:rPr>
      </w:pPr>
    </w:p>
    <w:p w:rsidR="005C3F63" w:rsidRDefault="006536E7">
      <w:pPr>
        <w:pStyle w:val="a"/>
        <w:numPr>
          <w:ilvl w:val="0"/>
          <w:numId w:val="0"/>
        </w:numPr>
        <w:spacing w:line="240" w:lineRule="auto"/>
        <w:rPr>
          <w:rFonts w:ascii="Verdana" w:eastAsia="Calibri" w:hAnsi="Verdana" w:cs="TimesNewRomanPSMT"/>
          <w:sz w:val="20"/>
          <w:szCs w:val="20"/>
          <w:lang w:eastAsia="sk-SK"/>
        </w:rPr>
      </w:pPr>
      <w:r>
        <w:rPr>
          <w:rFonts w:ascii="Verdana" w:hAnsi="Verdana"/>
          <w:sz w:val="20"/>
          <w:szCs w:val="20"/>
        </w:rPr>
        <w:t xml:space="preserve">Bakarich, K. M., Hossain, M., Weintrop, J. (2019) Different time, different tone: Company life cycle. In. </w:t>
      </w:r>
      <w:hyperlink r:id="rId167" w:history="1">
        <w:r>
          <w:rPr>
            <w:rStyle w:val="af9"/>
            <w:rFonts w:ascii="Verdana" w:hAnsi="Verdana"/>
            <w:i/>
            <w:iCs/>
            <w:color w:val="000000"/>
            <w:sz w:val="20"/>
            <w:szCs w:val="20"/>
            <w:u w:val="none"/>
          </w:rPr>
          <w:t>Journal of Contemporary Accounting and Economics</w:t>
        </w:r>
      </w:hyperlink>
      <w:r>
        <w:rPr>
          <w:rFonts w:ascii="Verdana" w:hAnsi="Verdana"/>
          <w:sz w:val="20"/>
          <w:szCs w:val="20"/>
        </w:rPr>
        <w:t xml:space="preserve">, 2019, vol. 15, issue 1, pp. 69-86. </w:t>
      </w:r>
    </w:p>
    <w:p w:rsidR="005C3F63" w:rsidRDefault="006536E7">
      <w:pPr>
        <w:pStyle w:val="BibItem"/>
        <w:numPr>
          <w:ilvl w:val="0"/>
          <w:numId w:val="0"/>
        </w:numPr>
        <w:rPr>
          <w:rFonts w:ascii="Verdana" w:hAnsi="Verdana"/>
          <w:sz w:val="20"/>
          <w:szCs w:val="20"/>
        </w:rPr>
      </w:pPr>
      <w:r>
        <w:rPr>
          <w:rFonts w:ascii="Verdana" w:hAnsi="Verdana"/>
          <w:sz w:val="20"/>
          <w:szCs w:val="20"/>
        </w:rPr>
        <w:lastRenderedPageBreak/>
        <w:t>Krišková, P., Užík, J. (2016) Management of audit risk and its impact on the audit of financial statements. Managing and modelling of financial risks: proceedings: 8th international scientific conference: 5th - 6th september 2016, Ostrava, Czech Republic, pp. 460-466.</w:t>
      </w:r>
    </w:p>
    <w:p w:rsidR="005C3F63" w:rsidRDefault="006536E7">
      <w:pPr>
        <w:pStyle w:val="BibItem"/>
        <w:numPr>
          <w:ilvl w:val="0"/>
          <w:numId w:val="0"/>
        </w:numPr>
        <w:rPr>
          <w:rFonts w:ascii="Verdana" w:hAnsi="Verdana"/>
          <w:color w:val="000000"/>
          <w:sz w:val="20"/>
          <w:szCs w:val="20"/>
          <w:lang w:eastAsia="sk-SK"/>
        </w:rPr>
      </w:pPr>
      <w:r>
        <w:rPr>
          <w:rFonts w:ascii="Verdana" w:hAnsi="Verdana"/>
          <w:sz w:val="20"/>
          <w:szCs w:val="20"/>
          <w:shd w:val="clear" w:color="auto" w:fill="FFFFFF"/>
        </w:rPr>
        <w:t>Kontsyvaya, S., Alborov, R. Kontsevaya, S., Smutka, L., Makunina, I., Turebekova, B. (2019) Accounting and Analysis of Biological Asset Transformation Results in Agricultural Companies of the Russian Federation</w:t>
      </w:r>
      <w:r>
        <w:rPr>
          <w:rFonts w:ascii="Verdana" w:hAnsi="Verdana"/>
          <w:color w:val="000000"/>
          <w:sz w:val="20"/>
          <w:szCs w:val="20"/>
          <w:shd w:val="clear" w:color="auto" w:fill="FFFFFF"/>
        </w:rPr>
        <w:t xml:space="preserve">. </w:t>
      </w:r>
      <w:r>
        <w:rPr>
          <w:rFonts w:ascii="Verdana" w:hAnsi="Verdana"/>
          <w:i/>
          <w:iCs/>
          <w:color w:val="000000"/>
          <w:sz w:val="20"/>
          <w:szCs w:val="20"/>
          <w:shd w:val="clear" w:color="auto" w:fill="FFFFFF"/>
        </w:rPr>
        <w:t>Conference Hradec Economic Days</w:t>
      </w:r>
      <w:r>
        <w:rPr>
          <w:rFonts w:ascii="Verdana" w:hAnsi="Verdana"/>
          <w:color w:val="000000"/>
          <w:sz w:val="20"/>
          <w:szCs w:val="20"/>
          <w:shd w:val="clear" w:color="auto" w:fill="FFFFFF"/>
        </w:rPr>
        <w:t xml:space="preserve">, </w:t>
      </w:r>
      <w:r>
        <w:rPr>
          <w:rFonts w:ascii="Verdana" w:hAnsi="Verdana"/>
          <w:color w:val="000000"/>
          <w:sz w:val="20"/>
          <w:szCs w:val="20"/>
        </w:rPr>
        <w:t>Volume 10(1), pp</w:t>
      </w:r>
      <w:r>
        <w:rPr>
          <w:rFonts w:ascii="Verdana" w:hAnsi="Verdana"/>
          <w:color w:val="000000"/>
          <w:sz w:val="20"/>
          <w:szCs w:val="20"/>
          <w:shd w:val="clear" w:color="auto" w:fill="FFFFFF"/>
        </w:rPr>
        <w:t>. 336-343.</w:t>
      </w:r>
    </w:p>
    <w:p w:rsidR="005C3F63" w:rsidRDefault="006536E7">
      <w:pPr>
        <w:pStyle w:val="BibItem"/>
        <w:numPr>
          <w:ilvl w:val="0"/>
          <w:numId w:val="0"/>
        </w:numPr>
        <w:rPr>
          <w:rFonts w:ascii="Verdana" w:hAnsi="Verdana"/>
          <w:sz w:val="20"/>
          <w:szCs w:val="20"/>
        </w:rPr>
      </w:pPr>
      <w:r>
        <w:rPr>
          <w:rFonts w:ascii="Verdana" w:hAnsi="Verdana"/>
          <w:sz w:val="20"/>
          <w:szCs w:val="20"/>
        </w:rPr>
        <w:t xml:space="preserve">Kurnaz N., Dalkilic N., Zeytinoglu E. (2010). Assessment of Financial Structures of Insurance Companies in Crisis Environment. </w:t>
      </w:r>
      <w:r>
        <w:rPr>
          <w:rFonts w:ascii="Verdana" w:hAnsi="Verdana"/>
          <w:i/>
          <w:iCs/>
          <w:sz w:val="20"/>
          <w:szCs w:val="20"/>
        </w:rPr>
        <w:t>5 th International Symposium Restructuring the Economy After the Global Crisis,</w:t>
      </w:r>
      <w:r>
        <w:rPr>
          <w:rFonts w:ascii="Verdana" w:hAnsi="Verdana"/>
          <w:sz w:val="20"/>
          <w:szCs w:val="20"/>
        </w:rPr>
        <w:t xml:space="preserve"> 653-662.</w:t>
      </w:r>
    </w:p>
    <w:p w:rsidR="005C3F63" w:rsidRDefault="006536E7">
      <w:pPr>
        <w:pStyle w:val="BibItem"/>
        <w:numPr>
          <w:ilvl w:val="0"/>
          <w:numId w:val="0"/>
        </w:numPr>
        <w:rPr>
          <w:rFonts w:ascii="Verdana" w:hAnsi="Verdana"/>
          <w:sz w:val="20"/>
          <w:szCs w:val="20"/>
          <w:lang w:val="en-GB"/>
        </w:rPr>
      </w:pPr>
      <w:r>
        <w:rPr>
          <w:rFonts w:ascii="Verdana" w:hAnsi="Verdana"/>
          <w:sz w:val="20"/>
          <w:szCs w:val="20"/>
          <w:lang w:val="sk-SK"/>
        </w:rPr>
        <w:t xml:space="preserve">Loughran, T., Mcdonald, B. (2011). When Is a Liability Not a Liability? Textual Analysis, Dictionaries, and 10-Ks. In. </w:t>
      </w:r>
      <w:r>
        <w:rPr>
          <w:rFonts w:ascii="Verdana" w:hAnsi="Verdana"/>
          <w:i/>
          <w:sz w:val="20"/>
          <w:szCs w:val="20"/>
          <w:lang w:val="sk-SK"/>
        </w:rPr>
        <w:t xml:space="preserve">Journal of Finance. </w:t>
      </w:r>
      <w:r>
        <w:rPr>
          <w:rFonts w:ascii="Verdana" w:hAnsi="Verdana"/>
          <w:sz w:val="20"/>
          <w:szCs w:val="20"/>
          <w:lang w:val="sk-SK"/>
        </w:rPr>
        <w:t>Vol 66(1), pp. 35-65.</w:t>
      </w:r>
    </w:p>
    <w:p w:rsidR="005C3F63" w:rsidRDefault="006536E7">
      <w:pPr>
        <w:pStyle w:val="BibItem"/>
        <w:numPr>
          <w:ilvl w:val="0"/>
          <w:numId w:val="0"/>
        </w:numPr>
        <w:rPr>
          <w:rFonts w:ascii="Verdana" w:hAnsi="Verdana"/>
          <w:sz w:val="20"/>
          <w:szCs w:val="20"/>
        </w:rPr>
      </w:pPr>
      <w:r>
        <w:rPr>
          <w:rStyle w:val="afa"/>
          <w:rFonts w:ascii="Verdana" w:hAnsi="Verdana"/>
          <w:b w:val="0"/>
          <w:color w:val="000000"/>
          <w:sz w:val="20"/>
          <w:szCs w:val="20"/>
        </w:rPr>
        <w:t>Ondrušová, L</w:t>
      </w:r>
      <w:r>
        <w:rPr>
          <w:rFonts w:ascii="Verdana" w:hAnsi="Verdana"/>
          <w:b/>
          <w:sz w:val="20"/>
          <w:szCs w:val="20"/>
        </w:rPr>
        <w:t>.</w:t>
      </w:r>
      <w:r>
        <w:rPr>
          <w:rFonts w:ascii="Verdana" w:hAnsi="Verdana"/>
          <w:sz w:val="20"/>
          <w:szCs w:val="20"/>
        </w:rPr>
        <w:t xml:space="preserve"> (2011) Management decisions leading to ownership transactions. Strategic management: international journal of strategic management and decision support systems in strategic management, vol. 16, no. 3, pp. 18-22.</w:t>
      </w:r>
    </w:p>
    <w:p w:rsidR="005C3F63" w:rsidRDefault="006536E7">
      <w:pPr>
        <w:pStyle w:val="BibItem"/>
        <w:numPr>
          <w:ilvl w:val="0"/>
          <w:numId w:val="0"/>
        </w:numPr>
        <w:rPr>
          <w:rFonts w:ascii="Verdana" w:hAnsi="Verdana"/>
          <w:sz w:val="20"/>
          <w:szCs w:val="20"/>
        </w:rPr>
      </w:pPr>
      <w:r>
        <w:rPr>
          <w:rFonts w:ascii="Verdana" w:hAnsi="Verdana"/>
          <w:sz w:val="20"/>
          <w:szCs w:val="20"/>
        </w:rPr>
        <w:t xml:space="preserve">Pakšiová, R., Janhuba, M. (2012) </w:t>
      </w:r>
      <w:r>
        <w:rPr>
          <w:rFonts w:ascii="Verdana" w:hAnsi="Verdana"/>
          <w:i/>
          <w:sz w:val="20"/>
          <w:szCs w:val="20"/>
        </w:rPr>
        <w:t>Teória účtovníctva v kontexte svetového vývoja</w:t>
      </w:r>
      <w:r>
        <w:rPr>
          <w:rFonts w:ascii="Verdana" w:hAnsi="Verdana"/>
          <w:sz w:val="20"/>
          <w:szCs w:val="20"/>
        </w:rPr>
        <w:t xml:space="preserve">. Bratislava: Iura Edition. </w:t>
      </w:r>
    </w:p>
    <w:p w:rsidR="005C3F63" w:rsidRDefault="006536E7">
      <w:pPr>
        <w:pStyle w:val="BibItem"/>
        <w:numPr>
          <w:ilvl w:val="0"/>
          <w:numId w:val="0"/>
        </w:numPr>
        <w:rPr>
          <w:rFonts w:ascii="Verdana" w:hAnsi="Verdana"/>
          <w:sz w:val="20"/>
          <w:szCs w:val="20"/>
        </w:rPr>
      </w:pPr>
      <w:r>
        <w:rPr>
          <w:rFonts w:ascii="Verdana" w:hAnsi="Verdana"/>
          <w:color w:val="000000"/>
          <w:sz w:val="20"/>
          <w:szCs w:val="20"/>
        </w:rPr>
        <w:t xml:space="preserve">Parajka, </w:t>
      </w:r>
      <w:r>
        <w:rPr>
          <w:rFonts w:ascii="Verdana" w:hAnsi="Verdana"/>
          <w:sz w:val="20"/>
          <w:szCs w:val="20"/>
        </w:rPr>
        <w:t xml:space="preserve">B. (2015) Are information needs of financial entities served by financial statements in the Slovak Republic. </w:t>
      </w:r>
      <w:r>
        <w:rPr>
          <w:rFonts w:ascii="Verdana" w:hAnsi="Verdana"/>
          <w:i/>
          <w:sz w:val="20"/>
          <w:szCs w:val="20"/>
        </w:rPr>
        <w:t>Financial management of firms and financial institutions</w:t>
      </w:r>
      <w:r>
        <w:rPr>
          <w:rFonts w:ascii="Verdana" w:hAnsi="Verdana"/>
          <w:sz w:val="20"/>
          <w:szCs w:val="20"/>
        </w:rPr>
        <w:t xml:space="preserve">, pp. 950-957. </w:t>
      </w:r>
    </w:p>
    <w:p w:rsidR="005C3F63" w:rsidRDefault="006536E7">
      <w:pPr>
        <w:pStyle w:val="BibItem"/>
        <w:numPr>
          <w:ilvl w:val="0"/>
          <w:numId w:val="0"/>
        </w:numPr>
        <w:rPr>
          <w:rFonts w:ascii="Verdana" w:hAnsi="Verdana"/>
          <w:sz w:val="20"/>
          <w:szCs w:val="20"/>
        </w:rPr>
      </w:pPr>
      <w:r>
        <w:rPr>
          <w:rFonts w:ascii="Verdana" w:hAnsi="Verdana"/>
          <w:sz w:val="20"/>
          <w:szCs w:val="20"/>
        </w:rPr>
        <w:t xml:space="preserve">Slobodyanik Y., Chyzhevska L. (2019) The Contribution of Supreme Audit // Institutions to Good Governance and Sustainable Development: the Case of Ukraine. </w:t>
      </w:r>
      <w:r>
        <w:rPr>
          <w:rFonts w:ascii="Verdana" w:hAnsi="Verdana"/>
          <w:i/>
          <w:iCs/>
          <w:sz w:val="20"/>
          <w:szCs w:val="20"/>
        </w:rPr>
        <w:t xml:space="preserve">Economista. </w:t>
      </w:r>
      <w:r>
        <w:rPr>
          <w:rFonts w:ascii="Verdana" w:hAnsi="Verdana"/>
          <w:sz w:val="20"/>
          <w:szCs w:val="20"/>
        </w:rPr>
        <w:t>vol. 4, pp. 472-486.</w:t>
      </w:r>
    </w:p>
    <w:p w:rsidR="005C3F63" w:rsidRDefault="006536E7">
      <w:pPr>
        <w:jc w:val="left"/>
        <w:rPr>
          <w:rFonts w:ascii="Verdana" w:hAnsi="Verdana"/>
          <w:sz w:val="20"/>
          <w:szCs w:val="20"/>
          <w:lang w:eastAsia="cs-CZ" w:bidi="ar-SA"/>
        </w:rPr>
      </w:pPr>
      <w:r>
        <w:rPr>
          <w:rFonts w:ascii="Verdana" w:hAnsi="Verdana"/>
          <w:sz w:val="20"/>
          <w:szCs w:val="20"/>
        </w:rPr>
        <w:br w:type="page"/>
      </w:r>
    </w:p>
    <w:p w:rsidR="005C3F63" w:rsidRDefault="006536E7">
      <w:pPr>
        <w:pStyle w:val="1"/>
      </w:pPr>
      <w:bookmarkStart w:id="477" w:name="_Toc47951526"/>
      <w:bookmarkStart w:id="478" w:name="_Hlk776482"/>
      <w:r>
        <w:lastRenderedPageBreak/>
        <w:t>Creation of united territorial communities in Poltava region</w:t>
      </w:r>
      <w:bookmarkEnd w:id="477"/>
      <w:r>
        <w:t xml:space="preserve"> </w:t>
      </w:r>
    </w:p>
    <w:p w:rsidR="005C3F63" w:rsidRDefault="006536E7">
      <w:pPr>
        <w:pStyle w:val="Autor"/>
        <w:rPr>
          <w:lang w:val="de-DE"/>
        </w:rPr>
      </w:pPr>
      <w:bookmarkStart w:id="479" w:name="_Toc47447157"/>
      <w:bookmarkStart w:id="480" w:name="_Toc47949304"/>
      <w:bookmarkStart w:id="481" w:name="_Toc47451152"/>
      <w:bookmarkStart w:id="482" w:name="_Toc47448555"/>
      <w:bookmarkStart w:id="483" w:name="_Toc47951462"/>
      <w:bookmarkStart w:id="484" w:name="_Toc47448610"/>
      <w:bookmarkStart w:id="485" w:name="_Toc47448195"/>
      <w:bookmarkStart w:id="486" w:name="_Toc47448836"/>
      <w:bookmarkStart w:id="487" w:name="_Toc47449311"/>
      <w:bookmarkStart w:id="488" w:name="_Toc47448113"/>
      <w:bookmarkStart w:id="489" w:name="_Toc47948792"/>
      <w:bookmarkStart w:id="490" w:name="_Toc47948990"/>
      <w:bookmarkStart w:id="491" w:name="_Toc47447977"/>
      <w:bookmarkStart w:id="492" w:name="_Toc47951527"/>
      <w:bookmarkStart w:id="493" w:name="_Toc47447923"/>
      <w:bookmarkStart w:id="494" w:name="_Toc47448059"/>
      <w:bookmarkStart w:id="495" w:name="_Toc47948731"/>
      <w:bookmarkStart w:id="496" w:name="_Toc47448317"/>
      <w:bookmarkStart w:id="497" w:name="_Toc47951369"/>
      <w:bookmarkEnd w:id="478"/>
      <w:r>
        <w:rPr>
          <w:lang w:val="de-DE"/>
        </w:rPr>
        <w:t>Viktoriya Kulyk</w:t>
      </w:r>
      <w:r>
        <w:rPr>
          <w:vertAlign w:val="superscript"/>
          <w:lang w:val="de-DE"/>
        </w:rPr>
        <w:t>1</w:t>
      </w:r>
      <w:r>
        <w:rPr>
          <w:lang w:val="de-DE"/>
        </w:rPr>
        <w:t>, Yevheniya Karpenko</w:t>
      </w:r>
      <w:r>
        <w:rPr>
          <w:vertAlign w:val="superscript"/>
          <w:lang w:val="de-DE"/>
        </w:rPr>
        <w:t>2</w:t>
      </w:r>
      <w:bookmarkStart w:id="498" w:name="_Toc47447158"/>
      <w:bookmarkEnd w:id="479"/>
      <w:r>
        <w:rPr>
          <w:lang w:val="de-DE"/>
        </w:rPr>
        <w:t>, Michal Hora</w:t>
      </w:r>
      <w:r>
        <w:rPr>
          <w:vertAlign w:val="superscript"/>
          <w:lang w:val="de-DE"/>
        </w:rPr>
        <w:t>3</w:t>
      </w:r>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p>
    <w:p w:rsidR="005C3F63" w:rsidRDefault="006536E7">
      <w:pPr>
        <w:pStyle w:val="rvps2"/>
        <w:shd w:val="clear" w:color="auto" w:fill="FFFFFF"/>
        <w:spacing w:before="0" w:beforeAutospacing="0" w:after="120" w:afterAutospacing="0"/>
        <w:rPr>
          <w:rFonts w:ascii="Verdana" w:hAnsi="Verdana"/>
          <w:b/>
          <w:color w:val="000000"/>
          <w:sz w:val="20"/>
          <w:szCs w:val="20"/>
          <w:lang w:val="de-DE" w:eastAsia="zh-CN"/>
        </w:rPr>
      </w:pPr>
      <w:r>
        <w:rPr>
          <w:rFonts w:ascii="Verdana" w:hAnsi="Verdana"/>
          <w:b/>
          <w:color w:val="000000"/>
          <w:position w:val="10"/>
          <w:sz w:val="20"/>
          <w:szCs w:val="20"/>
          <w:lang w:val="de-DE"/>
        </w:rPr>
        <w:t xml:space="preserve"> </w:t>
      </w:r>
    </w:p>
    <w:p w:rsidR="005C3F63" w:rsidRDefault="006536E7">
      <w:pPr>
        <w:pStyle w:val="rvps2"/>
        <w:shd w:val="clear" w:color="auto" w:fill="FFFFFF"/>
        <w:spacing w:before="0" w:beforeAutospacing="0" w:after="0" w:afterAutospacing="0"/>
        <w:jc w:val="center"/>
        <w:rPr>
          <w:rFonts w:ascii="Verdana" w:hAnsi="Verdana"/>
          <w:color w:val="000000"/>
          <w:sz w:val="18"/>
          <w:szCs w:val="18"/>
          <w:lang w:val="en-US"/>
        </w:rPr>
      </w:pPr>
      <w:r>
        <w:rPr>
          <w:rFonts w:ascii="Verdana" w:hAnsi="Verdana"/>
          <w:color w:val="000000"/>
          <w:position w:val="6"/>
          <w:sz w:val="18"/>
          <w:szCs w:val="18"/>
          <w:vertAlign w:val="superscript"/>
          <w:lang w:val="en-US"/>
        </w:rPr>
        <w:t>1</w:t>
      </w:r>
      <w:r>
        <w:rPr>
          <w:rFonts w:ascii="Verdana" w:hAnsi="Verdana"/>
          <w:color w:val="000000"/>
          <w:sz w:val="18"/>
          <w:szCs w:val="18"/>
          <w:lang w:val="en-US"/>
        </w:rPr>
        <w:t>Poltava University of Economics and Trade</w:t>
      </w:r>
    </w:p>
    <w:p w:rsidR="005C3F63" w:rsidRDefault="006536E7">
      <w:pPr>
        <w:pStyle w:val="rvps2"/>
        <w:shd w:val="clear" w:color="auto" w:fill="FFFFFF"/>
        <w:spacing w:before="0" w:beforeAutospacing="0" w:after="0" w:afterAutospacing="0"/>
        <w:jc w:val="center"/>
        <w:rPr>
          <w:rFonts w:ascii="Verdana" w:hAnsi="Verdana"/>
          <w:color w:val="000000"/>
          <w:sz w:val="18"/>
          <w:szCs w:val="18"/>
        </w:rPr>
      </w:pPr>
      <w:r>
        <w:rPr>
          <w:rFonts w:ascii="Verdana" w:hAnsi="Verdana"/>
          <w:color w:val="000000"/>
          <w:sz w:val="18"/>
          <w:szCs w:val="18"/>
        </w:rPr>
        <w:t xml:space="preserve">Institute of Economics, Management and Information Technology, Department of Accounting and </w:t>
      </w:r>
      <w:r>
        <w:rPr>
          <w:rFonts w:ascii="Verdana" w:hAnsi="Verdana"/>
          <w:color w:val="000000"/>
          <w:sz w:val="18"/>
          <w:szCs w:val="18"/>
          <w:lang w:val="en-US"/>
        </w:rPr>
        <w:t>A</w:t>
      </w:r>
      <w:r>
        <w:rPr>
          <w:rFonts w:ascii="Verdana" w:hAnsi="Verdana"/>
          <w:color w:val="000000"/>
          <w:sz w:val="18"/>
          <w:szCs w:val="18"/>
        </w:rPr>
        <w:t>uditing</w:t>
      </w:r>
    </w:p>
    <w:p w:rsidR="005C3F63" w:rsidRDefault="006536E7">
      <w:pPr>
        <w:pStyle w:val="rvps2"/>
        <w:shd w:val="clear" w:color="auto" w:fill="FFFFFF"/>
        <w:spacing w:before="0" w:beforeAutospacing="0" w:after="0" w:afterAutospacing="0"/>
        <w:jc w:val="center"/>
        <w:rPr>
          <w:rFonts w:ascii="Verdana" w:hAnsi="Verdana"/>
          <w:color w:val="000000"/>
          <w:sz w:val="18"/>
          <w:szCs w:val="18"/>
          <w:lang w:val="en-US"/>
        </w:rPr>
      </w:pPr>
      <w:r>
        <w:rPr>
          <w:rFonts w:ascii="Verdana" w:hAnsi="Verdana"/>
          <w:color w:val="000000"/>
          <w:sz w:val="18"/>
          <w:szCs w:val="18"/>
          <w:lang w:val="en-US"/>
        </w:rPr>
        <w:t>Koval St., 3, 36014</w:t>
      </w:r>
      <w:r>
        <w:rPr>
          <w:rFonts w:ascii="Verdana" w:hAnsi="Verdana"/>
          <w:color w:val="000000"/>
          <w:sz w:val="18"/>
          <w:szCs w:val="18"/>
        </w:rPr>
        <w:t xml:space="preserve"> </w:t>
      </w:r>
      <w:r>
        <w:rPr>
          <w:rFonts w:ascii="Verdana" w:hAnsi="Verdana"/>
          <w:color w:val="000000"/>
          <w:sz w:val="18"/>
          <w:szCs w:val="18"/>
          <w:lang w:val="en-US"/>
        </w:rPr>
        <w:t>Poltava, Ukraine</w:t>
      </w:r>
    </w:p>
    <w:p w:rsidR="005C3F63" w:rsidRDefault="006536E7">
      <w:pPr>
        <w:pStyle w:val="rvps2"/>
        <w:shd w:val="clear" w:color="auto" w:fill="FFFFFF"/>
        <w:spacing w:before="0" w:beforeAutospacing="0" w:after="0" w:afterAutospacing="0"/>
        <w:jc w:val="center"/>
        <w:rPr>
          <w:rFonts w:ascii="Verdana" w:hAnsi="Verdana"/>
          <w:color w:val="000000"/>
          <w:sz w:val="18"/>
          <w:szCs w:val="18"/>
          <w:lang w:val="en-US"/>
        </w:rPr>
      </w:pPr>
      <w:r>
        <w:rPr>
          <w:rFonts w:ascii="Verdana" w:hAnsi="Verdana"/>
          <w:color w:val="000000"/>
          <w:sz w:val="18"/>
          <w:szCs w:val="18"/>
          <w:lang w:val="en-US"/>
        </w:rPr>
        <w:t xml:space="preserve">E-mail: </w:t>
      </w:r>
      <w:r>
        <w:rPr>
          <w:rFonts w:ascii="Verdana" w:hAnsi="Verdana"/>
          <w:color w:val="000000"/>
          <w:sz w:val="18"/>
          <w:szCs w:val="18"/>
        </w:rPr>
        <w:t xml:space="preserve"> </w:t>
      </w:r>
      <w:r>
        <w:rPr>
          <w:rFonts w:ascii="Verdana" w:hAnsi="Verdana"/>
          <w:color w:val="000000"/>
          <w:sz w:val="18"/>
          <w:szCs w:val="18"/>
          <w:lang w:val="en-US"/>
        </w:rPr>
        <w:t>kutsenkovictoria@gmail.com</w:t>
      </w:r>
    </w:p>
    <w:p w:rsidR="005C3F63" w:rsidRDefault="006536E7">
      <w:pPr>
        <w:pStyle w:val="rvps2"/>
        <w:shd w:val="clear" w:color="auto" w:fill="FFFFFF"/>
        <w:spacing w:before="0" w:beforeAutospacing="0" w:after="0" w:afterAutospacing="0"/>
        <w:jc w:val="center"/>
        <w:rPr>
          <w:rFonts w:ascii="Verdana" w:hAnsi="Verdana"/>
          <w:color w:val="000000"/>
          <w:sz w:val="18"/>
          <w:szCs w:val="18"/>
          <w:lang w:val="en-US"/>
        </w:rPr>
      </w:pPr>
      <w:r>
        <w:rPr>
          <w:rFonts w:ascii="Verdana" w:hAnsi="Verdana"/>
          <w:color w:val="000000"/>
          <w:position w:val="6"/>
          <w:sz w:val="18"/>
          <w:szCs w:val="18"/>
          <w:vertAlign w:val="superscript"/>
          <w:lang w:val="en-US"/>
        </w:rPr>
        <w:t>2</w:t>
      </w:r>
      <w:r>
        <w:rPr>
          <w:rFonts w:ascii="Verdana" w:hAnsi="Verdana"/>
          <w:color w:val="000000"/>
          <w:sz w:val="18"/>
          <w:szCs w:val="18"/>
          <w:lang w:val="en-US"/>
        </w:rPr>
        <w:t>Poltava University of Economics and Trade</w:t>
      </w:r>
    </w:p>
    <w:p w:rsidR="005C3F63" w:rsidRDefault="006536E7">
      <w:pPr>
        <w:pStyle w:val="rvps2"/>
        <w:shd w:val="clear" w:color="auto" w:fill="FFFFFF"/>
        <w:spacing w:before="0" w:beforeAutospacing="0" w:after="0" w:afterAutospacing="0"/>
        <w:jc w:val="center"/>
        <w:rPr>
          <w:rFonts w:ascii="Verdana" w:hAnsi="Verdana"/>
          <w:color w:val="000000"/>
          <w:sz w:val="18"/>
          <w:szCs w:val="18"/>
        </w:rPr>
      </w:pPr>
      <w:r>
        <w:rPr>
          <w:rFonts w:ascii="Verdana" w:hAnsi="Verdana"/>
          <w:color w:val="000000"/>
          <w:sz w:val="18"/>
          <w:szCs w:val="18"/>
        </w:rPr>
        <w:t xml:space="preserve">Institute of Economics, Management and Information Technology, Department of Accounting and </w:t>
      </w:r>
      <w:r>
        <w:rPr>
          <w:rFonts w:ascii="Verdana" w:hAnsi="Verdana"/>
          <w:color w:val="000000"/>
          <w:sz w:val="18"/>
          <w:szCs w:val="18"/>
          <w:lang w:val="en-US"/>
        </w:rPr>
        <w:t>A</w:t>
      </w:r>
      <w:r>
        <w:rPr>
          <w:rFonts w:ascii="Verdana" w:hAnsi="Verdana"/>
          <w:color w:val="000000"/>
          <w:sz w:val="18"/>
          <w:szCs w:val="18"/>
        </w:rPr>
        <w:t>uditing</w:t>
      </w:r>
    </w:p>
    <w:p w:rsidR="005C3F63" w:rsidRDefault="006536E7">
      <w:pPr>
        <w:pStyle w:val="rvps2"/>
        <w:shd w:val="clear" w:color="auto" w:fill="FFFFFF"/>
        <w:spacing w:before="0" w:beforeAutospacing="0" w:after="0" w:afterAutospacing="0"/>
        <w:jc w:val="center"/>
        <w:rPr>
          <w:rFonts w:ascii="Verdana" w:hAnsi="Verdana"/>
          <w:color w:val="000000"/>
          <w:sz w:val="18"/>
          <w:szCs w:val="18"/>
          <w:lang w:val="en-US"/>
        </w:rPr>
      </w:pPr>
      <w:r>
        <w:rPr>
          <w:rFonts w:ascii="Verdana" w:hAnsi="Verdana"/>
          <w:color w:val="000000"/>
          <w:sz w:val="18"/>
          <w:szCs w:val="18"/>
          <w:lang w:val="en-US"/>
        </w:rPr>
        <w:t>Koval St., 3, 36014</w:t>
      </w:r>
      <w:r>
        <w:rPr>
          <w:rFonts w:ascii="Verdana" w:hAnsi="Verdana"/>
          <w:color w:val="000000"/>
          <w:sz w:val="18"/>
          <w:szCs w:val="18"/>
        </w:rPr>
        <w:t xml:space="preserve"> </w:t>
      </w:r>
      <w:r>
        <w:rPr>
          <w:rFonts w:ascii="Verdana" w:hAnsi="Verdana"/>
          <w:color w:val="000000"/>
          <w:sz w:val="18"/>
          <w:szCs w:val="18"/>
          <w:lang w:val="en-US"/>
        </w:rPr>
        <w:t>Poltava, Ukraine</w:t>
      </w:r>
    </w:p>
    <w:p w:rsidR="005C3F63" w:rsidRDefault="006536E7">
      <w:pPr>
        <w:pStyle w:val="rvps2"/>
        <w:shd w:val="clear" w:color="auto" w:fill="FFFFFF"/>
        <w:spacing w:before="0" w:beforeAutospacing="0" w:after="0" w:afterAutospacing="0"/>
        <w:jc w:val="center"/>
        <w:rPr>
          <w:rFonts w:ascii="Verdana" w:hAnsi="Verdana"/>
          <w:color w:val="000000"/>
          <w:sz w:val="18"/>
          <w:szCs w:val="18"/>
          <w:lang w:val="en-US"/>
        </w:rPr>
      </w:pPr>
      <w:r>
        <w:rPr>
          <w:rFonts w:ascii="Verdana" w:hAnsi="Verdana"/>
          <w:color w:val="000000"/>
          <w:sz w:val="18"/>
          <w:szCs w:val="18"/>
          <w:lang w:val="en-US"/>
        </w:rPr>
        <w:t xml:space="preserve">E-mail: </w:t>
      </w:r>
      <w:r>
        <w:rPr>
          <w:rFonts w:ascii="Verdana" w:hAnsi="Verdana"/>
          <w:sz w:val="18"/>
          <w:szCs w:val="18"/>
        </w:rPr>
        <w:t>karpenko030406@gmail.com</w:t>
      </w:r>
    </w:p>
    <w:p w:rsidR="005C3F63" w:rsidRDefault="006536E7">
      <w:pPr>
        <w:pStyle w:val="rvps2"/>
        <w:shd w:val="clear" w:color="auto" w:fill="FFFFFF"/>
        <w:spacing w:before="0" w:beforeAutospacing="0" w:after="0" w:afterAutospacing="0"/>
        <w:jc w:val="center"/>
        <w:rPr>
          <w:rFonts w:ascii="Verdana" w:hAnsi="Verdana"/>
          <w:color w:val="000000"/>
          <w:sz w:val="18"/>
          <w:szCs w:val="18"/>
          <w:lang w:val="en-US"/>
        </w:rPr>
      </w:pPr>
      <w:r>
        <w:rPr>
          <w:rFonts w:ascii="Verdana" w:hAnsi="Verdana"/>
          <w:color w:val="000000"/>
          <w:sz w:val="18"/>
          <w:szCs w:val="18"/>
          <w:vertAlign w:val="superscript"/>
          <w:lang w:val="en-US"/>
        </w:rPr>
        <w:t>3</w:t>
      </w:r>
      <w:r>
        <w:rPr>
          <w:rFonts w:ascii="Verdana" w:hAnsi="Verdana"/>
          <w:color w:val="000000"/>
          <w:sz w:val="18"/>
          <w:szCs w:val="18"/>
          <w:lang w:val="en-US"/>
        </w:rPr>
        <w:t>University of Economics Prague,</w:t>
      </w:r>
    </w:p>
    <w:p w:rsidR="005C3F63" w:rsidRDefault="006536E7">
      <w:pPr>
        <w:pStyle w:val="rvps2"/>
        <w:shd w:val="clear" w:color="auto" w:fill="FFFFFF"/>
        <w:spacing w:before="0" w:beforeAutospacing="0" w:after="0" w:afterAutospacing="0"/>
        <w:jc w:val="center"/>
        <w:rPr>
          <w:rFonts w:ascii="Verdana" w:hAnsi="Verdana"/>
          <w:color w:val="000000"/>
          <w:sz w:val="18"/>
          <w:szCs w:val="18"/>
          <w:lang w:val="en-US"/>
        </w:rPr>
      </w:pPr>
      <w:r>
        <w:rPr>
          <w:rFonts w:ascii="Verdana" w:hAnsi="Verdana"/>
          <w:color w:val="000000"/>
          <w:sz w:val="18"/>
          <w:szCs w:val="18"/>
          <w:lang w:val="en-US"/>
        </w:rPr>
        <w:t xml:space="preserve">Faculty of Finance and Accounting, Department of Financial Accounting and Auditing, </w:t>
      </w:r>
    </w:p>
    <w:p w:rsidR="005C3F63" w:rsidRDefault="006536E7">
      <w:pPr>
        <w:pStyle w:val="rvps2"/>
        <w:shd w:val="clear" w:color="auto" w:fill="FFFFFF"/>
        <w:spacing w:before="0" w:beforeAutospacing="0" w:after="0" w:afterAutospacing="0"/>
        <w:jc w:val="center"/>
        <w:rPr>
          <w:rFonts w:ascii="Verdana" w:hAnsi="Verdana"/>
          <w:color w:val="000000"/>
          <w:sz w:val="18"/>
          <w:szCs w:val="18"/>
          <w:lang w:val="en-US"/>
        </w:rPr>
      </w:pPr>
      <w:r>
        <w:rPr>
          <w:rFonts w:ascii="Verdana" w:hAnsi="Verdana"/>
          <w:color w:val="000000"/>
          <w:sz w:val="18"/>
          <w:szCs w:val="18"/>
          <w:lang w:val="en-US"/>
        </w:rPr>
        <w:t>Winston Churchill Sq 1938/4</w:t>
      </w:r>
    </w:p>
    <w:p w:rsidR="005C3F63" w:rsidRDefault="006536E7">
      <w:pPr>
        <w:pStyle w:val="rvps2"/>
        <w:shd w:val="clear" w:color="auto" w:fill="FFFFFF"/>
        <w:spacing w:before="0" w:beforeAutospacing="0" w:after="0" w:afterAutospacing="0"/>
        <w:jc w:val="center"/>
        <w:rPr>
          <w:rFonts w:ascii="Verdana" w:hAnsi="Verdana"/>
          <w:color w:val="000000"/>
          <w:sz w:val="18"/>
          <w:szCs w:val="18"/>
          <w:lang w:val="en-US"/>
        </w:rPr>
      </w:pPr>
      <w:r>
        <w:rPr>
          <w:rFonts w:ascii="Verdana" w:hAnsi="Verdana"/>
          <w:color w:val="000000"/>
          <w:sz w:val="18"/>
          <w:szCs w:val="18"/>
          <w:lang w:val="en-US"/>
        </w:rPr>
        <w:t>13067 Prague</w:t>
      </w:r>
    </w:p>
    <w:p w:rsidR="005C3F63" w:rsidRDefault="006536E7">
      <w:pPr>
        <w:pStyle w:val="rvps2"/>
        <w:shd w:val="clear" w:color="auto" w:fill="FFFFFF"/>
        <w:spacing w:before="0" w:beforeAutospacing="0" w:after="0" w:afterAutospacing="0"/>
        <w:jc w:val="center"/>
        <w:rPr>
          <w:rFonts w:ascii="Verdana" w:hAnsi="Verdana"/>
          <w:color w:val="000000"/>
          <w:sz w:val="18"/>
          <w:szCs w:val="18"/>
          <w:lang w:val="en-US"/>
        </w:rPr>
      </w:pPr>
      <w:r>
        <w:rPr>
          <w:rFonts w:ascii="Verdana" w:hAnsi="Verdana"/>
          <w:color w:val="000000"/>
          <w:sz w:val="18"/>
          <w:szCs w:val="18"/>
          <w:lang w:val="en-US"/>
        </w:rPr>
        <w:t xml:space="preserve">E-mail: </w:t>
      </w:r>
      <w:r>
        <w:rPr>
          <w:rFonts w:ascii="Verdana" w:hAnsi="Verdana"/>
          <w:sz w:val="18"/>
          <w:szCs w:val="18"/>
        </w:rPr>
        <w:t>hora@vse.c</w:t>
      </w:r>
      <w:r>
        <w:rPr>
          <w:rFonts w:ascii="Verdana" w:hAnsi="Verdana"/>
          <w:color w:val="000000"/>
          <w:sz w:val="18"/>
          <w:szCs w:val="18"/>
          <w:lang w:val="en-US"/>
        </w:rPr>
        <w:t>z</w:t>
      </w:r>
    </w:p>
    <w:p w:rsidR="005C3F63" w:rsidRDefault="005C3F63">
      <w:pPr>
        <w:rPr>
          <w:rFonts w:ascii="Verdana" w:hAnsi="Verdana"/>
          <w:lang w:val="en-GB"/>
        </w:rPr>
      </w:pPr>
    </w:p>
    <w:p w:rsidR="005C3F63" w:rsidRDefault="006536E7">
      <w:pPr>
        <w:spacing w:after="120"/>
        <w:rPr>
          <w:rFonts w:ascii="Verdana" w:hAnsi="Verdana"/>
          <w:i/>
          <w:sz w:val="20"/>
          <w:szCs w:val="20"/>
          <w:lang w:val="sk-SK"/>
        </w:rPr>
      </w:pPr>
      <w:r>
        <w:rPr>
          <w:rFonts w:ascii="Verdana" w:hAnsi="Verdana"/>
          <w:b/>
          <w:i/>
          <w:sz w:val="20"/>
          <w:szCs w:val="20"/>
          <w:lang w:val="sk-SK"/>
        </w:rPr>
        <w:t xml:space="preserve">Abstract: </w:t>
      </w:r>
      <w:r>
        <w:rPr>
          <w:rFonts w:ascii="Verdana" w:hAnsi="Verdana"/>
          <w:i/>
          <w:sz w:val="20"/>
          <w:szCs w:val="20"/>
          <w:lang w:val="sk-SK"/>
        </w:rPr>
        <w:t>The article is devoted to the issues connected with the development of united territorial communities (UTC)  and decentralization in Poltava region.</w:t>
      </w:r>
      <w:r>
        <w:rPr>
          <w:rFonts w:ascii="Verdana" w:hAnsi="Verdana"/>
          <w:i/>
          <w:sz w:val="20"/>
          <w:szCs w:val="20"/>
        </w:rPr>
        <w:t xml:space="preserve"> It is proven that the effectiveness of territorial communities is increasing through their consolidation to a certain extent. </w:t>
      </w:r>
      <w:r>
        <w:rPr>
          <w:rFonts w:ascii="Verdana" w:hAnsi="Verdana"/>
          <w:i/>
          <w:sz w:val="20"/>
          <w:szCs w:val="20"/>
          <w:lang w:val="sk-SK"/>
        </w:rPr>
        <w:t>The evaluation of the potential of UTCs in Poltava region to decentralize shows that the effectiveness of the implementation of communities’ powers increased in all comunities.</w:t>
      </w:r>
      <w:r>
        <w:rPr>
          <w:rFonts w:ascii="Verdana" w:hAnsi="Verdana"/>
          <w:i/>
          <w:sz w:val="20"/>
          <w:szCs w:val="20"/>
        </w:rPr>
        <w:t xml:space="preserve"> </w:t>
      </w:r>
      <w:r>
        <w:rPr>
          <w:rFonts w:ascii="Verdana" w:hAnsi="Verdana"/>
          <w:i/>
          <w:sz w:val="20"/>
          <w:szCs w:val="20"/>
          <w:lang w:val="sk-SK"/>
        </w:rPr>
        <w:t>The main reasons hindering the creation of UTCs and inhibiting decentralization of power in the country are identified.</w:t>
      </w:r>
    </w:p>
    <w:p w:rsidR="005C3F63" w:rsidRDefault="006536E7">
      <w:pPr>
        <w:spacing w:after="120"/>
        <w:rPr>
          <w:rFonts w:ascii="Verdana" w:hAnsi="Verdana"/>
          <w:i/>
          <w:sz w:val="20"/>
          <w:szCs w:val="20"/>
          <w:lang w:val="sk-SK"/>
        </w:rPr>
      </w:pPr>
      <w:r>
        <w:rPr>
          <w:rFonts w:ascii="Verdana" w:hAnsi="Verdana"/>
          <w:b/>
          <w:i/>
          <w:sz w:val="20"/>
          <w:szCs w:val="20"/>
          <w:lang w:val="sk-SK"/>
        </w:rPr>
        <w:t>Keywords:</w:t>
      </w:r>
      <w:r>
        <w:rPr>
          <w:rFonts w:ascii="Verdana" w:hAnsi="Verdana"/>
          <w:i/>
          <w:sz w:val="20"/>
          <w:szCs w:val="20"/>
          <w:lang w:val="sk-SK"/>
        </w:rPr>
        <w:t xml:space="preserve"> decentralization, community, united territorial community, local self-governmen</w:t>
      </w:r>
    </w:p>
    <w:p w:rsidR="005C3F63" w:rsidRDefault="006536E7">
      <w:pPr>
        <w:pStyle w:val="04-Anotacijostekstas"/>
        <w:spacing w:before="0" w:after="120"/>
        <w:ind w:left="0" w:right="0"/>
        <w:jc w:val="left"/>
        <w:rPr>
          <w:rFonts w:ascii="Verdana" w:hAnsi="Verdana"/>
          <w:i/>
          <w:lang w:val="sk-SK"/>
        </w:rPr>
      </w:pPr>
      <w:r>
        <w:rPr>
          <w:rFonts w:ascii="Verdana" w:hAnsi="Verdana"/>
          <w:i/>
          <w:lang w:val="sk-SK"/>
        </w:rPr>
        <w:t>JEL codes:</w:t>
      </w:r>
      <w:r>
        <w:t xml:space="preserve"> </w:t>
      </w:r>
      <w:r>
        <w:rPr>
          <w:rFonts w:ascii="Verdana" w:hAnsi="Verdana"/>
          <w:i/>
          <w:lang w:val="sk-SK"/>
        </w:rPr>
        <w:t>C12, C23, H70, O18</w:t>
      </w:r>
    </w:p>
    <w:p w:rsidR="005C3F63" w:rsidRDefault="006536E7">
      <w:pPr>
        <w:keepNext/>
        <w:spacing w:before="240" w:after="120"/>
        <w:outlineLvl w:val="0"/>
        <w:rPr>
          <w:rFonts w:ascii="Verdana" w:hAnsi="Verdana"/>
          <w:b/>
          <w:bCs/>
          <w:kern w:val="32"/>
          <w:lang w:val="cs-CZ" w:eastAsia="cs-CZ"/>
        </w:rPr>
      </w:pPr>
      <w:r>
        <w:rPr>
          <w:rFonts w:ascii="Verdana" w:hAnsi="Verdana" w:cs="Arial"/>
          <w:b/>
          <w:kern w:val="32"/>
          <w:szCs w:val="32"/>
          <w:lang w:val="sk-SK" w:eastAsia="cs-CZ"/>
        </w:rPr>
        <w:t xml:space="preserve">1 </w:t>
      </w:r>
      <w:r>
        <w:rPr>
          <w:rFonts w:ascii="Verdana" w:hAnsi="Verdana" w:cs="Arial"/>
          <w:b/>
          <w:kern w:val="32"/>
          <w:szCs w:val="32"/>
          <w:lang w:val="cs-CZ" w:eastAsia="cs-CZ"/>
        </w:rPr>
        <w:t>Introduction</w:t>
      </w:r>
      <w:r>
        <w:rPr>
          <w:rFonts w:ascii="Verdana" w:hAnsi="Verdana" w:cs="Arial"/>
          <w:kern w:val="32"/>
          <w:szCs w:val="32"/>
          <w:lang w:val="cs-CZ" w:eastAsia="cs-CZ"/>
        </w:rPr>
        <w:t xml:space="preserve"> </w:t>
      </w:r>
    </w:p>
    <w:p w:rsidR="005C3F63" w:rsidRDefault="006536E7">
      <w:pPr>
        <w:pStyle w:val="rvps2"/>
        <w:shd w:val="clear" w:color="auto" w:fill="FFFFFF"/>
        <w:spacing w:before="0" w:beforeAutospacing="0" w:after="120" w:afterAutospacing="0"/>
        <w:jc w:val="both"/>
        <w:rPr>
          <w:rFonts w:ascii="Verdana" w:eastAsia="Times New Roman" w:hAnsi="Verdana"/>
          <w:sz w:val="20"/>
          <w:szCs w:val="20"/>
          <w:lang w:val="cs-CZ" w:eastAsia="en-US" w:bidi="en-US"/>
        </w:rPr>
      </w:pPr>
      <w:r>
        <w:rPr>
          <w:rFonts w:ascii="Verdana" w:eastAsia="Times New Roman" w:hAnsi="Verdana"/>
          <w:sz w:val="20"/>
          <w:szCs w:val="20"/>
          <w:lang w:val="cs-CZ" w:eastAsia="en-US" w:bidi="en-US"/>
        </w:rPr>
        <w:t xml:space="preserve">These days, local self-governments in Ukraine do not ensure the creation and maintenance of a favorable living environment which is essential for the comprehensive development of citizens, their self-fulfillment, protection of their rights, and provision of high-quality and affordable administrative, social and other services. The system of local self-government in Ukraine does not meet the needs of society. Improvement of local self-governments should be carried out by changing the system of territorial organization of power in order to improve the management of social development in a particular territory. </w:t>
      </w:r>
    </w:p>
    <w:p w:rsidR="005C3F63" w:rsidRDefault="006536E7">
      <w:pPr>
        <w:pStyle w:val="rvps2"/>
        <w:shd w:val="clear" w:color="auto" w:fill="FFFFFF"/>
        <w:spacing w:before="0" w:beforeAutospacing="0" w:after="120" w:afterAutospacing="0"/>
        <w:jc w:val="both"/>
        <w:rPr>
          <w:rFonts w:ascii="Verdana" w:eastAsia="Times New Roman" w:hAnsi="Verdana"/>
          <w:sz w:val="20"/>
          <w:szCs w:val="20"/>
          <w:lang w:val="cs-CZ" w:eastAsia="en-US" w:bidi="en-US"/>
        </w:rPr>
      </w:pPr>
      <w:r>
        <w:rPr>
          <w:rFonts w:ascii="Verdana" w:eastAsia="Times New Roman" w:hAnsi="Verdana"/>
          <w:sz w:val="20"/>
          <w:szCs w:val="20"/>
          <w:lang w:val="cs-CZ" w:eastAsia="en-US" w:bidi="en-US"/>
        </w:rPr>
        <w:t>The formation of local self-governmental bodies that are empowered to make decisions, have broad autonomy and resources to carry out the tasks assigned to them is important for the successful management of territories</w:t>
      </w:r>
      <w:r>
        <w:rPr>
          <w:rFonts w:ascii="Verdana" w:eastAsia="Times New Roman" w:hAnsi="Verdana"/>
          <w:sz w:val="20"/>
          <w:szCs w:val="20"/>
          <w:lang w:val="en-US" w:eastAsia="en-US" w:bidi="en-US"/>
        </w:rPr>
        <w:t xml:space="preserve"> (</w:t>
      </w:r>
      <w:r>
        <w:rPr>
          <w:rFonts w:ascii="Verdana" w:hAnsi="Verdana"/>
          <w:sz w:val="20"/>
          <w:szCs w:val="20"/>
          <w:lang w:val="cs-CZ"/>
        </w:rPr>
        <w:t>Romans, W., Ulasiuk, I., &amp; Petrenko Tomsen, A. (2018</w:t>
      </w:r>
      <w:r>
        <w:rPr>
          <w:rFonts w:ascii="Verdana" w:eastAsia="Times New Roman" w:hAnsi="Verdana"/>
          <w:sz w:val="20"/>
          <w:szCs w:val="20"/>
          <w:lang w:val="en-US" w:eastAsia="en-US" w:bidi="en-US"/>
        </w:rPr>
        <w:t>)</w:t>
      </w:r>
      <w:r>
        <w:rPr>
          <w:rFonts w:ascii="Verdana" w:eastAsia="Times New Roman" w:hAnsi="Verdana"/>
          <w:sz w:val="20"/>
          <w:szCs w:val="20"/>
          <w:lang w:val="cs-CZ" w:eastAsia="en-US" w:bidi="en-US"/>
        </w:rPr>
        <w:t>.</w:t>
      </w:r>
    </w:p>
    <w:p w:rsidR="005C3F63" w:rsidRDefault="006536E7">
      <w:pPr>
        <w:pStyle w:val="rvps2"/>
        <w:shd w:val="clear" w:color="auto" w:fill="FFFFFF"/>
        <w:spacing w:before="0" w:beforeAutospacing="0" w:after="120" w:afterAutospacing="0"/>
        <w:jc w:val="both"/>
        <w:rPr>
          <w:rFonts w:ascii="Verdana" w:eastAsia="Times New Roman" w:hAnsi="Verdana"/>
          <w:sz w:val="20"/>
          <w:szCs w:val="20"/>
          <w:lang w:val="cs-CZ" w:eastAsia="en-US" w:bidi="en-US"/>
        </w:rPr>
      </w:pPr>
      <w:r>
        <w:rPr>
          <w:rFonts w:ascii="Verdana" w:eastAsia="Times New Roman" w:hAnsi="Verdana"/>
          <w:sz w:val="20"/>
          <w:szCs w:val="20"/>
          <w:lang w:val="cs-CZ" w:eastAsia="en-US" w:bidi="en-US"/>
        </w:rPr>
        <w:t>One of the most detailed researches in decentralization was made by J. Wedel. In his opinion, decentralization is the transfer of power to public officials and bodies representing the central government, and other bodies that are not in the hierarchical subordination of the latter, mainly elected by the population (Vedel, Zh, (1973).</w:t>
      </w:r>
    </w:p>
    <w:p w:rsidR="005C3F63" w:rsidRDefault="006536E7">
      <w:pPr>
        <w:pStyle w:val="rvps2"/>
        <w:shd w:val="clear" w:color="auto" w:fill="FFFFFF"/>
        <w:spacing w:before="0" w:beforeAutospacing="0" w:after="120" w:afterAutospacing="0"/>
        <w:jc w:val="both"/>
        <w:rPr>
          <w:rFonts w:ascii="Verdana" w:eastAsia="Times New Roman" w:hAnsi="Verdana"/>
          <w:sz w:val="20"/>
          <w:szCs w:val="20"/>
          <w:lang w:val="cs-CZ" w:eastAsia="en-US" w:bidi="en-US"/>
        </w:rPr>
      </w:pPr>
      <w:r>
        <w:rPr>
          <w:rFonts w:ascii="Verdana" w:eastAsia="Times New Roman" w:hAnsi="Verdana"/>
          <w:sz w:val="20"/>
          <w:szCs w:val="20"/>
          <w:lang w:val="cs-CZ" w:eastAsia="en-US" w:bidi="en-US"/>
        </w:rPr>
        <w:t xml:space="preserve">The analysis of scientific publications on this issue showed that the most effective reforms on decentralization of public power took place in the UK, Spain, Germany and France. Reforms in France were related to the expansion of subnational autonomy, the reduction of central government’s functions, the weakening of prefects’ role, and the creation of an autonomous regional level. French public policies regarding the organization of local self-government are implemented in two main directions: </w:t>
      </w:r>
      <w:r>
        <w:rPr>
          <w:rFonts w:ascii="Verdana" w:eastAsia="Times New Roman" w:hAnsi="Verdana"/>
          <w:sz w:val="20"/>
          <w:szCs w:val="20"/>
          <w:lang w:val="cs-CZ" w:eastAsia="en-US" w:bidi="en-US"/>
        </w:rPr>
        <w:lastRenderedPageBreak/>
        <w:t>deconcentration which is greater delegation of state administrative functions locally, as well as deconcentralization – a partial transfer of powers from the state to local governments</w:t>
      </w:r>
      <w:r>
        <w:rPr>
          <w:rFonts w:ascii="Verdana" w:eastAsia="Times New Roman" w:hAnsi="Verdana"/>
          <w:sz w:val="20"/>
          <w:szCs w:val="20"/>
          <w:lang w:val="en-US" w:eastAsia="en-US" w:bidi="en-US"/>
        </w:rPr>
        <w:t xml:space="preserve"> </w:t>
      </w:r>
      <w:r>
        <w:rPr>
          <w:rFonts w:ascii="Verdana" w:eastAsia="Times New Roman" w:hAnsi="Verdana"/>
          <w:sz w:val="20"/>
          <w:szCs w:val="20"/>
          <w:lang w:val="cs-CZ" w:eastAsia="en-US" w:bidi="en-US"/>
        </w:rPr>
        <w:t>(Decentralization in Ukraine, 2015).</w:t>
      </w:r>
    </w:p>
    <w:p w:rsidR="005C3F63" w:rsidRDefault="006536E7">
      <w:pPr>
        <w:pStyle w:val="rvps2"/>
        <w:shd w:val="clear" w:color="auto" w:fill="FFFFFF"/>
        <w:spacing w:before="0" w:beforeAutospacing="0" w:after="120" w:afterAutospacing="0"/>
        <w:jc w:val="both"/>
        <w:rPr>
          <w:rFonts w:ascii="Verdana" w:eastAsia="Times New Roman" w:hAnsi="Verdana"/>
          <w:sz w:val="20"/>
          <w:szCs w:val="20"/>
          <w:lang w:val="cs-CZ" w:eastAsia="en-US" w:bidi="en-US"/>
        </w:rPr>
      </w:pPr>
      <w:r>
        <w:rPr>
          <w:rFonts w:ascii="Verdana" w:eastAsia="Times New Roman" w:hAnsi="Verdana"/>
          <w:sz w:val="20"/>
          <w:szCs w:val="20"/>
          <w:lang w:val="cs-CZ" w:eastAsia="en-US" w:bidi="en-US"/>
        </w:rPr>
        <w:t>In the UK, decentralization of power has helped modernize local government by introducing elements of significant differentiation between Scotland, Wales and England. Seventeen autonomous districts of Spain adopted their own Charter of Autonomy, thus making the provisions of the Constitution of Spain in 1978. During the reorganization of municipalities in Germany, their number decreased from 24,000 to 8,500 (Zabeyvorota T., 2017).</w:t>
      </w:r>
    </w:p>
    <w:p w:rsidR="005C3F63" w:rsidRDefault="006536E7">
      <w:pPr>
        <w:pStyle w:val="rvps2"/>
        <w:shd w:val="clear" w:color="auto" w:fill="FFFFFF"/>
        <w:spacing w:before="0" w:beforeAutospacing="0" w:after="120" w:afterAutospacing="0"/>
        <w:jc w:val="both"/>
        <w:rPr>
          <w:rFonts w:ascii="Verdana" w:eastAsia="Times New Roman" w:hAnsi="Verdana"/>
          <w:sz w:val="20"/>
          <w:szCs w:val="20"/>
          <w:lang w:val="cs-CZ" w:eastAsia="en-US" w:bidi="en-US"/>
        </w:rPr>
      </w:pPr>
      <w:r>
        <w:rPr>
          <w:rFonts w:ascii="Verdana" w:eastAsia="Times New Roman" w:hAnsi="Verdana"/>
          <w:sz w:val="20"/>
          <w:szCs w:val="20"/>
          <w:lang w:val="cs-CZ" w:eastAsia="en-US" w:bidi="en-US"/>
        </w:rPr>
        <w:t>A</w:t>
      </w:r>
      <w:r>
        <w:rPr>
          <w:rFonts w:ascii="Verdana" w:eastAsia="Times New Roman" w:hAnsi="Verdana"/>
          <w:sz w:val="20"/>
          <w:szCs w:val="20"/>
          <w:lang w:val="en-US" w:eastAsia="en-US" w:bidi="en-US"/>
        </w:rPr>
        <w:t>.</w:t>
      </w:r>
      <w:r>
        <w:rPr>
          <w:rFonts w:ascii="Verdana" w:eastAsia="Times New Roman" w:hAnsi="Verdana"/>
          <w:sz w:val="20"/>
          <w:szCs w:val="20"/>
          <w:lang w:val="cs-CZ" w:eastAsia="en-US" w:bidi="en-US"/>
        </w:rPr>
        <w:t xml:space="preserve"> Pike, D</w:t>
      </w:r>
      <w:r>
        <w:rPr>
          <w:rFonts w:ascii="Verdana" w:eastAsia="Times New Roman" w:hAnsi="Verdana"/>
          <w:sz w:val="20"/>
          <w:szCs w:val="20"/>
          <w:lang w:val="en-US" w:eastAsia="en-US" w:bidi="en-US"/>
        </w:rPr>
        <w:t>.</w:t>
      </w:r>
      <w:r>
        <w:rPr>
          <w:rFonts w:ascii="Verdana" w:eastAsia="Times New Roman" w:hAnsi="Verdana"/>
          <w:sz w:val="20"/>
          <w:szCs w:val="20"/>
          <w:lang w:val="cs-CZ" w:eastAsia="en-US" w:bidi="en-US"/>
        </w:rPr>
        <w:t xml:space="preserve"> Marlow, A. McCarthy, P. O’Brien, J. Tomaney (2015) examines the roles of local institutions in economic development at the local level</w:t>
      </w:r>
      <w:r>
        <w:rPr>
          <w:rFonts w:ascii="Verdana" w:eastAsia="Times New Roman" w:hAnsi="Verdana"/>
          <w:sz w:val="20"/>
          <w:szCs w:val="20"/>
          <w:lang w:eastAsia="en-US" w:bidi="en-US"/>
        </w:rPr>
        <w:t xml:space="preserve"> </w:t>
      </w:r>
      <w:r>
        <w:rPr>
          <w:rFonts w:ascii="Verdana" w:eastAsia="Times New Roman" w:hAnsi="Verdana"/>
          <w:sz w:val="20"/>
          <w:szCs w:val="20"/>
          <w:lang w:val="en-US" w:eastAsia="en-US" w:bidi="en-US"/>
        </w:rPr>
        <w:t xml:space="preserve">in England </w:t>
      </w:r>
      <w:r>
        <w:rPr>
          <w:rFonts w:ascii="Verdana" w:eastAsia="Times New Roman" w:hAnsi="Verdana"/>
          <w:sz w:val="20"/>
          <w:szCs w:val="20"/>
          <w:lang w:val="cs-CZ" w:eastAsia="en-US" w:bidi="en-US"/>
        </w:rPr>
        <w:t>and demonstrates: how local economic development institutions work within multi-agent and multi-scalar institutional settings.</w:t>
      </w:r>
    </w:p>
    <w:p w:rsidR="005C3F63" w:rsidRDefault="006536E7">
      <w:pPr>
        <w:pStyle w:val="rvps2"/>
        <w:shd w:val="clear" w:color="auto" w:fill="FFFFFF"/>
        <w:spacing w:before="0" w:beforeAutospacing="0" w:after="120" w:afterAutospacing="0"/>
        <w:jc w:val="both"/>
        <w:rPr>
          <w:rFonts w:ascii="Verdana" w:eastAsia="Times New Roman" w:hAnsi="Verdana"/>
          <w:sz w:val="20"/>
          <w:szCs w:val="20"/>
          <w:lang w:val="cs-CZ" w:eastAsia="en-US" w:bidi="en-US"/>
        </w:rPr>
      </w:pPr>
      <w:r>
        <w:rPr>
          <w:rFonts w:ascii="Verdana" w:eastAsia="Times New Roman" w:hAnsi="Verdana"/>
          <w:sz w:val="20"/>
          <w:szCs w:val="20"/>
          <w:lang w:val="cs-CZ" w:eastAsia="en-US" w:bidi="en-US"/>
        </w:rPr>
        <w:t>Actual trends in labor and capital movements between the European Union and Eastern European countries were considered by Procházka D., Procházková Ilinitchi Cr. (2011).</w:t>
      </w:r>
    </w:p>
    <w:p w:rsidR="005C3F63" w:rsidRDefault="006536E7">
      <w:pPr>
        <w:pStyle w:val="rvps2"/>
        <w:shd w:val="clear" w:color="auto" w:fill="FFFFFF"/>
        <w:spacing w:before="0" w:beforeAutospacing="0" w:after="120" w:afterAutospacing="0"/>
        <w:jc w:val="both"/>
        <w:rPr>
          <w:rFonts w:ascii="Verdana" w:eastAsia="Times New Roman" w:hAnsi="Verdana"/>
          <w:sz w:val="20"/>
          <w:szCs w:val="20"/>
          <w:lang w:val="cs-CZ" w:eastAsia="en-US" w:bidi="en-US"/>
        </w:rPr>
      </w:pPr>
      <w:r>
        <w:rPr>
          <w:rFonts w:ascii="Verdana" w:eastAsia="Times New Roman" w:hAnsi="Verdana"/>
          <w:sz w:val="20"/>
          <w:szCs w:val="20"/>
          <w:lang w:val="cs-CZ" w:eastAsia="en-US" w:bidi="en-US"/>
        </w:rPr>
        <w:t>Since 2014, the process of decentralization of power has begun in Ukraine. In Poltava region, decentralization began in 2015, with the approval of a Long-term plan for the formation of territorial communities of Poltava region.</w:t>
      </w:r>
    </w:p>
    <w:p w:rsidR="005C3F63" w:rsidRDefault="006536E7">
      <w:pPr>
        <w:pStyle w:val="rvps2"/>
        <w:shd w:val="clear" w:color="auto" w:fill="FFFFFF"/>
        <w:spacing w:before="0" w:beforeAutospacing="0" w:after="120" w:afterAutospacing="0"/>
        <w:jc w:val="both"/>
        <w:rPr>
          <w:rFonts w:ascii="Verdana" w:eastAsia="Times New Roman" w:hAnsi="Verdana"/>
          <w:sz w:val="20"/>
          <w:szCs w:val="20"/>
          <w:lang w:val="cs-CZ" w:eastAsia="en-US" w:bidi="en-US"/>
        </w:rPr>
      </w:pPr>
      <w:r>
        <w:rPr>
          <w:rFonts w:ascii="Verdana" w:eastAsia="Times New Roman" w:hAnsi="Verdana"/>
          <w:sz w:val="20"/>
          <w:szCs w:val="20"/>
          <w:lang w:val="cs-CZ" w:eastAsia="en-US" w:bidi="en-US"/>
        </w:rPr>
        <w:t xml:space="preserve">As of the end of 2019, the area of created UTCs accounted for only 30% of the total area of Poltava region. </w:t>
      </w:r>
      <w:r>
        <w:rPr>
          <w:rFonts w:ascii="Verdana" w:eastAsia="Times New Roman" w:hAnsi="Verdana"/>
          <w:sz w:val="20"/>
          <w:szCs w:val="20"/>
          <w:lang w:eastAsia="en-US" w:bidi="en-US"/>
        </w:rPr>
        <w:t>Т</w:t>
      </w:r>
      <w:r>
        <w:rPr>
          <w:rFonts w:ascii="Verdana" w:eastAsia="Times New Roman" w:hAnsi="Verdana"/>
          <w:sz w:val="20"/>
          <w:szCs w:val="20"/>
          <w:lang w:val="cs-CZ" w:eastAsia="en-US" w:bidi="en-US"/>
        </w:rPr>
        <w:t>hat is</w:t>
      </w:r>
      <w:r>
        <w:rPr>
          <w:rFonts w:ascii="Verdana" w:eastAsia="Times New Roman" w:hAnsi="Verdana"/>
          <w:sz w:val="20"/>
          <w:szCs w:val="20"/>
          <w:lang w:eastAsia="en-US" w:bidi="en-US"/>
        </w:rPr>
        <w:t xml:space="preserve"> </w:t>
      </w:r>
      <w:bookmarkStart w:id="499" w:name="_Hlk27923018"/>
      <w:r>
        <w:rPr>
          <w:rFonts w:ascii="Verdana" w:eastAsia="Times New Roman" w:hAnsi="Verdana"/>
          <w:sz w:val="20"/>
          <w:szCs w:val="20"/>
          <w:lang w:val="cs-CZ" w:eastAsia="en-US" w:bidi="en-US"/>
        </w:rPr>
        <w:t>Poltava region lags far behind in the overall ranking of regions on the formation of United territorial communities</w:t>
      </w:r>
      <w:bookmarkEnd w:id="499"/>
      <w:r>
        <w:rPr>
          <w:rFonts w:ascii="Verdana" w:eastAsia="Times New Roman" w:hAnsi="Verdana"/>
          <w:sz w:val="20"/>
          <w:szCs w:val="20"/>
          <w:lang w:val="cs-CZ" w:eastAsia="en-US" w:bidi="en-US"/>
        </w:rPr>
        <w:t>.</w:t>
      </w:r>
    </w:p>
    <w:p w:rsidR="005C3F63" w:rsidRDefault="006536E7">
      <w:pPr>
        <w:spacing w:after="120"/>
        <w:rPr>
          <w:rFonts w:ascii="Verdana" w:hAnsi="Verdana"/>
          <w:sz w:val="20"/>
          <w:szCs w:val="20"/>
          <w:lang w:val="cs-CZ"/>
        </w:rPr>
      </w:pPr>
      <w:r>
        <w:rPr>
          <w:rFonts w:ascii="Verdana" w:hAnsi="Verdana"/>
          <w:sz w:val="20"/>
          <w:szCs w:val="20"/>
          <w:lang w:val="cs-CZ"/>
        </w:rPr>
        <w:t>The aim of the study is to assess the real state of decentralization and the creation of united territorial communities in Poltava region and to identify the main reasons that prevent the creation of UTCs and hinder the decentralization of power in the country.</w:t>
      </w:r>
    </w:p>
    <w:p w:rsidR="005C3F63" w:rsidRDefault="006536E7">
      <w:pPr>
        <w:spacing w:before="240" w:after="120"/>
        <w:rPr>
          <w:rFonts w:ascii="Verdana" w:hAnsi="Verdana" w:cs="Arial"/>
          <w:bCs/>
          <w:kern w:val="32"/>
          <w:sz w:val="18"/>
          <w:szCs w:val="18"/>
          <w:lang w:val="cs-CZ" w:eastAsia="cs-CZ"/>
        </w:rPr>
      </w:pPr>
      <w:r>
        <w:rPr>
          <w:rFonts w:ascii="Verdana" w:hAnsi="Verdana" w:cs="Arial"/>
          <w:b/>
          <w:bCs/>
          <w:kern w:val="32"/>
          <w:szCs w:val="32"/>
          <w:lang w:val="cs-CZ" w:eastAsia="cs-CZ"/>
        </w:rPr>
        <w:t>2 Methodology and Data</w:t>
      </w:r>
      <w:r>
        <w:rPr>
          <w:rFonts w:ascii="Verdana" w:hAnsi="Verdana"/>
          <w:b/>
          <w:lang w:val="cs-CZ"/>
        </w:rPr>
        <w:t xml:space="preserve"> </w:t>
      </w:r>
    </w:p>
    <w:p w:rsidR="005C3F63" w:rsidRDefault="006536E7">
      <w:pPr>
        <w:spacing w:after="120"/>
        <w:rPr>
          <w:rFonts w:ascii="Verdana" w:hAnsi="Verdana"/>
          <w:sz w:val="20"/>
          <w:szCs w:val="20"/>
          <w:lang w:val="cs-CZ"/>
        </w:rPr>
      </w:pPr>
      <w:r>
        <w:rPr>
          <w:rFonts w:ascii="Verdana" w:hAnsi="Verdana"/>
          <w:sz w:val="20"/>
          <w:szCs w:val="20"/>
          <w:lang w:val="cs-CZ"/>
        </w:rPr>
        <w:t xml:space="preserve">In order to research public activity of the population in Poltava region, an assessment of quality of the services provided to the population by local authorities was carried out. </w:t>
      </w:r>
    </w:p>
    <w:p w:rsidR="005C3F63" w:rsidRDefault="006536E7">
      <w:pPr>
        <w:spacing w:after="120"/>
        <w:rPr>
          <w:rFonts w:ascii="Verdana" w:hAnsi="Verdana"/>
          <w:sz w:val="20"/>
          <w:szCs w:val="20"/>
          <w:lang w:val="cs-CZ"/>
        </w:rPr>
      </w:pPr>
      <w:r>
        <w:rPr>
          <w:rFonts w:ascii="Verdana" w:hAnsi="Verdana"/>
          <w:sz w:val="20"/>
          <w:szCs w:val="20"/>
          <w:lang w:val="cs-CZ"/>
        </w:rPr>
        <w:t>The division of communities in Poltava region into financially capable and others was realized in accordance with the Methodology recommended by The Cabinet of Ministers of Ukraine (Methodology of formation of capable territorial communities, 2015).</w:t>
      </w:r>
      <w:r>
        <w:rPr>
          <w:rFonts w:ascii="Verdana" w:hAnsi="Verdana"/>
          <w:sz w:val="20"/>
          <w:szCs w:val="20"/>
        </w:rPr>
        <w:t xml:space="preserve"> </w:t>
      </w:r>
      <w:r>
        <w:rPr>
          <w:rFonts w:ascii="Verdana" w:hAnsi="Verdana"/>
          <w:sz w:val="20"/>
          <w:szCs w:val="20"/>
          <w:lang w:val="cs-CZ"/>
        </w:rPr>
        <w:t>Three groups of respondents were allocated for carrying out a selective survey:</w:t>
      </w:r>
      <w:r>
        <w:rPr>
          <w:rFonts w:ascii="Verdana" w:hAnsi="Verdana"/>
          <w:sz w:val="20"/>
          <w:szCs w:val="20"/>
        </w:rPr>
        <w:t xml:space="preserve"> </w:t>
      </w:r>
      <w:r>
        <w:rPr>
          <w:rFonts w:ascii="Verdana" w:hAnsi="Verdana"/>
          <w:sz w:val="20"/>
          <w:szCs w:val="20"/>
          <w:lang w:val="cs-CZ"/>
        </w:rPr>
        <w:t>Group 1 –</w:t>
      </w:r>
      <w:r>
        <w:rPr>
          <w:rFonts w:ascii="Verdana" w:hAnsi="Verdana"/>
          <w:sz w:val="20"/>
          <w:szCs w:val="20"/>
        </w:rPr>
        <w:t xml:space="preserve"> </w:t>
      </w:r>
      <w:r>
        <w:rPr>
          <w:rFonts w:ascii="Verdana" w:hAnsi="Verdana"/>
          <w:sz w:val="20"/>
          <w:szCs w:val="20"/>
          <w:lang w:val="cs-CZ"/>
        </w:rPr>
        <w:t>wealthy united territorial communities</w:t>
      </w:r>
      <w:r>
        <w:rPr>
          <w:rFonts w:ascii="Verdana" w:hAnsi="Verdana"/>
          <w:sz w:val="20"/>
          <w:szCs w:val="20"/>
        </w:rPr>
        <w:t xml:space="preserve"> (</w:t>
      </w:r>
      <w:r>
        <w:rPr>
          <w:rFonts w:ascii="Verdana" w:hAnsi="Verdana"/>
          <w:sz w:val="20"/>
          <w:szCs w:val="20"/>
          <w:lang w:val="cs-CZ"/>
        </w:rPr>
        <w:t>Hlobynska, Shyshatska, Pyriatynska and Reshetylivska UTCs</w:t>
      </w:r>
      <w:r>
        <w:rPr>
          <w:rFonts w:ascii="Verdana" w:hAnsi="Verdana"/>
          <w:sz w:val="20"/>
          <w:szCs w:val="20"/>
        </w:rPr>
        <w:t>)</w:t>
      </w:r>
      <w:r>
        <w:rPr>
          <w:rFonts w:ascii="Verdana" w:hAnsi="Verdana"/>
          <w:sz w:val="20"/>
          <w:szCs w:val="20"/>
          <w:lang w:val="cs-CZ"/>
        </w:rPr>
        <w:t>;</w:t>
      </w:r>
      <w:r>
        <w:rPr>
          <w:rFonts w:ascii="Verdana" w:hAnsi="Verdana"/>
          <w:sz w:val="20"/>
          <w:szCs w:val="20"/>
        </w:rPr>
        <w:t xml:space="preserve"> </w:t>
      </w:r>
      <w:r>
        <w:rPr>
          <w:rFonts w:ascii="Verdana" w:hAnsi="Verdana"/>
          <w:sz w:val="20"/>
          <w:szCs w:val="20"/>
          <w:lang w:val="cs-CZ"/>
        </w:rPr>
        <w:t xml:space="preserve">Group 2 – other of the united territorial communities </w:t>
      </w:r>
      <w:r>
        <w:rPr>
          <w:rFonts w:ascii="Verdana" w:hAnsi="Verdana"/>
          <w:sz w:val="20"/>
          <w:szCs w:val="20"/>
        </w:rPr>
        <w:t>(</w:t>
      </w:r>
      <w:r>
        <w:rPr>
          <w:rFonts w:ascii="Verdana" w:hAnsi="Verdana"/>
          <w:sz w:val="20"/>
          <w:szCs w:val="20"/>
          <w:lang w:val="cs-CZ"/>
        </w:rPr>
        <w:t>Bilotserkivska, Pryshybska, Semenovska, Serhiivska, Novoavramivska and Omelnytska UTCs</w:t>
      </w:r>
      <w:r>
        <w:rPr>
          <w:rFonts w:ascii="Verdana" w:hAnsi="Verdana"/>
          <w:sz w:val="20"/>
          <w:szCs w:val="20"/>
        </w:rPr>
        <w:t>)</w:t>
      </w:r>
      <w:r>
        <w:rPr>
          <w:rFonts w:ascii="Verdana" w:hAnsi="Verdana"/>
          <w:sz w:val="20"/>
          <w:szCs w:val="20"/>
          <w:lang w:val="cs-CZ"/>
        </w:rPr>
        <w:t>;</w:t>
      </w:r>
      <w:r>
        <w:rPr>
          <w:rFonts w:ascii="Verdana" w:hAnsi="Verdana"/>
          <w:sz w:val="20"/>
          <w:szCs w:val="20"/>
        </w:rPr>
        <w:t xml:space="preserve"> </w:t>
      </w:r>
      <w:r>
        <w:rPr>
          <w:rFonts w:ascii="Verdana" w:hAnsi="Verdana"/>
          <w:sz w:val="20"/>
          <w:szCs w:val="20"/>
          <w:lang w:val="cs-CZ"/>
        </w:rPr>
        <w:t xml:space="preserve">Group 3 – residents of the territories who opposed decentralization and the creation of united territorial communities. </w:t>
      </w:r>
    </w:p>
    <w:p w:rsidR="005C3F63" w:rsidRDefault="006536E7">
      <w:pPr>
        <w:spacing w:after="120"/>
        <w:rPr>
          <w:rFonts w:ascii="Verdana" w:hAnsi="Verdana"/>
          <w:sz w:val="20"/>
          <w:szCs w:val="20"/>
          <w:lang w:val="cs-CZ"/>
        </w:rPr>
      </w:pPr>
      <w:r>
        <w:rPr>
          <w:rFonts w:ascii="Verdana" w:hAnsi="Verdana"/>
          <w:sz w:val="20"/>
          <w:szCs w:val="20"/>
          <w:lang w:val="cs-CZ"/>
        </w:rPr>
        <w:t>A survey was conducted among the residents of Poltava region from September to November 2019. 1500 questionnaires were distributed in wealthy UTCs (Group1), 1497of the questionnaires were filled in correctly. 3,200 questionnaires were distributed in other UTCs, and 3,130 of them were completed correctly.</w:t>
      </w:r>
    </w:p>
    <w:p w:rsidR="005C3F63" w:rsidRDefault="006536E7">
      <w:pPr>
        <w:spacing w:after="120"/>
        <w:rPr>
          <w:rFonts w:ascii="Verdana" w:hAnsi="Verdana"/>
          <w:sz w:val="20"/>
          <w:szCs w:val="20"/>
          <w:lang w:val="cs-CZ"/>
        </w:rPr>
      </w:pPr>
      <w:r>
        <w:rPr>
          <w:rFonts w:ascii="Verdana" w:hAnsi="Verdana"/>
          <w:sz w:val="20"/>
          <w:szCs w:val="20"/>
          <w:lang w:val="cs-CZ"/>
        </w:rPr>
        <w:t>In settlements where UTCs were not created, the sample was formed in such a way that one Settlement Council from each district where the UTCs were not created was included in the survey. A total of 9,000 questionnaires were distributed and 8,314 of them were filled in correctly. Thus, the total sample made up 12,941 questionnaires.</w:t>
      </w:r>
    </w:p>
    <w:p w:rsidR="005C3F63" w:rsidRDefault="006536E7">
      <w:pPr>
        <w:spacing w:after="120"/>
        <w:rPr>
          <w:rFonts w:ascii="Verdana" w:hAnsi="Verdana"/>
          <w:sz w:val="20"/>
          <w:szCs w:val="20"/>
          <w:lang w:val="cs-CZ"/>
        </w:rPr>
      </w:pPr>
      <w:r>
        <w:rPr>
          <w:rFonts w:ascii="Verdana" w:hAnsi="Verdana"/>
          <w:sz w:val="20"/>
          <w:szCs w:val="20"/>
          <w:lang w:val="cs-CZ"/>
        </w:rPr>
        <w:t>Respondents were randomly selected from the representatives of local self-governments, deputies, the public and business groups.</w:t>
      </w:r>
    </w:p>
    <w:p w:rsidR="005C3F63" w:rsidRDefault="006536E7">
      <w:pPr>
        <w:spacing w:after="120"/>
        <w:rPr>
          <w:rFonts w:ascii="Verdana" w:hAnsi="Verdana"/>
          <w:sz w:val="20"/>
          <w:szCs w:val="20"/>
          <w:lang w:val="cs-CZ"/>
        </w:rPr>
      </w:pPr>
      <w:r>
        <w:rPr>
          <w:rFonts w:ascii="Verdana" w:hAnsi="Verdana"/>
          <w:sz w:val="20"/>
          <w:szCs w:val="20"/>
          <w:lang w:val="cs-CZ"/>
        </w:rPr>
        <w:t>In order to clarify the reason for the low level of support for decentralization in areas where there are no UTCs, we conducted a population survey in 12 settlements where UTCs were not established</w:t>
      </w:r>
      <w:r>
        <w:rPr>
          <w:rFonts w:ascii="Verdana" w:hAnsi="Verdana"/>
          <w:sz w:val="20"/>
          <w:szCs w:val="20"/>
        </w:rPr>
        <w:t xml:space="preserve">. </w:t>
      </w:r>
      <w:r>
        <w:rPr>
          <w:rFonts w:ascii="Verdana" w:hAnsi="Verdana"/>
          <w:sz w:val="20"/>
          <w:szCs w:val="20"/>
          <w:lang w:val="cs-CZ"/>
        </w:rPr>
        <w:t xml:space="preserve">The survey was conducted during the seminars on "Decentralization and reform of local self-government: the main benefits for the </w:t>
      </w:r>
      <w:r>
        <w:rPr>
          <w:rFonts w:ascii="Verdana" w:hAnsi="Verdana"/>
          <w:sz w:val="20"/>
          <w:szCs w:val="20"/>
          <w:lang w:val="cs-CZ"/>
        </w:rPr>
        <w:lastRenderedPageBreak/>
        <w:t>population".</w:t>
      </w:r>
      <w:r>
        <w:rPr>
          <w:rFonts w:ascii="Verdana" w:hAnsi="Verdana"/>
          <w:sz w:val="20"/>
          <w:szCs w:val="20"/>
        </w:rPr>
        <w:t xml:space="preserve"> </w:t>
      </w:r>
      <w:r>
        <w:rPr>
          <w:rFonts w:ascii="Verdana" w:hAnsi="Verdana"/>
          <w:sz w:val="20"/>
          <w:szCs w:val="20"/>
          <w:lang w:val="cs-CZ"/>
        </w:rPr>
        <w:t>The survey covered 100% of respondents who attended the seminar and was conducted twice (before the seminar and immediately after it). A total of 837 respondents were interviewed, all of whom provided answers to questions. The respondents answered only one question: "Do you support decentralization processes?".</w:t>
      </w:r>
    </w:p>
    <w:p w:rsidR="005C3F63" w:rsidRDefault="006536E7">
      <w:pPr>
        <w:keepNext/>
        <w:spacing w:before="240" w:after="120"/>
        <w:outlineLvl w:val="0"/>
        <w:rPr>
          <w:rFonts w:ascii="Verdana" w:hAnsi="Verdana"/>
          <w:b/>
          <w:bCs/>
          <w:kern w:val="32"/>
          <w:szCs w:val="32"/>
          <w:lang w:val="cs-CZ" w:eastAsia="cs-CZ"/>
        </w:rPr>
      </w:pPr>
      <w:r>
        <w:rPr>
          <w:rFonts w:ascii="Verdana" w:hAnsi="Verdana"/>
          <w:b/>
          <w:bCs/>
          <w:kern w:val="32"/>
          <w:lang w:val="cs-CZ" w:eastAsia="cs-CZ"/>
        </w:rPr>
        <w:t xml:space="preserve">3 Results and Discussion </w:t>
      </w:r>
    </w:p>
    <w:p w:rsidR="005C3F63" w:rsidRDefault="006536E7">
      <w:pPr>
        <w:spacing w:after="120"/>
        <w:rPr>
          <w:rFonts w:ascii="Verdana" w:hAnsi="Verdana"/>
          <w:sz w:val="20"/>
          <w:szCs w:val="20"/>
          <w:lang w:val="cs-CZ"/>
        </w:rPr>
      </w:pPr>
      <w:r>
        <w:rPr>
          <w:rFonts w:ascii="Verdana" w:hAnsi="Verdana"/>
          <w:sz w:val="20"/>
          <w:szCs w:val="20"/>
          <w:lang w:val="cs-CZ"/>
        </w:rPr>
        <w:t>International experience shows that the effectiveness of territorial communities is increasing through their consolidation to a certain extent, since it is difficult for territorial communities to develop strategic development plans and integrate them into the economy of the country. Voluntary unification of territorial communities in Ukraine began in 2014. It started for more rational management of the resources which belong to them. Nowadays, this process is ongoing actively (Fig. 1).</w:t>
      </w:r>
    </w:p>
    <w:p w:rsidR="005C3F63" w:rsidRDefault="006536E7">
      <w:pPr>
        <w:spacing w:after="120"/>
        <w:rPr>
          <w:rFonts w:ascii="Verdana" w:hAnsi="Verdana"/>
          <w:sz w:val="20"/>
          <w:szCs w:val="20"/>
          <w:lang w:val="cs-CZ"/>
        </w:rPr>
      </w:pPr>
      <w:r>
        <w:rPr>
          <w:rFonts w:ascii="Verdana" w:hAnsi="Verdana"/>
          <w:sz w:val="20"/>
          <w:szCs w:val="20"/>
        </w:rPr>
        <w:t xml:space="preserve"> </w:t>
      </w:r>
      <w:r>
        <w:rPr>
          <w:rFonts w:ascii="Verdana" w:hAnsi="Verdana"/>
          <w:sz w:val="20"/>
          <w:szCs w:val="20"/>
          <w:lang w:val="cs-CZ"/>
        </w:rPr>
        <w:t>In Poltava region, which is ranked</w:t>
      </w:r>
      <w:r>
        <w:rPr>
          <w:rFonts w:ascii="Verdana" w:hAnsi="Verdana"/>
          <w:sz w:val="20"/>
          <w:szCs w:val="20"/>
        </w:rPr>
        <w:t xml:space="preserve"> </w:t>
      </w:r>
      <w:r>
        <w:rPr>
          <w:rFonts w:ascii="Verdana" w:hAnsi="Verdana"/>
          <w:sz w:val="20"/>
          <w:szCs w:val="20"/>
          <w:lang w:val="cs-CZ"/>
        </w:rPr>
        <w:t>of Ukrainian regions in 21st place, 23.11 % of residents belong to the UTCs and cities of regional importance which have been joined by communities geographically. The overall figure indicator for Ukraine is 25.83 %, and in Zhytomyr region, which is ranked first − 67.42 %. Thus, the promotion of UTCs activities and the involvement of additional participants is an important activity for the communities.</w:t>
      </w:r>
    </w:p>
    <w:p w:rsidR="005C3F63" w:rsidRDefault="006536E7">
      <w:pPr>
        <w:spacing w:after="120"/>
        <w:jc w:val="center"/>
        <w:rPr>
          <w:rFonts w:ascii="Verdana" w:hAnsi="Verdana"/>
          <w:sz w:val="20"/>
          <w:szCs w:val="20"/>
          <w:lang w:val="cs-CZ"/>
        </w:rPr>
      </w:pPr>
      <w:r>
        <w:rPr>
          <w:rFonts w:ascii="Verdana" w:hAnsi="Verdana"/>
          <w:b/>
          <w:sz w:val="20"/>
          <w:szCs w:val="20"/>
          <w:lang w:val="cs-CZ"/>
        </w:rPr>
        <w:t>Figure 1</w:t>
      </w:r>
      <w:r>
        <w:rPr>
          <w:rFonts w:ascii="Verdana" w:hAnsi="Verdana"/>
          <w:sz w:val="20"/>
          <w:szCs w:val="20"/>
          <w:lang w:val="cs-CZ"/>
        </w:rPr>
        <w:t xml:space="preserve"> Features of UTCs formation in Ukraine as of 01.01.2019</w:t>
      </w:r>
    </w:p>
    <w:p w:rsidR="005C3F63" w:rsidRDefault="006536E7">
      <w:pPr>
        <w:pStyle w:val="rvps2"/>
        <w:widowControl w:val="0"/>
        <w:shd w:val="clear" w:color="auto" w:fill="FFFFFF"/>
        <w:spacing w:before="0" w:beforeAutospacing="0" w:after="0" w:afterAutospacing="0" w:line="360" w:lineRule="auto"/>
        <w:jc w:val="center"/>
        <w:rPr>
          <w:rFonts w:ascii="Verdana" w:hAnsi="Verdana"/>
          <w:color w:val="000000"/>
          <w:sz w:val="28"/>
          <w:szCs w:val="28"/>
          <w:lang w:val="en-US"/>
        </w:rPr>
      </w:pPr>
      <w:r>
        <w:rPr>
          <w:rFonts w:ascii="Verdana" w:hAnsi="Verdana"/>
          <w:noProof/>
          <w:color w:val="000000"/>
          <w:sz w:val="28"/>
          <w:szCs w:val="28"/>
        </w:rPr>
        <w:drawing>
          <wp:inline distT="0" distB="0" distL="0" distR="0">
            <wp:extent cx="5153025" cy="2415540"/>
            <wp:effectExtent l="0" t="0" r="0" b="3810"/>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1"/>
                    <pic:cNvPicPr>
                      <a:picLocks noChangeAspect="1" noChangeArrowheads="1"/>
                    </pic:cNvPicPr>
                  </pic:nvPicPr>
                  <pic:blipFill>
                    <a:blip r:embed="rId168" cstate="print">
                      <a:extLst>
                        <a:ext uri="{28A0092B-C50C-407E-A947-70E740481C1C}">
                          <a14:useLocalDpi xmlns:a14="http://schemas.microsoft.com/office/drawing/2010/main" val="0"/>
                        </a:ext>
                      </a:extLst>
                    </a:blip>
                    <a:srcRect/>
                    <a:stretch>
                      <a:fillRect/>
                    </a:stretch>
                  </pic:blipFill>
                  <pic:spPr>
                    <a:xfrm>
                      <a:off x="0" y="0"/>
                      <a:ext cx="5152813" cy="2415884"/>
                    </a:xfrm>
                    <a:prstGeom prst="rect">
                      <a:avLst/>
                    </a:prstGeom>
                    <a:noFill/>
                    <a:ln>
                      <a:noFill/>
                    </a:ln>
                  </pic:spPr>
                </pic:pic>
              </a:graphicData>
            </a:graphic>
          </wp:inline>
        </w:drawing>
      </w:r>
    </w:p>
    <w:p w:rsidR="005C3F63" w:rsidRDefault="006536E7">
      <w:pPr>
        <w:spacing w:after="240"/>
        <w:ind w:left="720"/>
        <w:jc w:val="center"/>
        <w:rPr>
          <w:rFonts w:ascii="Verdana" w:hAnsi="Verdana"/>
          <w:sz w:val="20"/>
          <w:szCs w:val="20"/>
        </w:rPr>
      </w:pPr>
      <w:r>
        <w:rPr>
          <w:rFonts w:ascii="Verdana" w:hAnsi="Verdana"/>
          <w:sz w:val="20"/>
          <w:szCs w:val="20"/>
          <w:lang w:val="cs-CZ"/>
        </w:rPr>
        <w:t>Source: Decentralization in Ukraine. (n.d.)</w:t>
      </w:r>
    </w:p>
    <w:p w:rsidR="005C3F63" w:rsidRDefault="006536E7">
      <w:pPr>
        <w:spacing w:after="120"/>
        <w:rPr>
          <w:rFonts w:ascii="Verdana" w:hAnsi="Verdana"/>
          <w:sz w:val="20"/>
          <w:szCs w:val="20"/>
          <w:lang w:val="cs-CZ"/>
        </w:rPr>
      </w:pPr>
      <w:r>
        <w:rPr>
          <w:rFonts w:ascii="Verdana" w:hAnsi="Verdana"/>
          <w:sz w:val="20"/>
          <w:szCs w:val="20"/>
          <w:lang w:val="cs-CZ"/>
        </w:rPr>
        <w:t xml:space="preserve">Results of the sociological survey of Poltava region residents (Fig. </w:t>
      </w:r>
      <w:r>
        <w:rPr>
          <w:rFonts w:ascii="Verdana" w:hAnsi="Verdana"/>
          <w:sz w:val="20"/>
          <w:szCs w:val="20"/>
        </w:rPr>
        <w:t>3</w:t>
      </w:r>
      <w:r>
        <w:rPr>
          <w:rFonts w:ascii="Verdana" w:hAnsi="Verdana"/>
          <w:sz w:val="20"/>
          <w:szCs w:val="20"/>
          <w:lang w:val="cs-CZ"/>
        </w:rPr>
        <w:t>) show that the majority of the population unequivocally support decentralization processes only in financially capable communities. By contrast, population is pessimistic and has a negative attitude to the need to create UTCs in the areas where UTCs haves not yet been established.</w:t>
      </w:r>
    </w:p>
    <w:p w:rsidR="005C3F63" w:rsidRDefault="006536E7">
      <w:pPr>
        <w:spacing w:after="120"/>
        <w:jc w:val="center"/>
        <w:rPr>
          <w:rFonts w:ascii="Verdana" w:hAnsi="Verdana"/>
          <w:sz w:val="20"/>
          <w:szCs w:val="20"/>
        </w:rPr>
      </w:pPr>
      <w:r>
        <w:rPr>
          <w:rFonts w:ascii="Verdana" w:hAnsi="Verdana"/>
          <w:b/>
          <w:sz w:val="20"/>
          <w:szCs w:val="20"/>
          <w:lang w:val="cs-CZ"/>
        </w:rPr>
        <w:t xml:space="preserve">Figure </w:t>
      </w:r>
      <w:r>
        <w:rPr>
          <w:rFonts w:ascii="Verdana" w:hAnsi="Verdana"/>
          <w:b/>
          <w:sz w:val="20"/>
          <w:szCs w:val="20"/>
        </w:rPr>
        <w:t>2</w:t>
      </w:r>
      <w:r>
        <w:rPr>
          <w:rFonts w:ascii="Verdana" w:hAnsi="Verdana"/>
          <w:sz w:val="20"/>
          <w:szCs w:val="20"/>
          <w:lang w:val="cs-CZ"/>
        </w:rPr>
        <w:t xml:space="preserve"> Opinions of Poltava Region residents regarding community unification</w:t>
      </w:r>
    </w:p>
    <w:p w:rsidR="005C3F63" w:rsidRDefault="006536E7">
      <w:pPr>
        <w:pStyle w:val="rvps2"/>
        <w:shd w:val="clear" w:color="auto" w:fill="FFFFFF"/>
        <w:spacing w:before="0" w:beforeAutospacing="0" w:after="0" w:afterAutospacing="0" w:line="360" w:lineRule="auto"/>
        <w:jc w:val="center"/>
        <w:rPr>
          <w:rFonts w:ascii="Verdana" w:hAnsi="Verdana"/>
          <w:color w:val="000000"/>
          <w:sz w:val="28"/>
          <w:szCs w:val="28"/>
          <w:lang w:val="en-US"/>
        </w:rPr>
      </w:pPr>
      <w:r>
        <w:rPr>
          <w:rFonts w:ascii="Verdana" w:hAnsi="Verdana"/>
          <w:noProof/>
        </w:rPr>
        <w:lastRenderedPageBreak/>
        <w:drawing>
          <wp:inline distT="0" distB="0" distL="0" distR="0">
            <wp:extent cx="4269105" cy="2124075"/>
            <wp:effectExtent l="0" t="0" r="0" b="9525"/>
            <wp:docPr id="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6"/>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a:xfrm>
                      <a:off x="0" y="0"/>
                      <a:ext cx="4279586" cy="2129716"/>
                    </a:xfrm>
                    <a:prstGeom prst="rect">
                      <a:avLst/>
                    </a:prstGeom>
                    <a:noFill/>
                    <a:ln>
                      <a:noFill/>
                    </a:ln>
                  </pic:spPr>
                </pic:pic>
              </a:graphicData>
            </a:graphic>
          </wp:inline>
        </w:drawing>
      </w:r>
    </w:p>
    <w:p w:rsidR="005C3F63" w:rsidRDefault="006536E7">
      <w:pPr>
        <w:spacing w:after="120"/>
        <w:rPr>
          <w:rFonts w:ascii="Verdana" w:hAnsi="Verdana"/>
          <w:sz w:val="20"/>
          <w:szCs w:val="20"/>
          <w:lang w:val="cs-CZ"/>
        </w:rPr>
      </w:pPr>
      <w:r>
        <w:rPr>
          <w:rFonts w:ascii="Verdana" w:hAnsi="Verdana"/>
          <w:sz w:val="20"/>
          <w:szCs w:val="20"/>
          <w:lang w:val="cs-CZ"/>
        </w:rPr>
        <w:t>The study showed that the level of support for decentralization processes increased sharply after the seminar.</w:t>
      </w:r>
    </w:p>
    <w:p w:rsidR="005C3F63" w:rsidRDefault="006536E7">
      <w:pPr>
        <w:spacing w:after="120"/>
        <w:rPr>
          <w:rFonts w:ascii="Verdana" w:hAnsi="Verdana"/>
          <w:sz w:val="20"/>
          <w:szCs w:val="20"/>
          <w:lang w:val="cs-CZ"/>
        </w:rPr>
      </w:pPr>
      <w:r>
        <w:rPr>
          <w:rFonts w:ascii="Verdana" w:hAnsi="Verdana"/>
          <w:sz w:val="20"/>
          <w:szCs w:val="20"/>
          <w:lang w:val="cs-CZ"/>
        </w:rPr>
        <w:t xml:space="preserve">Results of correlation and regression analysis are presented in Table </w:t>
      </w:r>
      <w:r>
        <w:rPr>
          <w:rFonts w:ascii="Verdana" w:hAnsi="Verdana"/>
          <w:sz w:val="20"/>
          <w:szCs w:val="20"/>
        </w:rPr>
        <w:t>1</w:t>
      </w:r>
      <w:r>
        <w:rPr>
          <w:rFonts w:ascii="Verdana" w:hAnsi="Verdana"/>
          <w:sz w:val="20"/>
          <w:szCs w:val="20"/>
          <w:lang w:val="cs-CZ"/>
        </w:rPr>
        <w:t>.</w:t>
      </w:r>
    </w:p>
    <w:p w:rsidR="005C3F63" w:rsidRDefault="005C3F63">
      <w:pPr>
        <w:spacing w:after="120"/>
        <w:jc w:val="center"/>
        <w:rPr>
          <w:rFonts w:ascii="Verdana" w:hAnsi="Verdana"/>
          <w:b/>
          <w:sz w:val="20"/>
          <w:szCs w:val="20"/>
          <w:lang w:val="cs-CZ"/>
        </w:rPr>
      </w:pPr>
    </w:p>
    <w:p w:rsidR="005C3F63" w:rsidRDefault="006536E7">
      <w:pPr>
        <w:spacing w:after="120"/>
        <w:jc w:val="center"/>
        <w:rPr>
          <w:rFonts w:ascii="Verdana" w:hAnsi="Verdana"/>
          <w:sz w:val="20"/>
          <w:szCs w:val="20"/>
          <w:lang w:val="cs-CZ"/>
        </w:rPr>
      </w:pPr>
      <w:r>
        <w:rPr>
          <w:rFonts w:ascii="Verdana" w:hAnsi="Verdana"/>
          <w:b/>
          <w:sz w:val="20"/>
          <w:szCs w:val="20"/>
          <w:lang w:val="cs-CZ"/>
        </w:rPr>
        <w:t>Table 1</w:t>
      </w:r>
      <w:r>
        <w:rPr>
          <w:rFonts w:ascii="Verdana" w:hAnsi="Verdana"/>
          <w:sz w:val="20"/>
          <w:szCs w:val="20"/>
          <w:lang w:val="cs-CZ"/>
        </w:rPr>
        <w:t xml:space="preserve"> Results of correlation and regression analysis on the impact of advocacy on the benefits of decentralization in support of the establishment of UTCs by population </w:t>
      </w:r>
    </w:p>
    <w:tbl>
      <w:tblPr>
        <w:tblW w:w="5000" w:type="pct"/>
        <w:tblBorders>
          <w:top w:val="single" w:sz="4" w:space="0" w:color="auto"/>
          <w:bottom w:val="single" w:sz="4" w:space="0" w:color="auto"/>
        </w:tblBorders>
        <w:tblLook w:val="04A0" w:firstRow="1" w:lastRow="0" w:firstColumn="1" w:lastColumn="0" w:noHBand="0" w:noVBand="1"/>
      </w:tblPr>
      <w:tblGrid>
        <w:gridCol w:w="2794"/>
        <w:gridCol w:w="1437"/>
        <w:gridCol w:w="1463"/>
        <w:gridCol w:w="1786"/>
        <w:gridCol w:w="1808"/>
      </w:tblGrid>
      <w:tr w:rsidR="005C3F63">
        <w:tc>
          <w:tcPr>
            <w:tcW w:w="1565" w:type="pct"/>
            <w:tcBorders>
              <w:top w:val="single" w:sz="4" w:space="0" w:color="auto"/>
              <w:bottom w:val="single" w:sz="4" w:space="0" w:color="auto"/>
            </w:tcBorders>
          </w:tcPr>
          <w:p w:rsidR="005C3F63" w:rsidRDefault="006536E7">
            <w:pPr>
              <w:pStyle w:val="rvps2"/>
              <w:spacing w:before="0" w:beforeAutospacing="0" w:after="0" w:afterAutospacing="0"/>
              <w:jc w:val="both"/>
              <w:rPr>
                <w:rFonts w:ascii="Verdana" w:hAnsi="Verdana"/>
                <w:b/>
                <w:sz w:val="20"/>
                <w:szCs w:val="20"/>
                <w:lang w:val="en-US"/>
              </w:rPr>
            </w:pPr>
            <w:r>
              <w:rPr>
                <w:rFonts w:ascii="Verdana" w:hAnsi="Verdana"/>
                <w:b/>
                <w:sz w:val="20"/>
                <w:szCs w:val="20"/>
                <w:lang w:val="en-US"/>
              </w:rPr>
              <w:t>Independent variable - Y</w:t>
            </w:r>
          </w:p>
        </w:tc>
        <w:tc>
          <w:tcPr>
            <w:tcW w:w="647" w:type="pct"/>
            <w:tcBorders>
              <w:top w:val="single" w:sz="4" w:space="0" w:color="auto"/>
              <w:bottom w:val="single" w:sz="4" w:space="0" w:color="auto"/>
            </w:tcBorders>
          </w:tcPr>
          <w:p w:rsidR="005C3F63" w:rsidRDefault="006536E7">
            <w:pPr>
              <w:pStyle w:val="rvps2"/>
              <w:spacing w:before="0" w:beforeAutospacing="0" w:after="0" w:afterAutospacing="0"/>
              <w:jc w:val="both"/>
              <w:rPr>
                <w:rFonts w:ascii="Verdana" w:hAnsi="Verdana"/>
                <w:b/>
                <w:sz w:val="20"/>
                <w:szCs w:val="20"/>
                <w:lang w:val="en-US"/>
              </w:rPr>
            </w:pPr>
            <w:r>
              <w:rPr>
                <w:rFonts w:ascii="Verdana" w:hAnsi="Verdana"/>
                <w:b/>
                <w:sz w:val="20"/>
                <w:szCs w:val="20"/>
                <w:lang w:val="en-US"/>
              </w:rPr>
              <w:t>Dependent variable – Х</w:t>
            </w:r>
          </w:p>
        </w:tc>
        <w:tc>
          <w:tcPr>
            <w:tcW w:w="791" w:type="pct"/>
            <w:tcBorders>
              <w:top w:val="single" w:sz="4" w:space="0" w:color="auto"/>
              <w:bottom w:val="single" w:sz="4" w:space="0" w:color="auto"/>
            </w:tcBorders>
          </w:tcPr>
          <w:p w:rsidR="005C3F63" w:rsidRDefault="006536E7">
            <w:pPr>
              <w:pStyle w:val="rvps2"/>
              <w:spacing w:before="0" w:beforeAutospacing="0" w:after="0" w:afterAutospacing="0"/>
              <w:jc w:val="both"/>
              <w:rPr>
                <w:rFonts w:ascii="Verdana" w:hAnsi="Verdana"/>
                <w:b/>
                <w:sz w:val="20"/>
                <w:szCs w:val="20"/>
                <w:lang w:val="en-US"/>
              </w:rPr>
            </w:pPr>
            <w:r>
              <w:rPr>
                <w:rFonts w:ascii="Verdana" w:hAnsi="Verdana"/>
                <w:b/>
                <w:sz w:val="20"/>
                <w:szCs w:val="20"/>
                <w:lang w:val="en-US"/>
              </w:rPr>
              <w:t>Regression equation</w:t>
            </w:r>
          </w:p>
        </w:tc>
        <w:tc>
          <w:tcPr>
            <w:tcW w:w="1079" w:type="pct"/>
            <w:tcBorders>
              <w:top w:val="single" w:sz="4" w:space="0" w:color="auto"/>
              <w:bottom w:val="single" w:sz="4" w:space="0" w:color="auto"/>
            </w:tcBorders>
          </w:tcPr>
          <w:p w:rsidR="005C3F63" w:rsidRDefault="006536E7">
            <w:pPr>
              <w:pStyle w:val="rvps2"/>
              <w:spacing w:before="0" w:beforeAutospacing="0" w:after="0" w:afterAutospacing="0"/>
              <w:jc w:val="both"/>
              <w:rPr>
                <w:rFonts w:ascii="Verdana" w:hAnsi="Verdana"/>
                <w:b/>
                <w:sz w:val="20"/>
                <w:szCs w:val="20"/>
                <w:lang w:val="en-US"/>
              </w:rPr>
            </w:pPr>
            <w:r>
              <w:rPr>
                <w:rFonts w:ascii="Verdana" w:hAnsi="Verdana"/>
                <w:b/>
                <w:sz w:val="20"/>
                <w:szCs w:val="20"/>
                <w:lang w:val="en-US"/>
              </w:rPr>
              <w:t>Spearman's rank correlation coefficient</w:t>
            </w:r>
          </w:p>
        </w:tc>
        <w:tc>
          <w:tcPr>
            <w:tcW w:w="917" w:type="pct"/>
            <w:tcBorders>
              <w:top w:val="single" w:sz="4" w:space="0" w:color="auto"/>
              <w:bottom w:val="single" w:sz="4" w:space="0" w:color="auto"/>
            </w:tcBorders>
          </w:tcPr>
          <w:p w:rsidR="005C3F63" w:rsidRDefault="006536E7">
            <w:pPr>
              <w:pStyle w:val="rvps2"/>
              <w:spacing w:before="0" w:beforeAutospacing="0" w:after="0" w:afterAutospacing="0"/>
              <w:jc w:val="both"/>
              <w:rPr>
                <w:rFonts w:ascii="Verdana" w:hAnsi="Verdana"/>
                <w:b/>
                <w:sz w:val="20"/>
                <w:szCs w:val="20"/>
                <w:lang w:val="en-US"/>
              </w:rPr>
            </w:pPr>
            <w:r>
              <w:rPr>
                <w:rFonts w:ascii="Verdana" w:hAnsi="Verdana"/>
                <w:b/>
                <w:sz w:val="20"/>
                <w:szCs w:val="20"/>
                <w:lang w:val="en-US"/>
              </w:rPr>
              <w:t>Coefficient of determination</w:t>
            </w:r>
          </w:p>
        </w:tc>
      </w:tr>
      <w:tr w:rsidR="005C3F63">
        <w:trPr>
          <w:trHeight w:val="394"/>
        </w:trPr>
        <w:tc>
          <w:tcPr>
            <w:tcW w:w="1565" w:type="pct"/>
            <w:tcBorders>
              <w:top w:val="single" w:sz="4" w:space="0" w:color="auto"/>
            </w:tcBorders>
          </w:tcPr>
          <w:p w:rsidR="005C3F63" w:rsidRDefault="006536E7">
            <w:pPr>
              <w:pStyle w:val="rvps2"/>
              <w:spacing w:before="0" w:beforeAutospacing="0" w:after="0" w:afterAutospacing="0"/>
              <w:jc w:val="both"/>
              <w:rPr>
                <w:rFonts w:ascii="Verdana" w:hAnsi="Verdana"/>
                <w:b/>
                <w:sz w:val="20"/>
                <w:szCs w:val="20"/>
                <w:lang w:val="en-US"/>
              </w:rPr>
            </w:pPr>
            <w:r>
              <w:rPr>
                <w:rFonts w:ascii="Verdana" w:hAnsi="Verdana"/>
                <w:b/>
                <w:sz w:val="20"/>
                <w:szCs w:val="20"/>
                <w:lang w:val="en-US"/>
              </w:rPr>
              <w:t>The number of people who have changed their opinion in support of the unification of territorial communities (Y)</w:t>
            </w:r>
          </w:p>
        </w:tc>
        <w:tc>
          <w:tcPr>
            <w:tcW w:w="647" w:type="pct"/>
            <w:tcBorders>
              <w:top w:val="single" w:sz="4" w:space="0" w:color="auto"/>
            </w:tcBorders>
          </w:tcPr>
          <w:p w:rsidR="005C3F63" w:rsidRDefault="006536E7">
            <w:pPr>
              <w:pStyle w:val="rvps2"/>
              <w:spacing w:before="0" w:beforeAutospacing="0" w:after="0" w:afterAutospacing="0"/>
              <w:jc w:val="both"/>
              <w:rPr>
                <w:rFonts w:ascii="Verdana" w:hAnsi="Verdana"/>
                <w:sz w:val="20"/>
                <w:szCs w:val="20"/>
                <w:lang w:val="en-US"/>
              </w:rPr>
            </w:pPr>
            <w:r>
              <w:rPr>
                <w:rFonts w:ascii="Verdana" w:hAnsi="Verdana"/>
                <w:sz w:val="20"/>
                <w:szCs w:val="20"/>
                <w:lang w:val="en-US"/>
              </w:rPr>
              <w:t>Number of people who attended the seminar</w:t>
            </w:r>
          </w:p>
        </w:tc>
        <w:tc>
          <w:tcPr>
            <w:tcW w:w="791" w:type="pct"/>
            <w:tcBorders>
              <w:top w:val="single" w:sz="4" w:space="0" w:color="auto"/>
            </w:tcBorders>
          </w:tcPr>
          <w:p w:rsidR="005C3F63" w:rsidRDefault="006536E7">
            <w:pPr>
              <w:pStyle w:val="rvps2"/>
              <w:spacing w:before="0" w:beforeAutospacing="0" w:after="0" w:afterAutospacing="0"/>
              <w:jc w:val="both"/>
              <w:rPr>
                <w:rFonts w:ascii="Verdana" w:hAnsi="Verdana"/>
                <w:sz w:val="20"/>
                <w:szCs w:val="20"/>
                <w:lang w:val="en-US"/>
              </w:rPr>
            </w:pPr>
            <w:r>
              <w:rPr>
                <w:rFonts w:ascii="Verdana" w:hAnsi="Verdana"/>
                <w:sz w:val="20"/>
                <w:szCs w:val="20"/>
                <w:lang w:val="en-US"/>
              </w:rPr>
              <w:t>y = 0,2405x + 4,8888</w:t>
            </w:r>
          </w:p>
        </w:tc>
        <w:tc>
          <w:tcPr>
            <w:tcW w:w="1079" w:type="pct"/>
            <w:tcBorders>
              <w:top w:val="single" w:sz="4" w:space="0" w:color="auto"/>
            </w:tcBorders>
          </w:tcPr>
          <w:p w:rsidR="005C3F63" w:rsidRDefault="006536E7">
            <w:pPr>
              <w:pStyle w:val="rvps2"/>
              <w:spacing w:before="0" w:beforeAutospacing="0" w:after="0" w:afterAutospacing="0"/>
              <w:jc w:val="both"/>
              <w:rPr>
                <w:rFonts w:ascii="Verdana" w:hAnsi="Verdana"/>
                <w:sz w:val="20"/>
                <w:szCs w:val="20"/>
                <w:lang w:val="en-US"/>
              </w:rPr>
            </w:pPr>
            <w:r>
              <w:rPr>
                <w:rFonts w:ascii="Verdana" w:hAnsi="Verdana"/>
                <w:sz w:val="20"/>
                <w:szCs w:val="20"/>
                <w:lang w:val="en-US"/>
              </w:rPr>
              <w:t>R=0,92351</w:t>
            </w:r>
          </w:p>
        </w:tc>
        <w:tc>
          <w:tcPr>
            <w:tcW w:w="917" w:type="pct"/>
            <w:tcBorders>
              <w:top w:val="single" w:sz="4" w:space="0" w:color="auto"/>
            </w:tcBorders>
          </w:tcPr>
          <w:p w:rsidR="005C3F63" w:rsidRDefault="006536E7">
            <w:pPr>
              <w:pStyle w:val="rvps2"/>
              <w:spacing w:before="0" w:beforeAutospacing="0" w:after="0" w:afterAutospacing="0"/>
              <w:jc w:val="both"/>
              <w:rPr>
                <w:rFonts w:ascii="Verdana" w:hAnsi="Verdana"/>
                <w:sz w:val="20"/>
                <w:szCs w:val="20"/>
                <w:lang w:val="en-US"/>
              </w:rPr>
            </w:pPr>
            <w:r>
              <w:rPr>
                <w:rFonts w:ascii="Verdana" w:hAnsi="Verdana"/>
                <w:sz w:val="20"/>
                <w:szCs w:val="20"/>
                <w:lang w:val="en-US"/>
              </w:rPr>
              <w:t>R2 = 0,83038</w:t>
            </w:r>
          </w:p>
        </w:tc>
      </w:tr>
    </w:tbl>
    <w:p w:rsidR="005C3F63" w:rsidRDefault="006536E7">
      <w:pPr>
        <w:spacing w:after="120"/>
        <w:rPr>
          <w:rFonts w:ascii="Verdana" w:hAnsi="Verdana"/>
          <w:sz w:val="20"/>
          <w:szCs w:val="20"/>
        </w:rPr>
      </w:pPr>
      <w:r>
        <w:rPr>
          <w:rFonts w:ascii="Verdana" w:hAnsi="Verdana"/>
          <w:sz w:val="20"/>
          <w:szCs w:val="20"/>
        </w:rPr>
        <w:t xml:space="preserve">The analysis showed </w:t>
      </w:r>
      <w:r>
        <w:rPr>
          <w:rFonts w:ascii="Verdana" w:hAnsi="Verdana"/>
          <w:sz w:val="20"/>
          <w:szCs w:val="20"/>
          <w:lang w:val="cs-CZ"/>
        </w:rPr>
        <w:t>that the relationship between awareness-raising work regarding the benefits of decentralization and public support for the unification of territorial communities is very close. Therefore, it is necessary to carry out awareness-raising work among the population regarding the benefits of decentralization in the future.</w:t>
      </w:r>
    </w:p>
    <w:p w:rsidR="005C3F63" w:rsidRDefault="006536E7">
      <w:pPr>
        <w:spacing w:after="120"/>
        <w:rPr>
          <w:rFonts w:ascii="Verdana" w:hAnsi="Verdana"/>
          <w:sz w:val="20"/>
          <w:szCs w:val="20"/>
          <w:lang w:val="cs-CZ"/>
        </w:rPr>
      </w:pPr>
      <w:r>
        <w:rPr>
          <w:rFonts w:ascii="Verdana" w:hAnsi="Verdana"/>
          <w:sz w:val="20"/>
          <w:szCs w:val="20"/>
          <w:lang w:val="cs-CZ"/>
        </w:rPr>
        <w:t>The survey results show that the highest rate of social activity is in financially capable UTCs</w:t>
      </w:r>
      <w:r>
        <w:rPr>
          <w:rFonts w:ascii="Verdana" w:hAnsi="Verdana"/>
          <w:sz w:val="20"/>
          <w:szCs w:val="20"/>
        </w:rPr>
        <w:t xml:space="preserve"> (81,6%)</w:t>
      </w:r>
      <w:r>
        <w:rPr>
          <w:rFonts w:ascii="Verdana" w:hAnsi="Verdana"/>
          <w:sz w:val="20"/>
          <w:szCs w:val="20"/>
          <w:lang w:val="cs-CZ"/>
        </w:rPr>
        <w:t xml:space="preserve">, while in other UTCs it is </w:t>
      </w:r>
      <w:r>
        <w:rPr>
          <w:rFonts w:ascii="Verdana" w:hAnsi="Verdana"/>
          <w:sz w:val="20"/>
          <w:szCs w:val="20"/>
        </w:rPr>
        <w:t>68,4%</w:t>
      </w:r>
      <w:r>
        <w:rPr>
          <w:rFonts w:ascii="Verdana" w:hAnsi="Verdana"/>
          <w:sz w:val="20"/>
          <w:szCs w:val="20"/>
          <w:lang w:val="cs-CZ"/>
        </w:rPr>
        <w:t xml:space="preserve">. </w:t>
      </w:r>
    </w:p>
    <w:p w:rsidR="005C3F63" w:rsidRDefault="006536E7">
      <w:pPr>
        <w:spacing w:after="120"/>
        <w:rPr>
          <w:rFonts w:ascii="Verdana" w:hAnsi="Verdana"/>
          <w:sz w:val="20"/>
          <w:szCs w:val="20"/>
          <w:lang w:val="cs-CZ"/>
        </w:rPr>
      </w:pPr>
      <w:r>
        <w:rPr>
          <w:rFonts w:ascii="Verdana" w:hAnsi="Verdana"/>
          <w:sz w:val="20"/>
          <w:szCs w:val="20"/>
          <w:lang w:val="cs-CZ"/>
        </w:rPr>
        <w:t>To assess the effectiveness of community empowerment activities conducted by local governments, respondents were asked to rate the effectiveness of the following activities on a 100-point scale (1-worst, 100-best)</w:t>
      </w:r>
      <w:r>
        <w:rPr>
          <w:rFonts w:ascii="Verdana" w:hAnsi="Verdana"/>
          <w:sz w:val="20"/>
          <w:szCs w:val="20"/>
        </w:rPr>
        <w:t xml:space="preserve"> (Fig. 3)</w:t>
      </w:r>
      <w:r>
        <w:rPr>
          <w:rFonts w:ascii="Verdana" w:hAnsi="Verdana"/>
          <w:sz w:val="20"/>
          <w:szCs w:val="20"/>
          <w:lang w:val="cs-CZ"/>
        </w:rPr>
        <w:t>.</w:t>
      </w:r>
    </w:p>
    <w:p w:rsidR="005C3F63" w:rsidRDefault="006536E7">
      <w:pPr>
        <w:spacing w:after="120"/>
        <w:jc w:val="center"/>
        <w:rPr>
          <w:rFonts w:ascii="Verdana" w:hAnsi="Verdana"/>
          <w:sz w:val="20"/>
          <w:szCs w:val="20"/>
          <w:lang w:val="cs-CZ"/>
        </w:rPr>
      </w:pPr>
      <w:r>
        <w:rPr>
          <w:rFonts w:ascii="Verdana" w:hAnsi="Verdana"/>
          <w:b/>
          <w:sz w:val="20"/>
          <w:szCs w:val="20"/>
          <w:lang w:val="cs-CZ"/>
        </w:rPr>
        <w:t xml:space="preserve">Figure </w:t>
      </w:r>
      <w:r>
        <w:rPr>
          <w:rFonts w:ascii="Verdana" w:hAnsi="Verdana"/>
          <w:b/>
          <w:sz w:val="20"/>
          <w:szCs w:val="20"/>
        </w:rPr>
        <w:t>3</w:t>
      </w:r>
      <w:r>
        <w:rPr>
          <w:rFonts w:ascii="Verdana" w:hAnsi="Verdana"/>
          <w:sz w:val="20"/>
          <w:szCs w:val="20"/>
          <w:lang w:val="cs-CZ"/>
        </w:rPr>
        <w:t xml:space="preserve"> Effectiveness of community empowerment activities conducted by local governments, evaluation criteria</w:t>
      </w:r>
    </w:p>
    <w:p w:rsidR="005C3F63" w:rsidRDefault="006536E7">
      <w:pPr>
        <w:pStyle w:val="rvps2"/>
        <w:shd w:val="clear" w:color="auto" w:fill="FFFFFF"/>
        <w:spacing w:before="0" w:beforeAutospacing="0" w:after="0" w:afterAutospacing="0" w:line="360" w:lineRule="auto"/>
        <w:jc w:val="center"/>
        <w:rPr>
          <w:rFonts w:ascii="Verdana" w:hAnsi="Verdana"/>
          <w:color w:val="000000"/>
          <w:sz w:val="28"/>
          <w:szCs w:val="28"/>
          <w:highlight w:val="green"/>
          <w:lang w:val="en-US"/>
        </w:rPr>
      </w:pPr>
      <w:r>
        <w:rPr>
          <w:rFonts w:ascii="Verdana" w:hAnsi="Verdana"/>
          <w:noProof/>
          <w:color w:val="000000"/>
          <w:sz w:val="28"/>
          <w:szCs w:val="28"/>
        </w:rPr>
        <w:lastRenderedPageBreak/>
        <w:drawing>
          <wp:inline distT="0" distB="0" distL="0" distR="0">
            <wp:extent cx="5200650" cy="2969260"/>
            <wp:effectExtent l="0" t="0" r="0" b="2540"/>
            <wp:docPr id="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2"/>
                    <pic:cNvPicPr>
                      <a:picLocks noChangeAspect="1"/>
                    </pic:cNvPicPr>
                  </pic:nvPicPr>
                  <pic:blipFill>
                    <a:blip r:embed="rId170">
                      <a:extLst>
                        <a:ext uri="{28A0092B-C50C-407E-A947-70E740481C1C}">
                          <a14:useLocalDpi xmlns:a14="http://schemas.microsoft.com/office/drawing/2010/main" val="0"/>
                        </a:ext>
                      </a:extLst>
                    </a:blip>
                    <a:stretch>
                      <a:fillRect/>
                    </a:stretch>
                  </pic:blipFill>
                  <pic:spPr>
                    <a:xfrm>
                      <a:off x="0" y="0"/>
                      <a:ext cx="5198689" cy="2968520"/>
                    </a:xfrm>
                    <a:prstGeom prst="rect">
                      <a:avLst/>
                    </a:prstGeom>
                  </pic:spPr>
                </pic:pic>
              </a:graphicData>
            </a:graphic>
          </wp:inline>
        </w:drawing>
      </w:r>
    </w:p>
    <w:p w:rsidR="005C3F63" w:rsidRDefault="006536E7">
      <w:pPr>
        <w:spacing w:after="120"/>
        <w:rPr>
          <w:rFonts w:ascii="Verdana" w:hAnsi="Verdana"/>
          <w:sz w:val="20"/>
          <w:szCs w:val="20"/>
          <w:lang w:val="cs-CZ"/>
        </w:rPr>
      </w:pPr>
      <w:r>
        <w:rPr>
          <w:rFonts w:ascii="Verdana" w:hAnsi="Verdana"/>
          <w:sz w:val="20"/>
          <w:szCs w:val="20"/>
          <w:lang w:val="cs-CZ"/>
        </w:rPr>
        <w:t>When assessing the potential of UTCs in Poltava region for decentralization, it was found that in all territorial communities the effectiveness of the implementation of their powers by the communities increased. In particular, UTCs are actively engaged in the registration of civil status, the organization of educational services, strategic planning of society and budget formation, the development of local infrastructure, ensuring the provision of primary health care, the provision of construction permits, the adoption of buildings in operation. Non-united territorial communities solve these problems much more slowly.</w:t>
      </w:r>
    </w:p>
    <w:p w:rsidR="005C3F63" w:rsidRDefault="006536E7">
      <w:pPr>
        <w:spacing w:after="120"/>
        <w:rPr>
          <w:rFonts w:ascii="Verdana" w:hAnsi="Verdana"/>
          <w:sz w:val="20"/>
          <w:szCs w:val="20"/>
          <w:lang w:val="cs-CZ"/>
        </w:rPr>
      </w:pPr>
      <w:r>
        <w:rPr>
          <w:rFonts w:ascii="Verdana" w:hAnsi="Verdana"/>
          <w:sz w:val="20"/>
          <w:szCs w:val="20"/>
          <w:lang w:val="cs-CZ"/>
        </w:rPr>
        <w:t xml:space="preserve">Indicators of the quality of services provided to the population of Poltava region from 1 (the worst) to 8 points (the best) are given in Fig. </w:t>
      </w:r>
      <w:r>
        <w:rPr>
          <w:rFonts w:ascii="Verdana" w:hAnsi="Verdana"/>
          <w:sz w:val="20"/>
          <w:szCs w:val="20"/>
        </w:rPr>
        <w:t>4</w:t>
      </w:r>
      <w:r>
        <w:rPr>
          <w:rFonts w:ascii="Verdana" w:hAnsi="Verdana"/>
          <w:sz w:val="20"/>
          <w:szCs w:val="20"/>
          <w:lang w:val="cs-CZ"/>
        </w:rPr>
        <w:t xml:space="preserve">. </w:t>
      </w:r>
    </w:p>
    <w:p w:rsidR="005C3F63" w:rsidRDefault="006536E7">
      <w:pPr>
        <w:spacing w:after="120"/>
        <w:rPr>
          <w:rFonts w:ascii="Verdana" w:hAnsi="Verdana"/>
          <w:sz w:val="20"/>
          <w:szCs w:val="20"/>
          <w:lang w:val="cs-CZ"/>
        </w:rPr>
      </w:pPr>
      <w:r>
        <w:rPr>
          <w:rFonts w:ascii="Verdana" w:hAnsi="Verdana"/>
          <w:sz w:val="20"/>
          <w:szCs w:val="20"/>
          <w:lang w:val="cs-CZ"/>
        </w:rPr>
        <w:t>The respondents were most satisfied with the provision of educational, cultural and administrative services, and were least satisfied with municipal, medical and social services. We believe that these aspects should be the focus of attention in the future. In particular, public committees can be established to monitor the quality of services provided.</w:t>
      </w:r>
    </w:p>
    <w:p w:rsidR="005C3F63" w:rsidRDefault="006536E7">
      <w:pPr>
        <w:keepNext/>
        <w:spacing w:before="240" w:after="120"/>
        <w:outlineLvl w:val="0"/>
        <w:rPr>
          <w:rFonts w:ascii="Verdana" w:hAnsi="Verdana"/>
          <w:b/>
          <w:bCs/>
          <w:kern w:val="32"/>
          <w:szCs w:val="32"/>
          <w:lang w:val="cs-CZ" w:eastAsia="cs-CZ"/>
        </w:rPr>
      </w:pPr>
      <w:r>
        <w:rPr>
          <w:rFonts w:ascii="Verdana" w:hAnsi="Verdana"/>
          <w:b/>
          <w:bCs/>
          <w:kern w:val="32"/>
          <w:szCs w:val="32"/>
          <w:lang w:val="cs-CZ" w:eastAsia="cs-CZ"/>
        </w:rPr>
        <w:t>Conclusions</w:t>
      </w:r>
    </w:p>
    <w:p w:rsidR="005C3F63" w:rsidRDefault="006536E7">
      <w:pPr>
        <w:spacing w:after="120"/>
        <w:rPr>
          <w:rFonts w:ascii="Verdana" w:hAnsi="Verdana"/>
          <w:sz w:val="20"/>
          <w:szCs w:val="20"/>
          <w:lang w:val="cs-CZ"/>
        </w:rPr>
      </w:pPr>
      <w:r>
        <w:rPr>
          <w:rFonts w:ascii="Verdana" w:hAnsi="Verdana"/>
          <w:sz w:val="20"/>
          <w:szCs w:val="20"/>
          <w:lang w:val="cs-CZ"/>
        </w:rPr>
        <w:t>Research results show that Poltava region lags far behind in decentralization processes in comparison with other regions in Ukraine. At the same time, standards of living in UTCs are considerably higher compared to those settlements where UTCs have not been created. The rate of social activity is much higher in financially capable communities.</w:t>
      </w:r>
      <w:r>
        <w:rPr>
          <w:rFonts w:ascii="Verdana" w:hAnsi="Verdana"/>
          <w:sz w:val="20"/>
          <w:szCs w:val="20"/>
        </w:rPr>
        <w:t xml:space="preserve"> </w:t>
      </w:r>
      <w:r>
        <w:rPr>
          <w:rFonts w:ascii="Verdana" w:hAnsi="Verdana"/>
          <w:sz w:val="20"/>
          <w:szCs w:val="20"/>
          <w:lang w:val="cs-CZ"/>
        </w:rPr>
        <w:t xml:space="preserve">The respondents are most satisfied with the provision of educational, cultural and administrative services, and are least satisfied with municipal, medical and social services. </w:t>
      </w:r>
    </w:p>
    <w:p w:rsidR="005C3F63" w:rsidRDefault="005C3F63">
      <w:pPr>
        <w:spacing w:after="120"/>
        <w:rPr>
          <w:rFonts w:ascii="Verdana" w:hAnsi="Verdana"/>
          <w:sz w:val="20"/>
          <w:szCs w:val="20"/>
          <w:lang w:val="cs-CZ"/>
        </w:rPr>
      </w:pPr>
    </w:p>
    <w:p w:rsidR="005C3F63" w:rsidRDefault="005C3F63">
      <w:pPr>
        <w:spacing w:after="120"/>
        <w:rPr>
          <w:rFonts w:ascii="Verdana" w:hAnsi="Verdana"/>
          <w:sz w:val="20"/>
          <w:szCs w:val="20"/>
          <w:lang w:val="cs-CZ"/>
        </w:rPr>
      </w:pPr>
    </w:p>
    <w:p w:rsidR="005C3F63" w:rsidRDefault="005C3F63">
      <w:pPr>
        <w:spacing w:after="120"/>
        <w:rPr>
          <w:rFonts w:ascii="Verdana" w:hAnsi="Verdana"/>
          <w:sz w:val="20"/>
          <w:szCs w:val="20"/>
          <w:lang w:val="cs-CZ"/>
        </w:rPr>
      </w:pPr>
    </w:p>
    <w:p w:rsidR="005C3F63" w:rsidRDefault="005C3F63">
      <w:pPr>
        <w:spacing w:after="120"/>
        <w:rPr>
          <w:rFonts w:ascii="Verdana" w:hAnsi="Verdana"/>
          <w:sz w:val="20"/>
          <w:szCs w:val="20"/>
          <w:lang w:val="cs-CZ"/>
        </w:rPr>
      </w:pPr>
    </w:p>
    <w:p w:rsidR="005C3F63" w:rsidRDefault="005C3F63">
      <w:pPr>
        <w:spacing w:after="120"/>
        <w:rPr>
          <w:rFonts w:ascii="Verdana" w:hAnsi="Verdana"/>
          <w:sz w:val="20"/>
          <w:szCs w:val="20"/>
          <w:lang w:val="cs-CZ"/>
        </w:rPr>
      </w:pPr>
    </w:p>
    <w:p w:rsidR="005C3F63" w:rsidRDefault="005C3F63">
      <w:pPr>
        <w:spacing w:after="120"/>
        <w:rPr>
          <w:rFonts w:ascii="Verdana" w:hAnsi="Verdana"/>
          <w:sz w:val="20"/>
          <w:szCs w:val="20"/>
          <w:lang w:val="cs-CZ"/>
        </w:rPr>
      </w:pPr>
    </w:p>
    <w:p w:rsidR="005C3F63" w:rsidRDefault="005C3F63">
      <w:pPr>
        <w:spacing w:after="120"/>
        <w:jc w:val="center"/>
        <w:rPr>
          <w:rFonts w:ascii="Verdana" w:hAnsi="Verdana"/>
          <w:b/>
          <w:sz w:val="20"/>
          <w:szCs w:val="20"/>
          <w:lang w:val="cs-CZ"/>
        </w:rPr>
      </w:pPr>
    </w:p>
    <w:p w:rsidR="005C3F63" w:rsidRDefault="005C3F63">
      <w:pPr>
        <w:spacing w:after="120"/>
        <w:jc w:val="center"/>
        <w:rPr>
          <w:rFonts w:ascii="Verdana" w:hAnsi="Verdana"/>
          <w:b/>
          <w:sz w:val="20"/>
          <w:szCs w:val="20"/>
          <w:lang w:val="cs-CZ"/>
        </w:rPr>
      </w:pPr>
    </w:p>
    <w:p w:rsidR="005C3F63" w:rsidRDefault="006536E7">
      <w:pPr>
        <w:spacing w:after="120"/>
        <w:jc w:val="center"/>
        <w:rPr>
          <w:rFonts w:ascii="Verdana" w:hAnsi="Verdana"/>
          <w:sz w:val="20"/>
          <w:szCs w:val="20"/>
          <w:lang w:val="cs-CZ"/>
        </w:rPr>
      </w:pPr>
      <w:r>
        <w:rPr>
          <w:rFonts w:ascii="Verdana" w:hAnsi="Verdana"/>
          <w:b/>
          <w:sz w:val="20"/>
          <w:szCs w:val="20"/>
          <w:lang w:val="cs-CZ"/>
        </w:rPr>
        <w:lastRenderedPageBreak/>
        <w:t xml:space="preserve">Figure </w:t>
      </w:r>
      <w:r>
        <w:rPr>
          <w:rFonts w:ascii="Verdana" w:hAnsi="Verdana"/>
          <w:b/>
          <w:sz w:val="20"/>
          <w:szCs w:val="20"/>
        </w:rPr>
        <w:t xml:space="preserve">4. </w:t>
      </w:r>
      <w:r>
        <w:rPr>
          <w:rFonts w:ascii="Verdana" w:hAnsi="Verdana"/>
          <w:sz w:val="20"/>
          <w:szCs w:val="20"/>
          <w:lang w:val="cs-CZ"/>
        </w:rPr>
        <w:t>Assessment of the services quality provided to Poltava region inhabitants (from 1 (the worst) to 8 points (the best))</w:t>
      </w:r>
    </w:p>
    <w:p w:rsidR="005C3F63" w:rsidRDefault="006536E7">
      <w:pPr>
        <w:pStyle w:val="rvps2"/>
        <w:shd w:val="clear" w:color="auto" w:fill="FFFFFF"/>
        <w:spacing w:before="0" w:beforeAutospacing="0" w:after="0" w:afterAutospacing="0" w:line="360" w:lineRule="auto"/>
        <w:jc w:val="center"/>
        <w:rPr>
          <w:rFonts w:ascii="Verdana" w:hAnsi="Verdana"/>
          <w:color w:val="000000"/>
          <w:sz w:val="28"/>
          <w:szCs w:val="28"/>
          <w:lang w:val="en-US"/>
        </w:rPr>
      </w:pPr>
      <w:r>
        <w:rPr>
          <w:rFonts w:ascii="Verdana" w:hAnsi="Verdana"/>
          <w:noProof/>
          <w:color w:val="000000"/>
          <w:sz w:val="28"/>
          <w:szCs w:val="28"/>
        </w:rPr>
        <w:drawing>
          <wp:inline distT="0" distB="0" distL="0" distR="0">
            <wp:extent cx="3400425" cy="3487420"/>
            <wp:effectExtent l="0" t="0" r="0" b="0"/>
            <wp:docPr id="1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3"/>
                    <pic:cNvPicPr>
                      <a:picLocks noChangeAspect="1"/>
                    </pic:cNvPicPr>
                  </pic:nvPicPr>
                  <pic:blipFill>
                    <a:blip r:embed="rId171">
                      <a:extLst>
                        <a:ext uri="{28A0092B-C50C-407E-A947-70E740481C1C}">
                          <a14:useLocalDpi xmlns:a14="http://schemas.microsoft.com/office/drawing/2010/main" val="0"/>
                        </a:ext>
                      </a:extLst>
                    </a:blip>
                    <a:stretch>
                      <a:fillRect/>
                    </a:stretch>
                  </pic:blipFill>
                  <pic:spPr>
                    <a:xfrm>
                      <a:off x="0" y="0"/>
                      <a:ext cx="3450657" cy="3539080"/>
                    </a:xfrm>
                    <a:prstGeom prst="rect">
                      <a:avLst/>
                    </a:prstGeom>
                  </pic:spPr>
                </pic:pic>
              </a:graphicData>
            </a:graphic>
          </wp:inline>
        </w:drawing>
      </w:r>
    </w:p>
    <w:p w:rsidR="005C3F63" w:rsidRDefault="006536E7">
      <w:pPr>
        <w:spacing w:after="120"/>
        <w:rPr>
          <w:rFonts w:ascii="Verdana" w:hAnsi="Verdana"/>
          <w:sz w:val="20"/>
          <w:szCs w:val="20"/>
          <w:lang w:val="cs-CZ"/>
        </w:rPr>
      </w:pPr>
      <w:r>
        <w:rPr>
          <w:rFonts w:ascii="Verdana" w:hAnsi="Verdana"/>
          <w:sz w:val="20"/>
          <w:szCs w:val="20"/>
          <w:lang w:val="cs-CZ"/>
        </w:rPr>
        <w:t>The low level of support for decentralization in areas where UTCs have not been established is mainly due to the lack of understanding of the benefits of decentralization by the population.</w:t>
      </w:r>
    </w:p>
    <w:p w:rsidR="005C3F63" w:rsidRDefault="006536E7">
      <w:pPr>
        <w:spacing w:after="120"/>
        <w:rPr>
          <w:rFonts w:ascii="Verdana" w:hAnsi="Verdana"/>
          <w:sz w:val="20"/>
          <w:szCs w:val="20"/>
          <w:lang w:val="cs-CZ"/>
        </w:rPr>
      </w:pPr>
      <w:r>
        <w:rPr>
          <w:rFonts w:ascii="Verdana" w:hAnsi="Verdana"/>
          <w:sz w:val="20"/>
          <w:szCs w:val="20"/>
          <w:lang w:val="cs-CZ"/>
        </w:rPr>
        <w:t>In places where UTCs are not created, the population is politically immobilized, that is, it believes that their opinion will not be taken into account when solving local or regional issues.</w:t>
      </w:r>
    </w:p>
    <w:p w:rsidR="005C3F63" w:rsidRDefault="006536E7">
      <w:pPr>
        <w:spacing w:after="120"/>
        <w:rPr>
          <w:rFonts w:ascii="Verdana" w:hAnsi="Verdana"/>
          <w:sz w:val="20"/>
          <w:szCs w:val="20"/>
          <w:lang w:val="cs-CZ"/>
        </w:rPr>
      </w:pPr>
      <w:r>
        <w:rPr>
          <w:rFonts w:ascii="Verdana" w:hAnsi="Verdana"/>
          <w:sz w:val="20"/>
          <w:szCs w:val="20"/>
          <w:lang w:val="cs-CZ"/>
        </w:rPr>
        <w:t xml:space="preserve">The study made it possible to formulate the main political and administrative obstacles to the creation of UTCs, and further decentralization of power in the country: local mayors are not interested in the unification, as it entails the loss of power; ignorance of citizens concerning the benefits of decentralization; the rivalry between communities to get the status of an administrative center. To tackle these issues, it is important to intensify specialized information channels and mass media so that they constantly demonstrate a real increase in the authority of UTCs and their achievements. </w:t>
      </w:r>
    </w:p>
    <w:p w:rsidR="005C3F63" w:rsidRDefault="006536E7">
      <w:pPr>
        <w:pStyle w:val="Kapitola"/>
        <w:rPr>
          <w:lang w:val="cs-CZ"/>
        </w:rPr>
      </w:pPr>
      <w:r>
        <w:rPr>
          <w:lang w:val="cs-CZ"/>
        </w:rPr>
        <w:t>References</w:t>
      </w:r>
    </w:p>
    <w:p w:rsidR="005C3F63" w:rsidRDefault="006536E7">
      <w:pPr>
        <w:pStyle w:val="aff"/>
        <w:jc w:val="both"/>
        <w:rPr>
          <w:rFonts w:ascii="Verdana" w:hAnsi="Verdana"/>
          <w:sz w:val="20"/>
          <w:szCs w:val="20"/>
          <w:lang w:val="cs-CZ"/>
        </w:rPr>
      </w:pPr>
      <w:r>
        <w:rPr>
          <w:rFonts w:ascii="Verdana" w:hAnsi="Verdana"/>
          <w:sz w:val="20"/>
          <w:szCs w:val="20"/>
          <w:lang w:val="cs-CZ"/>
        </w:rPr>
        <w:t>Decentralization in Ukraine (</w:t>
      </w:r>
      <w:r>
        <w:rPr>
          <w:rFonts w:ascii="Verdana" w:hAnsi="Verdana"/>
          <w:sz w:val="20"/>
          <w:szCs w:val="20"/>
        </w:rPr>
        <w:t>2020</w:t>
      </w:r>
      <w:r>
        <w:rPr>
          <w:rFonts w:ascii="Verdana" w:hAnsi="Verdana"/>
          <w:sz w:val="20"/>
          <w:szCs w:val="20"/>
          <w:lang w:val="cs-CZ"/>
        </w:rPr>
        <w:t xml:space="preserve">). Retrieved from </w:t>
      </w:r>
      <w:hyperlink r:id="rId172" w:history="1">
        <w:r>
          <w:rPr>
            <w:rFonts w:ascii="Verdana" w:hAnsi="Verdana"/>
            <w:sz w:val="20"/>
            <w:szCs w:val="20"/>
            <w:lang w:val="cs-CZ"/>
          </w:rPr>
          <w:t>https://decentralization.gov.ua/</w:t>
        </w:r>
      </w:hyperlink>
    </w:p>
    <w:p w:rsidR="005C3F63" w:rsidRDefault="006536E7">
      <w:pPr>
        <w:pStyle w:val="aff"/>
        <w:jc w:val="both"/>
        <w:rPr>
          <w:rFonts w:ascii="Verdana" w:hAnsi="Verdana"/>
          <w:sz w:val="20"/>
          <w:szCs w:val="20"/>
          <w:lang w:val="cs-CZ"/>
        </w:rPr>
      </w:pPr>
      <w:r>
        <w:rPr>
          <w:rFonts w:ascii="Verdana" w:hAnsi="Verdana"/>
          <w:sz w:val="20"/>
          <w:szCs w:val="20"/>
          <w:lang w:val="cs-CZ"/>
        </w:rPr>
        <w:t>Decentralization in Ukraine: legislative innovations and public expectations / foreword by VB Groisman (2015). Kiev.</w:t>
      </w:r>
    </w:p>
    <w:p w:rsidR="005C3F63" w:rsidRDefault="006536E7">
      <w:pPr>
        <w:pStyle w:val="aff"/>
        <w:jc w:val="both"/>
        <w:rPr>
          <w:rFonts w:ascii="Verdana" w:hAnsi="Verdana"/>
          <w:sz w:val="20"/>
          <w:szCs w:val="20"/>
          <w:lang w:val="cs-CZ"/>
        </w:rPr>
      </w:pPr>
      <w:r>
        <w:rPr>
          <w:rFonts w:ascii="Verdana" w:hAnsi="Verdana"/>
          <w:sz w:val="20"/>
          <w:szCs w:val="20"/>
          <w:lang w:val="cs-CZ"/>
        </w:rPr>
        <w:t>Methodology of formation of capable territorial communities (CMU resolution N 214 of 08.04.2015)</w:t>
      </w:r>
    </w:p>
    <w:p w:rsidR="005C3F63" w:rsidRDefault="00085067">
      <w:pPr>
        <w:pStyle w:val="aff"/>
        <w:jc w:val="both"/>
        <w:rPr>
          <w:rFonts w:ascii="Verdana" w:hAnsi="Verdana"/>
          <w:sz w:val="20"/>
          <w:szCs w:val="20"/>
          <w:lang w:val="cs-CZ"/>
        </w:rPr>
      </w:pPr>
      <w:hyperlink r:id="rId173" w:history="1">
        <w:r w:rsidR="006536E7">
          <w:rPr>
            <w:rFonts w:ascii="Verdana" w:hAnsi="Verdana"/>
            <w:sz w:val="20"/>
            <w:szCs w:val="20"/>
            <w:lang w:val="cs-CZ"/>
          </w:rPr>
          <w:t>Pike</w:t>
        </w:r>
      </w:hyperlink>
      <w:r w:rsidR="006536E7">
        <w:rPr>
          <w:lang w:val="cs-CZ"/>
        </w:rPr>
        <w:t xml:space="preserve"> </w:t>
      </w:r>
      <w:r w:rsidR="006536E7">
        <w:rPr>
          <w:rFonts w:ascii="Verdana" w:hAnsi="Verdana"/>
          <w:sz w:val="20"/>
          <w:szCs w:val="20"/>
          <w:lang w:val="cs-CZ"/>
        </w:rPr>
        <w:t>A., </w:t>
      </w:r>
      <w:hyperlink r:id="rId174" w:history="1">
        <w:r w:rsidR="006536E7">
          <w:rPr>
            <w:rFonts w:ascii="Verdana" w:hAnsi="Verdana"/>
            <w:sz w:val="20"/>
            <w:szCs w:val="20"/>
            <w:lang w:val="cs-CZ"/>
          </w:rPr>
          <w:t xml:space="preserve"> Marlow</w:t>
        </w:r>
      </w:hyperlink>
      <w:r w:rsidR="006536E7">
        <w:rPr>
          <w:lang w:val="cs-CZ"/>
        </w:rPr>
        <w:t xml:space="preserve"> </w:t>
      </w:r>
      <w:r w:rsidR="006536E7">
        <w:rPr>
          <w:rFonts w:ascii="Verdana" w:hAnsi="Verdana"/>
          <w:sz w:val="20"/>
          <w:szCs w:val="20"/>
          <w:lang w:val="cs-CZ"/>
        </w:rPr>
        <w:t>D., </w:t>
      </w:r>
      <w:hyperlink r:id="rId175" w:history="1">
        <w:r w:rsidR="006536E7">
          <w:rPr>
            <w:rFonts w:ascii="Verdana" w:hAnsi="Verdana"/>
            <w:sz w:val="20"/>
            <w:szCs w:val="20"/>
            <w:lang w:val="cs-CZ"/>
          </w:rPr>
          <w:t xml:space="preserve"> McCarthy</w:t>
        </w:r>
      </w:hyperlink>
      <w:r w:rsidR="006536E7">
        <w:rPr>
          <w:lang w:val="cs-CZ"/>
        </w:rPr>
        <w:t xml:space="preserve"> </w:t>
      </w:r>
      <w:r w:rsidR="006536E7">
        <w:rPr>
          <w:rFonts w:ascii="Verdana" w:hAnsi="Verdana"/>
          <w:sz w:val="20"/>
          <w:szCs w:val="20"/>
          <w:lang w:val="cs-CZ"/>
        </w:rPr>
        <w:t>A., </w:t>
      </w:r>
      <w:hyperlink r:id="rId176" w:history="1">
        <w:r w:rsidR="006536E7">
          <w:rPr>
            <w:rFonts w:ascii="Verdana" w:hAnsi="Verdana"/>
            <w:sz w:val="20"/>
            <w:szCs w:val="20"/>
            <w:lang w:val="cs-CZ"/>
          </w:rPr>
          <w:t xml:space="preserve"> O’Brien</w:t>
        </w:r>
      </w:hyperlink>
      <w:r w:rsidR="006536E7">
        <w:rPr>
          <w:rFonts w:ascii="Verdana" w:hAnsi="Verdana"/>
          <w:sz w:val="20"/>
          <w:szCs w:val="20"/>
          <w:lang w:val="cs-CZ"/>
        </w:rPr>
        <w:t xml:space="preserve"> P.,  </w:t>
      </w:r>
      <w:hyperlink r:id="rId177" w:history="1">
        <w:r w:rsidR="006536E7">
          <w:rPr>
            <w:rFonts w:ascii="Verdana" w:hAnsi="Verdana"/>
            <w:sz w:val="20"/>
            <w:szCs w:val="20"/>
            <w:lang w:val="cs-CZ"/>
          </w:rPr>
          <w:t xml:space="preserve"> Tomaney</w:t>
        </w:r>
      </w:hyperlink>
      <w:r w:rsidR="006536E7">
        <w:rPr>
          <w:lang w:val="cs-CZ"/>
        </w:rPr>
        <w:t xml:space="preserve"> </w:t>
      </w:r>
      <w:r w:rsidR="006536E7">
        <w:rPr>
          <w:rFonts w:ascii="Verdana" w:hAnsi="Verdana"/>
          <w:sz w:val="20"/>
          <w:szCs w:val="20"/>
          <w:lang w:val="cs-CZ"/>
        </w:rPr>
        <w:t xml:space="preserve">J. (2015). Local institutions and local economic development: the Local Enterprise Partnerships in England. </w:t>
      </w:r>
      <w:r w:rsidR="006536E7">
        <w:rPr>
          <w:rFonts w:ascii="Verdana" w:hAnsi="Verdana"/>
          <w:i/>
          <w:sz w:val="20"/>
          <w:szCs w:val="20"/>
          <w:lang w:val="cs-CZ"/>
        </w:rPr>
        <w:t>Cambridge Journal of Regions, Economy and Society</w:t>
      </w:r>
      <w:r w:rsidR="006536E7">
        <w:rPr>
          <w:rFonts w:ascii="Verdana" w:hAnsi="Verdana"/>
          <w:sz w:val="20"/>
          <w:szCs w:val="20"/>
          <w:lang w:val="cs-CZ"/>
        </w:rPr>
        <w:t>, Volume 8, Issue 2</w:t>
      </w:r>
      <w:r w:rsidR="006536E7">
        <w:rPr>
          <w:rFonts w:ascii="Verdana" w:hAnsi="Verdana"/>
          <w:sz w:val="20"/>
          <w:szCs w:val="20"/>
        </w:rPr>
        <w:t>:</w:t>
      </w:r>
      <w:r w:rsidR="006536E7">
        <w:rPr>
          <w:rFonts w:ascii="Verdana" w:hAnsi="Verdana"/>
          <w:sz w:val="20"/>
          <w:szCs w:val="20"/>
          <w:lang w:val="cs-CZ"/>
        </w:rPr>
        <w:t xml:space="preserve"> pp. 185–204 </w:t>
      </w:r>
    </w:p>
    <w:p w:rsidR="005C3F63" w:rsidRDefault="006536E7">
      <w:pPr>
        <w:pStyle w:val="aff"/>
        <w:jc w:val="both"/>
        <w:rPr>
          <w:rFonts w:ascii="Verdana" w:hAnsi="Verdana"/>
          <w:sz w:val="20"/>
          <w:szCs w:val="20"/>
          <w:lang w:val="cs-CZ"/>
        </w:rPr>
      </w:pPr>
      <w:r>
        <w:rPr>
          <w:rFonts w:ascii="Verdana" w:hAnsi="Verdana"/>
          <w:sz w:val="20"/>
          <w:szCs w:val="20"/>
          <w:lang w:val="cs-CZ"/>
        </w:rPr>
        <w:t>Romans, W., Ulasiuk, I., &amp; Petrenko Tomsen, A. (2018). Effective participation of national minorities and conflict prevention. Leiden, Boston.</w:t>
      </w:r>
    </w:p>
    <w:p w:rsidR="005C3F63" w:rsidRDefault="006536E7">
      <w:pPr>
        <w:pStyle w:val="aff"/>
        <w:jc w:val="both"/>
        <w:rPr>
          <w:rFonts w:ascii="Verdana" w:hAnsi="Verdana"/>
          <w:sz w:val="20"/>
          <w:szCs w:val="20"/>
        </w:rPr>
      </w:pPr>
      <w:r>
        <w:rPr>
          <w:rFonts w:ascii="Verdana" w:hAnsi="Verdana"/>
          <w:sz w:val="20"/>
          <w:szCs w:val="20"/>
          <w:lang w:val="cs-CZ"/>
        </w:rPr>
        <w:t xml:space="preserve">Vedel', Zh. (1973), </w:t>
      </w:r>
      <w:r>
        <w:rPr>
          <w:rFonts w:ascii="Verdana" w:hAnsi="Verdana"/>
          <w:i/>
          <w:sz w:val="20"/>
          <w:szCs w:val="20"/>
          <w:lang w:val="cs-CZ"/>
        </w:rPr>
        <w:t>Administrativnoe pravo Francii</w:t>
      </w:r>
      <w:r>
        <w:rPr>
          <w:rFonts w:ascii="Verdana" w:hAnsi="Verdana"/>
          <w:sz w:val="20"/>
          <w:szCs w:val="20"/>
          <w:lang w:val="cs-CZ"/>
        </w:rPr>
        <w:t>.</w:t>
      </w:r>
      <w:r>
        <w:rPr>
          <w:rFonts w:ascii="Verdana" w:hAnsi="Verdana"/>
          <w:sz w:val="20"/>
          <w:szCs w:val="20"/>
        </w:rPr>
        <w:t xml:space="preserve"> </w:t>
      </w:r>
      <w:r>
        <w:rPr>
          <w:rFonts w:ascii="Verdana" w:hAnsi="Verdana"/>
          <w:sz w:val="20"/>
          <w:szCs w:val="20"/>
          <w:lang w:val="cs-CZ"/>
        </w:rPr>
        <w:t>Moscow</w:t>
      </w:r>
      <w:r>
        <w:rPr>
          <w:rFonts w:ascii="Verdana" w:hAnsi="Verdana"/>
          <w:sz w:val="20"/>
          <w:szCs w:val="20"/>
        </w:rPr>
        <w:t>:</w:t>
      </w:r>
      <w:r>
        <w:t xml:space="preserve"> </w:t>
      </w:r>
      <w:r>
        <w:rPr>
          <w:rFonts w:ascii="Verdana" w:hAnsi="Verdana"/>
          <w:sz w:val="20"/>
          <w:szCs w:val="20"/>
        </w:rPr>
        <w:t>Progress.</w:t>
      </w:r>
    </w:p>
    <w:p w:rsidR="005C3F63" w:rsidRDefault="006536E7">
      <w:pPr>
        <w:pStyle w:val="aff"/>
        <w:jc w:val="both"/>
        <w:rPr>
          <w:rFonts w:ascii="Verdana" w:hAnsi="Verdana"/>
          <w:sz w:val="20"/>
          <w:szCs w:val="20"/>
        </w:rPr>
      </w:pPr>
      <w:r>
        <w:rPr>
          <w:rFonts w:ascii="Verdana" w:hAnsi="Verdana"/>
          <w:sz w:val="20"/>
          <w:szCs w:val="20"/>
          <w:lang w:val="cs-CZ"/>
        </w:rPr>
        <w:t xml:space="preserve">Zabeyvorota T. (2017), Modernization of the system of public administration in the conditions of decentralization of power: diss. ... cand. of public administration. Kharkiv. </w:t>
      </w:r>
    </w:p>
    <w:p w:rsidR="005C3F63" w:rsidRDefault="006536E7">
      <w:pPr>
        <w:pStyle w:val="aff"/>
        <w:rPr>
          <w:rFonts w:ascii="Verdana" w:hAnsi="Verdana"/>
          <w:sz w:val="20"/>
          <w:szCs w:val="20"/>
          <w:lang w:val="cs-CZ"/>
        </w:rPr>
      </w:pPr>
      <w:r>
        <w:rPr>
          <w:rFonts w:ascii="Verdana" w:hAnsi="Verdana"/>
          <w:sz w:val="20"/>
          <w:szCs w:val="20"/>
          <w:lang w:val="cs-CZ"/>
        </w:rPr>
        <w:lastRenderedPageBreak/>
        <w:t xml:space="preserve">Procházka D., Procházková Ilinitchi Cr. (2011), The Theoretical Relationships among Foreign Direct Investments, Migration and IFRS Adoption. </w:t>
      </w:r>
      <w:hyperlink r:id="rId178" w:history="1">
        <w:r>
          <w:rPr>
            <w:rFonts w:ascii="Verdana" w:hAnsi="Verdana"/>
            <w:i/>
            <w:sz w:val="20"/>
            <w:szCs w:val="20"/>
            <w:lang w:val="cs-CZ"/>
          </w:rPr>
          <w:t xml:space="preserve">European Financial and Accounting Journal, </w:t>
        </w:r>
        <w:r>
          <w:rPr>
            <w:rFonts w:ascii="Verdana" w:hAnsi="Verdana"/>
            <w:sz w:val="20"/>
            <w:szCs w:val="20"/>
            <w:lang w:val="cs-CZ"/>
          </w:rPr>
          <w:t>Volume 6(4)</w:t>
        </w:r>
        <w:r>
          <w:rPr>
            <w:rFonts w:ascii="Verdana" w:hAnsi="Verdana"/>
            <w:sz w:val="20"/>
            <w:szCs w:val="20"/>
          </w:rPr>
          <w:t>:</w:t>
        </w:r>
        <w:r>
          <w:rPr>
            <w:rFonts w:ascii="Verdana" w:hAnsi="Verdana"/>
            <w:sz w:val="20"/>
            <w:szCs w:val="20"/>
            <w:lang w:val="cs-CZ"/>
          </w:rPr>
          <w:t xml:space="preserve"> pp. 85-100</w:t>
        </w:r>
      </w:hyperlink>
    </w:p>
    <w:p w:rsidR="005C3F63" w:rsidRDefault="006536E7">
      <w:pPr>
        <w:jc w:val="left"/>
        <w:rPr>
          <w:rFonts w:ascii="Verdana" w:eastAsia="MS Mincho" w:hAnsi="Verdana"/>
          <w:kern w:val="2"/>
          <w:sz w:val="20"/>
          <w:szCs w:val="20"/>
          <w:shd w:val="clear" w:color="auto" w:fill="FFFFFF"/>
          <w:lang w:val="cs-CZ" w:eastAsia="ja-JP" w:bidi="ar-SA"/>
        </w:rPr>
      </w:pPr>
      <w:r>
        <w:rPr>
          <w:rFonts w:ascii="Verdana" w:hAnsi="Verdana"/>
          <w:sz w:val="20"/>
          <w:szCs w:val="20"/>
          <w:lang w:val="cs-CZ"/>
        </w:rPr>
        <w:br w:type="page"/>
      </w:r>
    </w:p>
    <w:p w:rsidR="005C3F63" w:rsidRDefault="006536E7">
      <w:pPr>
        <w:pStyle w:val="1"/>
      </w:pPr>
      <w:bookmarkStart w:id="500" w:name="_Toc47951528"/>
      <w:r>
        <w:lastRenderedPageBreak/>
        <w:t>Financing of social programs in conflict times on the basis of venture philanthropy: Accounting aspect</w:t>
      </w:r>
      <w:bookmarkEnd w:id="500"/>
    </w:p>
    <w:p w:rsidR="005C3F63" w:rsidRDefault="006536E7">
      <w:pPr>
        <w:pStyle w:val="Autor"/>
        <w:rPr>
          <w:rStyle w:val="AutorChar"/>
          <w:rFonts w:eastAsiaTheme="majorEastAsia"/>
          <w:b/>
        </w:rPr>
      </w:pPr>
      <w:bookmarkStart w:id="501" w:name="_Toc47948794"/>
      <w:bookmarkStart w:id="502" w:name="_Toc47949306"/>
      <w:bookmarkStart w:id="503" w:name="_Toc47948992"/>
      <w:bookmarkStart w:id="504" w:name="_Toc47449313"/>
      <w:bookmarkStart w:id="505" w:name="_Toc47451154"/>
      <w:bookmarkStart w:id="506" w:name="_Toc47448557"/>
      <w:bookmarkStart w:id="507" w:name="_Toc47448838"/>
      <w:bookmarkStart w:id="508" w:name="_Toc47951371"/>
      <w:bookmarkStart w:id="509" w:name="_Toc47448612"/>
      <w:bookmarkStart w:id="510" w:name="_Toc47951529"/>
      <w:bookmarkStart w:id="511" w:name="_Toc47948733"/>
      <w:bookmarkStart w:id="512" w:name="_Toc47951464"/>
      <w:r>
        <w:rPr>
          <w:rStyle w:val="AutorChar"/>
          <w:rFonts w:eastAsiaTheme="majorEastAsia"/>
          <w:b/>
        </w:rPr>
        <w:t>Serhiy Lehenchuk</w:t>
      </w:r>
      <w:r>
        <w:rPr>
          <w:rStyle w:val="AutorChar"/>
          <w:rFonts w:eastAsiaTheme="majorEastAsia"/>
          <w:b/>
          <w:vertAlign w:val="superscript"/>
        </w:rPr>
        <w:t>1</w:t>
      </w:r>
      <w:r>
        <w:rPr>
          <w:rStyle w:val="AutorChar"/>
          <w:rFonts w:eastAsiaTheme="majorEastAsia"/>
          <w:b/>
        </w:rPr>
        <w:t>, Iryna Vyhivska</w:t>
      </w:r>
      <w:r>
        <w:rPr>
          <w:rStyle w:val="AutorChar"/>
          <w:rFonts w:eastAsiaTheme="majorEastAsia"/>
          <w:b/>
          <w:vertAlign w:val="superscript"/>
        </w:rPr>
        <w:t>2</w:t>
      </w:r>
      <w:r>
        <w:t>, H</w:t>
      </w:r>
      <w:r>
        <w:rPr>
          <w:rStyle w:val="AutorChar"/>
          <w:rFonts w:eastAsiaTheme="majorEastAsia"/>
          <w:b/>
        </w:rPr>
        <w:t>anna Khomenko</w:t>
      </w:r>
      <w:r>
        <w:rPr>
          <w:rStyle w:val="AutorChar"/>
          <w:rFonts w:eastAsiaTheme="majorEastAsia"/>
          <w:b/>
          <w:vertAlign w:val="superscript"/>
        </w:rPr>
        <w:t>3</w:t>
      </w:r>
      <w:bookmarkEnd w:id="501"/>
      <w:bookmarkEnd w:id="502"/>
      <w:bookmarkEnd w:id="503"/>
      <w:bookmarkEnd w:id="504"/>
      <w:bookmarkEnd w:id="505"/>
      <w:bookmarkEnd w:id="506"/>
      <w:bookmarkEnd w:id="507"/>
      <w:bookmarkEnd w:id="508"/>
      <w:bookmarkEnd w:id="509"/>
      <w:bookmarkEnd w:id="510"/>
      <w:bookmarkEnd w:id="511"/>
      <w:bookmarkEnd w:id="512"/>
    </w:p>
    <w:p w:rsidR="005C3F63" w:rsidRDefault="006536E7">
      <w:pPr>
        <w:jc w:val="center"/>
        <w:rPr>
          <w:rFonts w:ascii="Verdana" w:hAnsi="Verdana"/>
          <w:sz w:val="18"/>
          <w:szCs w:val="18"/>
        </w:rPr>
      </w:pPr>
      <w:r>
        <w:rPr>
          <w:rFonts w:ascii="Verdana" w:hAnsi="Verdana"/>
          <w:sz w:val="18"/>
          <w:szCs w:val="18"/>
          <w:vertAlign w:val="superscript"/>
        </w:rPr>
        <w:t>1</w:t>
      </w:r>
      <w:r>
        <w:rPr>
          <w:rFonts w:ascii="Verdana" w:hAnsi="Verdana"/>
          <w:sz w:val="18"/>
          <w:szCs w:val="18"/>
        </w:rPr>
        <w:t>Zhytomyr Polytechnic State University</w:t>
      </w:r>
    </w:p>
    <w:p w:rsidR="005C3F63" w:rsidRDefault="006536E7">
      <w:pPr>
        <w:jc w:val="center"/>
        <w:rPr>
          <w:rFonts w:ascii="Verdana" w:hAnsi="Verdana"/>
          <w:sz w:val="18"/>
          <w:szCs w:val="18"/>
        </w:rPr>
      </w:pPr>
      <w:r>
        <w:rPr>
          <w:rFonts w:ascii="Verdana" w:hAnsi="Verdana"/>
          <w:sz w:val="18"/>
          <w:szCs w:val="18"/>
        </w:rPr>
        <w:t>Faculty of Business and Service, Department</w:t>
      </w:r>
      <w:r>
        <w:t xml:space="preserve"> </w:t>
      </w:r>
      <w:r>
        <w:rPr>
          <w:rFonts w:ascii="Verdana" w:hAnsi="Verdana"/>
          <w:sz w:val="18"/>
          <w:szCs w:val="18"/>
        </w:rPr>
        <w:t>Department of Accounting and Auditing</w:t>
      </w:r>
    </w:p>
    <w:p w:rsidR="005C3F63" w:rsidRDefault="006536E7">
      <w:pPr>
        <w:jc w:val="center"/>
        <w:rPr>
          <w:rFonts w:ascii="Verdana" w:hAnsi="Verdana"/>
          <w:sz w:val="18"/>
          <w:szCs w:val="18"/>
          <w:lang w:val="uk-UA"/>
        </w:rPr>
      </w:pPr>
      <w:r>
        <w:rPr>
          <w:rFonts w:ascii="Verdana" w:hAnsi="Verdana"/>
          <w:sz w:val="18"/>
          <w:szCs w:val="18"/>
        </w:rPr>
        <w:t>103, Chudnivska str., Zhytomyr, 10005, Ukraine</w:t>
      </w:r>
    </w:p>
    <w:p w:rsidR="005C3F63" w:rsidRDefault="006536E7">
      <w:pPr>
        <w:jc w:val="center"/>
        <w:rPr>
          <w:rFonts w:ascii="Verdana" w:hAnsi="Verdana"/>
          <w:sz w:val="18"/>
          <w:szCs w:val="18"/>
          <w:lang w:val="uk-UA"/>
        </w:rPr>
      </w:pPr>
      <w:r>
        <w:rPr>
          <w:rFonts w:ascii="Verdana" w:hAnsi="Verdana"/>
          <w:sz w:val="18"/>
          <w:szCs w:val="18"/>
          <w:lang w:val="en-GB"/>
        </w:rPr>
        <w:t xml:space="preserve">E-mail: </w:t>
      </w:r>
      <w:hyperlink r:id="rId179" w:tgtFrame="_blank" w:history="1">
        <w:r>
          <w:rPr>
            <w:rFonts w:ascii="Verdana" w:hAnsi="Verdana"/>
            <w:sz w:val="18"/>
            <w:szCs w:val="18"/>
            <w:lang w:val="en-GB"/>
          </w:rPr>
          <w:t>legenchyk2014@gmail.com</w:t>
        </w:r>
      </w:hyperlink>
      <w:r>
        <w:rPr>
          <w:rFonts w:ascii="Verdana" w:hAnsi="Verdana"/>
          <w:sz w:val="18"/>
          <w:szCs w:val="18"/>
          <w:lang w:val="en-GB"/>
        </w:rPr>
        <w:t>,</w:t>
      </w:r>
    </w:p>
    <w:p w:rsidR="005C3F63" w:rsidRDefault="005C3F63">
      <w:pPr>
        <w:jc w:val="center"/>
        <w:rPr>
          <w:rFonts w:ascii="Verdana" w:hAnsi="Verdana"/>
          <w:sz w:val="18"/>
          <w:szCs w:val="18"/>
          <w:lang w:val="en-GB"/>
        </w:rPr>
      </w:pPr>
    </w:p>
    <w:p w:rsidR="005C3F63" w:rsidRDefault="006536E7">
      <w:pPr>
        <w:jc w:val="center"/>
        <w:rPr>
          <w:rFonts w:ascii="Verdana" w:hAnsi="Verdana"/>
          <w:sz w:val="18"/>
          <w:szCs w:val="18"/>
        </w:rPr>
      </w:pPr>
      <w:r>
        <w:rPr>
          <w:rFonts w:ascii="Verdana" w:hAnsi="Verdana"/>
          <w:sz w:val="18"/>
          <w:szCs w:val="18"/>
          <w:vertAlign w:val="superscript"/>
          <w:lang w:val="uk-UA"/>
        </w:rPr>
        <w:t>2</w:t>
      </w:r>
      <w:r>
        <w:rPr>
          <w:rFonts w:ascii="Verdana" w:hAnsi="Verdana"/>
          <w:sz w:val="18"/>
          <w:szCs w:val="18"/>
        </w:rPr>
        <w:t>Zhytomyr Polytechnic State University</w:t>
      </w:r>
    </w:p>
    <w:p w:rsidR="005C3F63" w:rsidRDefault="006536E7">
      <w:pPr>
        <w:jc w:val="center"/>
        <w:rPr>
          <w:rFonts w:ascii="Verdana" w:hAnsi="Verdana"/>
          <w:sz w:val="18"/>
          <w:szCs w:val="18"/>
        </w:rPr>
      </w:pPr>
      <w:r>
        <w:rPr>
          <w:rFonts w:ascii="Verdana" w:hAnsi="Verdana"/>
          <w:sz w:val="18"/>
          <w:szCs w:val="18"/>
        </w:rPr>
        <w:t>Faculty of Business and Service, Department</w:t>
      </w:r>
      <w:r>
        <w:t xml:space="preserve"> </w:t>
      </w:r>
      <w:r>
        <w:rPr>
          <w:rFonts w:ascii="Verdana" w:hAnsi="Verdana"/>
          <w:sz w:val="18"/>
          <w:szCs w:val="18"/>
        </w:rPr>
        <w:t>Department of Accounting and Auditing</w:t>
      </w:r>
    </w:p>
    <w:p w:rsidR="005C3F63" w:rsidRDefault="006536E7">
      <w:pPr>
        <w:jc w:val="center"/>
        <w:rPr>
          <w:rFonts w:ascii="Verdana" w:hAnsi="Verdana"/>
          <w:sz w:val="18"/>
          <w:szCs w:val="18"/>
          <w:lang w:val="uk-UA"/>
        </w:rPr>
      </w:pPr>
      <w:r>
        <w:rPr>
          <w:rFonts w:ascii="Verdana" w:hAnsi="Verdana"/>
          <w:sz w:val="18"/>
          <w:szCs w:val="18"/>
        </w:rPr>
        <w:t>103, Chudnivska str., Zhytomyr, 10005, Ukraine</w:t>
      </w:r>
    </w:p>
    <w:p w:rsidR="005C3F63" w:rsidRDefault="006536E7">
      <w:pPr>
        <w:jc w:val="center"/>
        <w:rPr>
          <w:rFonts w:ascii="Verdana" w:hAnsi="Verdana"/>
          <w:sz w:val="18"/>
          <w:szCs w:val="18"/>
          <w:lang w:val="en-GB"/>
        </w:rPr>
      </w:pPr>
      <w:r>
        <w:rPr>
          <w:rFonts w:ascii="Verdana" w:hAnsi="Verdana"/>
          <w:sz w:val="18"/>
          <w:szCs w:val="18"/>
          <w:lang w:val="en-GB"/>
        </w:rPr>
        <w:t>E-mail: virina1407@gmail.com,</w:t>
      </w:r>
    </w:p>
    <w:p w:rsidR="005C3F63" w:rsidRDefault="005C3F63">
      <w:pPr>
        <w:jc w:val="center"/>
        <w:rPr>
          <w:rFonts w:ascii="Verdana" w:hAnsi="Verdana"/>
          <w:sz w:val="18"/>
          <w:szCs w:val="18"/>
        </w:rPr>
      </w:pPr>
    </w:p>
    <w:p w:rsidR="005C3F63" w:rsidRDefault="006536E7">
      <w:pPr>
        <w:jc w:val="center"/>
        <w:rPr>
          <w:rFonts w:ascii="Verdana" w:hAnsi="Verdana"/>
          <w:sz w:val="18"/>
          <w:szCs w:val="18"/>
        </w:rPr>
      </w:pPr>
      <w:r>
        <w:rPr>
          <w:rFonts w:ascii="Verdana" w:hAnsi="Verdana"/>
          <w:sz w:val="18"/>
          <w:szCs w:val="18"/>
          <w:vertAlign w:val="superscript"/>
          <w:lang w:val="uk-UA"/>
        </w:rPr>
        <w:t>3</w:t>
      </w:r>
      <w:r>
        <w:rPr>
          <w:rFonts w:ascii="Verdana" w:hAnsi="Verdana"/>
          <w:sz w:val="18"/>
          <w:szCs w:val="18"/>
        </w:rPr>
        <w:t>Zhytomyr Polytechnic State University</w:t>
      </w:r>
    </w:p>
    <w:p w:rsidR="005C3F63" w:rsidRDefault="006536E7">
      <w:pPr>
        <w:jc w:val="center"/>
        <w:rPr>
          <w:rFonts w:ascii="Verdana" w:hAnsi="Verdana"/>
          <w:sz w:val="18"/>
          <w:szCs w:val="18"/>
        </w:rPr>
      </w:pPr>
      <w:r>
        <w:rPr>
          <w:rFonts w:ascii="Verdana" w:hAnsi="Verdana"/>
          <w:sz w:val="18"/>
          <w:szCs w:val="18"/>
        </w:rPr>
        <w:t>Faculty of Business and Service, Department</w:t>
      </w:r>
      <w:r>
        <w:t xml:space="preserve"> </w:t>
      </w:r>
      <w:r>
        <w:rPr>
          <w:rFonts w:ascii="Verdana" w:hAnsi="Verdana"/>
          <w:sz w:val="18"/>
          <w:szCs w:val="18"/>
        </w:rPr>
        <w:t>Department of Accounting and Auditing</w:t>
      </w:r>
    </w:p>
    <w:p w:rsidR="005C3F63" w:rsidRDefault="006536E7">
      <w:pPr>
        <w:jc w:val="center"/>
        <w:rPr>
          <w:rFonts w:ascii="Verdana" w:hAnsi="Verdana"/>
          <w:sz w:val="18"/>
          <w:szCs w:val="18"/>
          <w:lang w:val="uk-UA"/>
        </w:rPr>
      </w:pPr>
      <w:r>
        <w:rPr>
          <w:rFonts w:ascii="Verdana" w:hAnsi="Verdana"/>
          <w:sz w:val="18"/>
          <w:szCs w:val="18"/>
        </w:rPr>
        <w:t>103, Chudnivska str., Zhytomyr, 10005, Ukraine</w:t>
      </w:r>
    </w:p>
    <w:p w:rsidR="005C3F63" w:rsidRDefault="006536E7">
      <w:pPr>
        <w:jc w:val="center"/>
        <w:rPr>
          <w:rFonts w:ascii="Verdana" w:hAnsi="Verdana"/>
          <w:sz w:val="18"/>
          <w:szCs w:val="18"/>
        </w:rPr>
      </w:pPr>
      <w:r>
        <w:rPr>
          <w:rFonts w:ascii="Verdana" w:hAnsi="Verdana"/>
          <w:sz w:val="18"/>
          <w:szCs w:val="18"/>
          <w:lang w:val="en-GB"/>
        </w:rPr>
        <w:t>E-mail: jakovets.anna@gmail.com,</w:t>
      </w:r>
    </w:p>
    <w:p w:rsidR="005C3F63" w:rsidRDefault="005C3F63">
      <w:pPr>
        <w:rPr>
          <w:rFonts w:ascii="Verdana" w:hAnsi="Verdana"/>
          <w:sz w:val="22"/>
          <w:lang w:val="en-GB"/>
        </w:rPr>
      </w:pPr>
    </w:p>
    <w:p w:rsidR="005C3F63" w:rsidRDefault="006536E7">
      <w:pPr>
        <w:spacing w:after="120"/>
        <w:rPr>
          <w:rFonts w:ascii="Verdana" w:hAnsi="Verdana"/>
          <w:i/>
          <w:sz w:val="20"/>
          <w:szCs w:val="20"/>
          <w:lang w:val="sk-SK"/>
        </w:rPr>
      </w:pPr>
      <w:r>
        <w:rPr>
          <w:rFonts w:ascii="Verdana" w:hAnsi="Verdana"/>
          <w:b/>
          <w:i/>
          <w:sz w:val="20"/>
          <w:szCs w:val="20"/>
          <w:lang w:val="sk-SK"/>
        </w:rPr>
        <w:t xml:space="preserve">Abstract: </w:t>
      </w:r>
      <w:r>
        <w:rPr>
          <w:rFonts w:ascii="Verdana" w:hAnsi="Verdana"/>
          <w:i/>
          <w:sz w:val="20"/>
          <w:szCs w:val="20"/>
          <w:lang w:val="sk-SK"/>
        </w:rPr>
        <w:t>The purpose of the article is to substantiate the need to find alternative sources of social programs funding in conflict times. In particular, the relevance of the use of venture capital in the entity‘s social responsibility implementation has been proven.</w:t>
      </w:r>
      <w:r>
        <w:rPr>
          <w:rFonts w:ascii="Verdana" w:hAnsi="Verdana"/>
          <w:b/>
          <w:i/>
          <w:sz w:val="20"/>
          <w:szCs w:val="20"/>
          <w:lang w:val="sk-SK"/>
        </w:rPr>
        <w:t xml:space="preserve"> </w:t>
      </w:r>
      <w:r>
        <w:rPr>
          <w:rFonts w:ascii="Verdana" w:hAnsi="Verdana"/>
          <w:i/>
          <w:sz w:val="20"/>
          <w:szCs w:val="20"/>
          <w:lang w:val="sk-SK"/>
        </w:rPr>
        <w:t xml:space="preserve">Also authors set the task in the article to substantiate the measures in terms of organizing the formation and provision of information on the financing of social programs on the basis of venture philanthropy, in particular on venture financing. This goal is realized on the basis of application of methods of observation, comparison, analysis, synthesis, generalization and economic-statistical method. Carried analysis allowed to update the new information needs of social investors in assessing the effectiveness of their participation in the financing of social programs. Since modern society today evaluates the activities of a business entity not only in terms of the quality of services and products it produces, but also assesses the readiness and specific steps of the company to address important social issues. It is found that the use of the mechanism and principles of venture philanthropy in financing charitable activities of enterprises is a fairly new phenomenon in world practice, but in international practice there are several successful examples of implementation and financing of social programs using venture capital. </w:t>
      </w:r>
    </w:p>
    <w:p w:rsidR="005C3F63" w:rsidRDefault="006536E7">
      <w:pPr>
        <w:spacing w:after="120"/>
        <w:rPr>
          <w:rFonts w:ascii="Verdana" w:hAnsi="Verdana"/>
          <w:i/>
          <w:sz w:val="20"/>
          <w:szCs w:val="20"/>
          <w:lang w:val="sk-SK"/>
        </w:rPr>
      </w:pPr>
      <w:r>
        <w:rPr>
          <w:rFonts w:ascii="Verdana" w:hAnsi="Verdana"/>
          <w:b/>
          <w:i/>
          <w:sz w:val="20"/>
          <w:szCs w:val="20"/>
          <w:lang w:val="sk-SK"/>
        </w:rPr>
        <w:t>Keywords:</w:t>
      </w:r>
      <w:r>
        <w:rPr>
          <w:rFonts w:ascii="Verdana" w:hAnsi="Verdana"/>
          <w:i/>
          <w:sz w:val="20"/>
          <w:szCs w:val="20"/>
          <w:lang w:val="sk-SK"/>
        </w:rPr>
        <w:t xml:space="preserve"> venture financing, venture philanthropy, social programs, information support, accounting organization</w:t>
      </w:r>
    </w:p>
    <w:p w:rsidR="005C3F63" w:rsidRDefault="006536E7">
      <w:pPr>
        <w:pStyle w:val="04-Anotacijostekstas"/>
        <w:spacing w:before="0" w:after="120"/>
        <w:ind w:left="0" w:right="-284"/>
        <w:jc w:val="left"/>
        <w:rPr>
          <w:rFonts w:ascii="Verdana" w:hAnsi="Verdana"/>
          <w:sz w:val="22"/>
          <w:szCs w:val="22"/>
          <w:lang w:val="cs-CZ"/>
        </w:rPr>
      </w:pPr>
      <w:r>
        <w:rPr>
          <w:rFonts w:ascii="Verdana" w:hAnsi="Verdana"/>
          <w:i/>
          <w:lang w:val="sk-SK"/>
        </w:rPr>
        <w:t>JEL codes: M42, G32, D92</w:t>
      </w:r>
    </w:p>
    <w:p w:rsidR="005C3F63" w:rsidRDefault="006536E7">
      <w:pPr>
        <w:spacing w:before="240" w:after="120"/>
        <w:jc w:val="left"/>
        <w:rPr>
          <w:rStyle w:val="KapitolaChar"/>
          <w:lang w:val="cs-CZ"/>
        </w:rPr>
      </w:pPr>
      <w:r>
        <w:rPr>
          <w:rStyle w:val="KapitolaChar"/>
          <w:lang w:val="cs-CZ"/>
        </w:rPr>
        <w:t xml:space="preserve">1 Introduction </w:t>
      </w:r>
    </w:p>
    <w:p w:rsidR="005C3F63" w:rsidRDefault="006536E7">
      <w:pPr>
        <w:rPr>
          <w:rFonts w:ascii="Verdana" w:hAnsi="Verdana"/>
          <w:sz w:val="20"/>
          <w:szCs w:val="20"/>
          <w:lang w:val="cs-CZ"/>
        </w:rPr>
      </w:pPr>
      <w:r>
        <w:rPr>
          <w:rFonts w:ascii="Verdana" w:hAnsi="Verdana"/>
          <w:sz w:val="20"/>
          <w:szCs w:val="20"/>
          <w:lang w:val="cs-CZ"/>
        </w:rPr>
        <w:t>In the development of approaches to modern business, its social responsibility is becoming increasingly important. Thus, today society is becoming accustomed to monitoring and evaluating the activities of an entity not only in terms of quality of services and products it produces, but also to assess the readiness and specific steps of the company to address relevant and important social issues. The active position of the company in support of socially vulnerable groups of the population of Ukraine, in particular taking into account the times of conflict and pandemics in the world, is becoming relevant today and deserves support and positive assessment in society.</w:t>
      </w:r>
    </w:p>
    <w:p w:rsidR="005C3F63" w:rsidRDefault="006536E7">
      <w:pPr>
        <w:rPr>
          <w:rFonts w:ascii="Verdana" w:hAnsi="Verdana"/>
          <w:sz w:val="20"/>
          <w:szCs w:val="20"/>
          <w:lang w:val="cs-CZ"/>
        </w:rPr>
      </w:pPr>
      <w:r>
        <w:rPr>
          <w:rFonts w:ascii="Verdana" w:hAnsi="Verdana"/>
          <w:sz w:val="20"/>
          <w:szCs w:val="20"/>
          <w:lang w:val="cs-CZ"/>
        </w:rPr>
        <w:t xml:space="preserve">Venture capital in this aspect is important because it helps to expand sources of social programs funding. Today, the involvement of investors and their contributions to the social development of Ukrainian enterprises in the form of venture capital is only at the initial stage of implementation of the principles of such financing. It should be noted that venture financing in our country at this stage of its economic development is equated to direct financing or raising capital for the development of the business entity. Today in Ukraine, targeted assistance predominates, in particular, venture financing involves the </w:t>
      </w:r>
      <w:r>
        <w:rPr>
          <w:rFonts w:ascii="Verdana" w:hAnsi="Verdana"/>
          <w:sz w:val="20"/>
          <w:szCs w:val="20"/>
          <w:lang w:val="cs-CZ"/>
        </w:rPr>
        <w:lastRenderedPageBreak/>
        <w:t>investment of financial resources, as well as in the form of intangible assets, know-how or high-quality management staff.</w:t>
      </w:r>
    </w:p>
    <w:p w:rsidR="005C3F63" w:rsidRDefault="006536E7">
      <w:pPr>
        <w:rPr>
          <w:rFonts w:ascii="Verdana" w:hAnsi="Verdana"/>
          <w:sz w:val="20"/>
          <w:szCs w:val="20"/>
          <w:lang w:val="cs-CZ"/>
        </w:rPr>
      </w:pPr>
      <w:r>
        <w:rPr>
          <w:rFonts w:ascii="Verdana" w:hAnsi="Verdana"/>
          <w:sz w:val="20"/>
          <w:szCs w:val="20"/>
          <w:lang w:val="cs-CZ"/>
        </w:rPr>
        <w:t>According to research, the most common are those charitable tools that are based on the financial assets of companies: the provision of targeted charitable assistance, the implementation of own operational charitable or grant programs, the creation of a corporate fund. Many companies have started the practice of implementing charitable programs through cooperation with charitable and public organizations (Savchuk, Bugera, 2011).</w:t>
      </w:r>
    </w:p>
    <w:p w:rsidR="005C3F63" w:rsidRDefault="006536E7">
      <w:pPr>
        <w:rPr>
          <w:rFonts w:ascii="Verdana" w:hAnsi="Verdana"/>
          <w:sz w:val="20"/>
          <w:szCs w:val="20"/>
          <w:lang w:val="uk-UA"/>
        </w:rPr>
      </w:pPr>
      <w:r>
        <w:rPr>
          <w:rFonts w:ascii="Verdana" w:hAnsi="Verdana"/>
          <w:sz w:val="20"/>
          <w:szCs w:val="20"/>
          <w:lang w:val="uk-UA"/>
        </w:rPr>
        <w:t>The use of the mechanism and principles of venture philanthropy in financing charitable activities of enterprises is a fairly new phenomenon in world practice, but in international practice there are several successful examples of implementation and financing of social programs with the participation of venture capital investors. Thus, the financial support of social and philanthropic programs with the use of venture capital involves not only the financial participation of the philanthropist, but also his active participation in the management of the recipient of financial investments.</w:t>
      </w:r>
    </w:p>
    <w:p w:rsidR="005C3F63" w:rsidRDefault="006536E7">
      <w:pPr>
        <w:rPr>
          <w:rFonts w:ascii="Verdana" w:hAnsi="Verdana"/>
          <w:sz w:val="20"/>
          <w:szCs w:val="20"/>
          <w:lang w:val="cs-CZ"/>
        </w:rPr>
      </w:pPr>
      <w:r>
        <w:rPr>
          <w:rFonts w:ascii="Verdana" w:hAnsi="Verdana"/>
          <w:sz w:val="20"/>
          <w:szCs w:val="20"/>
          <w:lang w:val="cs-CZ"/>
        </w:rPr>
        <w:t>An example of a fund that operates on the basis of venture philanthropy is the Bill and Melinda Gates Foundation. Its activities are aimed primarily at improving the health care system and educational projects. The board also includes Warren Buffett. This fund seeks and finances effective projects. Today, it is the largest in the world and manages more than 44 billion dollars.</w:t>
      </w:r>
    </w:p>
    <w:p w:rsidR="005C3F63" w:rsidRDefault="006536E7">
      <w:pPr>
        <w:rPr>
          <w:rFonts w:ascii="Verdana" w:hAnsi="Verdana"/>
          <w:sz w:val="20"/>
          <w:szCs w:val="20"/>
          <w:lang w:val="cs-CZ"/>
        </w:rPr>
      </w:pPr>
      <w:r>
        <w:rPr>
          <w:rFonts w:ascii="Verdana" w:hAnsi="Verdana"/>
          <w:sz w:val="20"/>
          <w:szCs w:val="20"/>
          <w:lang w:val="cs-CZ"/>
        </w:rPr>
        <w:t>Venture philanthropy can be an important resource for social entrepreneurship because it combines the methods of venture business and philanthropy. It is not aimed at charitable assistance for specific individuals, but at building independent social projects at enterprises.</w:t>
      </w:r>
    </w:p>
    <w:p w:rsidR="005C3F63" w:rsidRDefault="006536E7">
      <w:pPr>
        <w:spacing w:before="240" w:after="120"/>
        <w:jc w:val="left"/>
        <w:rPr>
          <w:rStyle w:val="KapitolaChar"/>
          <w:lang w:val="cs-CZ"/>
        </w:rPr>
      </w:pPr>
      <w:r>
        <w:rPr>
          <w:rStyle w:val="KapitolaChar"/>
          <w:lang w:val="cs-CZ"/>
        </w:rPr>
        <w:t>2 Methodology and Data</w:t>
      </w:r>
    </w:p>
    <w:p w:rsidR="005C3F63" w:rsidRDefault="006536E7">
      <w:pPr>
        <w:rPr>
          <w:rFonts w:ascii="Verdana" w:hAnsi="Verdana"/>
          <w:sz w:val="20"/>
          <w:szCs w:val="20"/>
          <w:lang w:val="cs-CZ"/>
        </w:rPr>
      </w:pPr>
      <w:r>
        <w:rPr>
          <w:rFonts w:ascii="Verdana" w:hAnsi="Verdana"/>
          <w:sz w:val="20"/>
          <w:szCs w:val="20"/>
          <w:lang w:val="cs-CZ"/>
        </w:rPr>
        <w:t>Venture philanthropy differs from the usual in greater desire for innovation and experimentation, in this activity, philanthropists are looking for entrepreneurs who understand the risk. Venture philanthropy provides resources by sharing the philosophy of social entrepreneurship and effective altruism. The latter needs to analyze the consequences of all their actions, even altruistic, in order to maximize the positive effect (</w:t>
      </w:r>
      <w:r>
        <w:rPr>
          <w:lang w:val="uk-UA"/>
        </w:rPr>
        <w:t>Matthews, Dylan</w:t>
      </w:r>
      <w:r>
        <w:t xml:space="preserve">, </w:t>
      </w:r>
      <w:r>
        <w:rPr>
          <w:lang w:val="uk-UA"/>
        </w:rPr>
        <w:t>2015).</w:t>
      </w:r>
    </w:p>
    <w:p w:rsidR="005C3F63" w:rsidRDefault="006536E7">
      <w:pPr>
        <w:rPr>
          <w:rFonts w:ascii="Verdana" w:hAnsi="Verdana"/>
          <w:sz w:val="20"/>
          <w:szCs w:val="20"/>
          <w:lang w:val="cs-CZ"/>
        </w:rPr>
      </w:pPr>
      <w:r>
        <w:rPr>
          <w:rFonts w:ascii="Verdana" w:hAnsi="Verdana"/>
          <w:sz w:val="20"/>
          <w:szCs w:val="20"/>
          <w:lang w:val="cs-CZ"/>
        </w:rPr>
        <w:t>The loan system, focused on the investment use of borrowed funds, sets income from investment projects as the main financial source that provides repayment and prompt servicing of the loan. However, the risk that the implementation of any project is delayed or will fail at all, does not apply to the final investor. If necessary, an additional source of repayment is included, i.e. directly through the state budget (Chyzhevska, Zelenina, 2009).</w:t>
      </w:r>
    </w:p>
    <w:p w:rsidR="005C3F63" w:rsidRDefault="006536E7">
      <w:pPr>
        <w:rPr>
          <w:rFonts w:ascii="Verdana" w:hAnsi="Verdana"/>
          <w:sz w:val="20"/>
          <w:szCs w:val="20"/>
          <w:lang w:val="cs-CZ"/>
        </w:rPr>
      </w:pPr>
      <w:r>
        <w:rPr>
          <w:rFonts w:ascii="Verdana" w:hAnsi="Verdana"/>
          <w:sz w:val="20"/>
          <w:szCs w:val="20"/>
          <w:lang w:val="uk-UA"/>
        </w:rPr>
        <w:t>The main common characteristics of venture philanthropy include: active involvement; specially selected financing (investment approach to determine the most appropriate financing for each individual organization); long-term support (significant and stable support for a limited number of organizations). Another characteristic of venture philanthropy is non-financial support, i</w:t>
      </w:r>
      <w:r>
        <w:rPr>
          <w:rFonts w:ascii="Verdana" w:hAnsi="Verdana"/>
          <w:sz w:val="20"/>
          <w:szCs w:val="20"/>
        </w:rPr>
        <w:t>.</w:t>
      </w:r>
      <w:r>
        <w:rPr>
          <w:rFonts w:ascii="Verdana" w:hAnsi="Verdana"/>
          <w:sz w:val="20"/>
          <w:szCs w:val="20"/>
          <w:lang w:val="uk-UA"/>
        </w:rPr>
        <w:t>e</w:t>
      </w:r>
      <w:r>
        <w:rPr>
          <w:rFonts w:ascii="Verdana" w:hAnsi="Verdana"/>
          <w:sz w:val="20"/>
          <w:szCs w:val="20"/>
        </w:rPr>
        <w:t>.</w:t>
      </w:r>
      <w:r>
        <w:rPr>
          <w:rFonts w:ascii="Verdana" w:hAnsi="Verdana"/>
          <w:sz w:val="20"/>
          <w:szCs w:val="20"/>
          <w:lang w:val="uk-UA"/>
        </w:rPr>
        <w:t xml:space="preserve"> in addition to financial investments, venture partners provide other services that provide individual advice on organizational management, strategic planning, marketing and communications, staffing. In addition, it is important that venture philanthropy donors are focused on strengthening the organizational capacity and long-term viability of the organization and the development of its program activities, and not just to support one-time projects or programs. It is also worth noting such a characteristic of venture philanthropy as performance appraisal, i</w:t>
      </w:r>
      <w:r>
        <w:rPr>
          <w:rFonts w:ascii="Verdana" w:hAnsi="Verdana"/>
          <w:sz w:val="20"/>
          <w:szCs w:val="20"/>
        </w:rPr>
        <w:t>.</w:t>
      </w:r>
      <w:r>
        <w:rPr>
          <w:rFonts w:ascii="Verdana" w:hAnsi="Verdana"/>
          <w:sz w:val="20"/>
          <w:szCs w:val="20"/>
          <w:lang w:val="uk-UA"/>
        </w:rPr>
        <w:t>e</w:t>
      </w:r>
      <w:r>
        <w:rPr>
          <w:rFonts w:ascii="Verdana" w:hAnsi="Verdana"/>
          <w:sz w:val="20"/>
          <w:szCs w:val="20"/>
        </w:rPr>
        <w:t>.</w:t>
      </w:r>
      <w:r>
        <w:rPr>
          <w:rFonts w:ascii="Verdana" w:hAnsi="Verdana"/>
          <w:sz w:val="20"/>
          <w:szCs w:val="20"/>
          <w:lang w:val="uk-UA"/>
        </w:rPr>
        <w:t xml:space="preserve"> the ability to measure venture philanthropy investments with an emphasis on business planning, achieving measurable results and individual stages and at a high level of financial reporting and competent management of the organization</w:t>
      </w:r>
      <w:r>
        <w:rPr>
          <w:rFonts w:ascii="Verdana" w:hAnsi="Verdana"/>
          <w:sz w:val="20"/>
          <w:szCs w:val="20"/>
          <w:lang w:val="cs-CZ"/>
        </w:rPr>
        <w:t xml:space="preserve"> For the development of philanthropy in Ukraine, the variety of tools and forms of charity that are common in domestic and foreign practice is important. When implementing charitable programs, business organizations use various types of charitable tools: opening a separate charitable account, grant and operational (charitable) programs, corporate fund, </w:t>
      </w:r>
      <w:r>
        <w:rPr>
          <w:rFonts w:ascii="Verdana" w:hAnsi="Verdana"/>
          <w:sz w:val="20"/>
          <w:szCs w:val="20"/>
          <w:lang w:val="cs-CZ"/>
        </w:rPr>
        <w:lastRenderedPageBreak/>
        <w:t>programs of assistance with goods and services (In-Kind Giving), corporate volunteering, providing expertise and skills (Pro Bono), etc. (Savchuk, Bugera, 2011).</w:t>
      </w:r>
    </w:p>
    <w:p w:rsidR="005C3F63" w:rsidRDefault="006536E7">
      <w:pPr>
        <w:rPr>
          <w:rFonts w:ascii="Verdana" w:hAnsi="Verdana"/>
          <w:sz w:val="20"/>
          <w:szCs w:val="20"/>
          <w:lang w:val="uk-UA"/>
        </w:rPr>
      </w:pPr>
      <w:r>
        <w:rPr>
          <w:rFonts w:ascii="Verdana" w:hAnsi="Verdana"/>
          <w:sz w:val="20"/>
          <w:szCs w:val="20"/>
          <w:lang w:val="cs-CZ"/>
        </w:rPr>
        <w:t>The partnership of a philanthropist (venture capitalist) and a recipient of social and financial assistance has its fundamental differences compared to conventional investment and, as a rule, for venture capitalists it is a risky investment that does not provide any guarantees for the investor. A venture capitalist will make a profit when he is able to sell his share or stake at a price that will far exceed his initial investment. The dual nature of venture capital investments is that for an enterprise that owns an innovative product, they can act as equity (share in the share capital) or as borrowed capital (in the form of bond liabilities).</w:t>
      </w:r>
    </w:p>
    <w:p w:rsidR="005C3F63" w:rsidRDefault="006536E7">
      <w:pPr>
        <w:rPr>
          <w:rFonts w:ascii="Verdana" w:hAnsi="Verdana"/>
          <w:sz w:val="20"/>
          <w:szCs w:val="20"/>
        </w:rPr>
      </w:pPr>
      <w:r>
        <w:rPr>
          <w:rFonts w:ascii="Verdana" w:hAnsi="Verdana"/>
          <w:sz w:val="20"/>
          <w:szCs w:val="20"/>
          <w:lang w:val="uk-UA"/>
        </w:rPr>
        <w:t xml:space="preserve">This has a direct impact on the indicators of non-financial reporting </w:t>
      </w:r>
      <w:r>
        <w:rPr>
          <w:rFonts w:ascii="Verdana" w:hAnsi="Verdana"/>
          <w:sz w:val="20"/>
          <w:szCs w:val="20"/>
        </w:rPr>
        <w:t>(Prochazka, Dvorakova, 2019)</w:t>
      </w:r>
    </w:p>
    <w:p w:rsidR="005C3F63" w:rsidRDefault="006536E7">
      <w:pPr>
        <w:rPr>
          <w:rFonts w:ascii="Verdana" w:hAnsi="Verdana"/>
          <w:sz w:val="20"/>
          <w:szCs w:val="20"/>
          <w:lang w:val="cs-CZ"/>
        </w:rPr>
      </w:pPr>
      <w:r>
        <w:rPr>
          <w:rFonts w:ascii="Verdana" w:hAnsi="Verdana"/>
          <w:sz w:val="20"/>
          <w:szCs w:val="20"/>
          <w:lang w:val="cs-CZ"/>
        </w:rPr>
        <w:t>In general, venture activity is a rather specific and risky business. Therefore, the presented features of venture activity cause a significant impact on the accounting system, which is seen in the formation of information in the accounting system of venture investments in the form of grouping data by venture investment activities, stages, forms of financing, stages. Accounting should provide complete and timely information on venture capital transactions in order to make timely and effective management decisions in the field of venture capital.</w:t>
      </w:r>
    </w:p>
    <w:p w:rsidR="005C3F63" w:rsidRDefault="006536E7">
      <w:pPr>
        <w:tabs>
          <w:tab w:val="left" w:pos="3402"/>
        </w:tabs>
        <w:rPr>
          <w:rFonts w:ascii="Verdana" w:hAnsi="Verdana"/>
          <w:sz w:val="20"/>
          <w:szCs w:val="20"/>
          <w:lang w:val="cs-CZ"/>
        </w:rPr>
      </w:pPr>
      <w:r>
        <w:rPr>
          <w:rFonts w:ascii="Verdana" w:hAnsi="Verdana"/>
          <w:sz w:val="20"/>
          <w:szCs w:val="20"/>
          <w:lang w:val="cs-CZ"/>
        </w:rPr>
        <w:t>A venture capitalist who heads a fund or company does not invest in his own company. A venture capitalist is an intermediary between syndicated (collective) investors and the entrepreneur. This is one of the most fundamental features of this type of investment. On the one hand, the venture capitalist independently decides on the choice of an object for investment, participates in the work of the board of directors and contributes to the growth and expansion of the company's business, on the other - the final decision on investment is made by the investment committee that represents the interests of investors. Ultimately, the profits that a venture investor receives belong only to the investors, not to him personally. He has the right to count only on part of this profit. These principles were laid down at the initial stage of the formation of venture capital by the founders of this business - T. Perkinson, J. Kleiner, F. Cofield, B. Byers and others. In 1950-60, they developed new basic concepts of financing: the creation of partnerships in the form of venture funds, raising money from limited liability partners and establishing rules to protect their interests, the use of the status of general partner.</w:t>
      </w:r>
    </w:p>
    <w:p w:rsidR="005C3F63" w:rsidRDefault="006536E7">
      <w:pPr>
        <w:rPr>
          <w:rFonts w:ascii="Verdana" w:hAnsi="Verdana"/>
          <w:sz w:val="20"/>
          <w:szCs w:val="20"/>
          <w:lang w:val="cs-CZ"/>
        </w:rPr>
      </w:pPr>
      <w:r>
        <w:rPr>
          <w:rFonts w:ascii="Verdana" w:hAnsi="Verdana"/>
          <w:sz w:val="20"/>
          <w:szCs w:val="20"/>
          <w:lang w:val="cs-CZ"/>
        </w:rPr>
        <w:t>The presented features of venture activity cause a significant impact on the accounting system, which is seen in the formation of information in the accounting system for venture activity in the form of grouping data on areas of venture investment activities, stages, forms of financing. Accounting accounts, in turn, accumulate information about the costs incurred in the course of venture investment activities, their places of origin, centers of responsibility and sources of funding. In addition, the formation of analytical sections of the grouping of accounting data is carried out in order to make timely and effective management decisions.</w:t>
      </w:r>
    </w:p>
    <w:p w:rsidR="005C3F63" w:rsidRDefault="006536E7">
      <w:pPr>
        <w:rPr>
          <w:rFonts w:ascii="Verdana" w:hAnsi="Verdana"/>
          <w:sz w:val="20"/>
          <w:szCs w:val="20"/>
          <w:lang w:val="cs-CZ"/>
        </w:rPr>
      </w:pPr>
      <w:r>
        <w:rPr>
          <w:rFonts w:ascii="Verdana" w:hAnsi="Verdana"/>
          <w:sz w:val="20"/>
          <w:szCs w:val="20"/>
          <w:lang w:val="cs-CZ"/>
        </w:rPr>
        <w:t>Taking into account the information needs of the participants of venture investment, the directions of organization and methods of accounting for the following type of financing at the recipient enterprise are determined: improving the documentation of transactions with venture investments in terms of determining the order of documentation, determining the list of standard forms of primary documents, developing a schedule for their preparation and submission; identification of synthetic and analytical accounting accounts, information on which is systematized in certain analytical sections, as well as improvement of the order of accounting reflection of business transactions with venture financing; clarification of the content of the form of financial statements "Balance Sheet" on the sources of venture financing, as well as the development of forms of internal management reporting (indicating information on raising financial resources through venture financing; on venture capital transactions).</w:t>
      </w:r>
    </w:p>
    <w:p w:rsidR="005C3F63" w:rsidRDefault="006536E7">
      <w:pPr>
        <w:rPr>
          <w:rFonts w:ascii="Verdana" w:hAnsi="Verdana"/>
          <w:sz w:val="20"/>
          <w:szCs w:val="20"/>
          <w:lang w:val="cs-CZ"/>
        </w:rPr>
      </w:pPr>
      <w:r>
        <w:rPr>
          <w:rFonts w:ascii="Verdana" w:hAnsi="Verdana"/>
          <w:sz w:val="20"/>
          <w:szCs w:val="20"/>
          <w:lang w:val="cs-CZ"/>
        </w:rPr>
        <w:t xml:space="preserve">An in-depth analysis of venture financing of social programs characterizes the level of their provision in the form of own and / or borrowed venture capital. We propose to calculate the following coefficients: the coefficient of providing the social program with equity venture capital (CPIP_OwVenchC), the coefficient of providing the social program </w:t>
      </w:r>
      <w:r>
        <w:rPr>
          <w:rFonts w:ascii="Verdana" w:hAnsi="Verdana"/>
          <w:sz w:val="20"/>
          <w:szCs w:val="20"/>
          <w:lang w:val="cs-CZ"/>
        </w:rPr>
        <w:lastRenderedPageBreak/>
        <w:t>with borrowed venture capital (CPIP_BVenchC), the coefficient of providing the social program with venture capital (CPIP_VenchC), which characterizes financing, as well as venture capital in general. At the stage of determining the effectiveness of venture financing, it is advisable to determine the following profitability indicators: return on equity (POwVenchC), return on loan venture capital (PBVenchC), the effectiveness of venture capital participation in financing social programs (venture capital) (PVenchF). The calculation of these indicators reflects the level of additional income of venture capital in different variants of the structure of sources of its formation and shows how many percent will increase the profitability of venture financing as a result of receiving funds from venture investors in the form of equity or debt venture capital.</w:t>
      </w:r>
    </w:p>
    <w:p w:rsidR="005C3F63" w:rsidRDefault="006536E7">
      <w:pPr>
        <w:rPr>
          <w:rFonts w:ascii="Verdana" w:hAnsi="Verdana"/>
          <w:sz w:val="20"/>
          <w:szCs w:val="20"/>
          <w:lang w:val="cs-CZ"/>
        </w:rPr>
      </w:pPr>
      <w:r>
        <w:rPr>
          <w:rFonts w:ascii="Verdana" w:hAnsi="Verdana"/>
          <w:sz w:val="20"/>
          <w:szCs w:val="20"/>
          <w:lang w:val="cs-CZ"/>
        </w:rPr>
        <w:t>Without factor analysis of the indicator of the profitability of own and borrowed venture capital, it is impossible to take into account all factors that will have an impact on the financial performance of an innovative enterprise. This is first and foremost the features of innovative products, the quality of managerial abilities of the management of the enterprise, the choice of areas for the use of venture financing, etc. Therefore, the next step in the in-depth analysis of venture financing is important − this is a factor analysis of the profitability of own and borrowed venture capital. To calculate the influence of factors on the change in the profitability of own and borrowed venture financing, we use the acceptance of expansion of factor systems. On the basis of this reception, the following factor model was constructed:</w:t>
      </w:r>
    </w:p>
    <w:p w:rsidR="005C3F63" w:rsidRDefault="006536E7">
      <w:pPr>
        <w:rPr>
          <w:rFonts w:ascii="Verdana" w:hAnsi="Verdana"/>
          <w:sz w:val="20"/>
          <w:szCs w:val="20"/>
          <w:lang w:val="cs-CZ"/>
        </w:rPr>
      </w:pPr>
      <w:r>
        <w:rPr>
          <w:rFonts w:ascii="Verdana" w:hAnsi="Verdana"/>
          <w:noProof/>
          <w:sz w:val="20"/>
          <w:szCs w:val="20"/>
          <w:lang w:val="cs-CZ"/>
        </w:rPr>
        <w:object w:dxaOrig="8755" w:dyaOrig="6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9pt;height:31.15pt" o:ole="">
            <v:imagedata r:id="rId180" o:title=""/>
          </v:shape>
          <o:OLEObject Type="Embed" ProgID="Equation.3" ShapeID="_x0000_i1025" DrawAspect="Content" ObjectID="_1666589250" r:id="rId181"/>
        </w:object>
      </w:r>
      <w:r>
        <w:rPr>
          <w:rFonts w:ascii="Verdana" w:hAnsi="Verdana"/>
          <w:sz w:val="20"/>
          <w:szCs w:val="20"/>
          <w:lang w:val="cs-CZ"/>
        </w:rPr>
        <w:tab/>
        <w:t>(1)</w:t>
      </w:r>
    </w:p>
    <w:p w:rsidR="005C3F63" w:rsidRDefault="006536E7">
      <w:pPr>
        <w:rPr>
          <w:rFonts w:ascii="Verdana" w:hAnsi="Verdana"/>
          <w:sz w:val="20"/>
          <w:szCs w:val="20"/>
          <w:lang w:val="cs-CZ"/>
        </w:rPr>
      </w:pPr>
      <w:r>
        <w:rPr>
          <w:rFonts w:ascii="Verdana" w:hAnsi="Verdana"/>
          <w:sz w:val="20"/>
          <w:szCs w:val="20"/>
          <w:lang w:val="cs-CZ"/>
        </w:rPr>
        <w:t>where FR – financial result before taxation (total profit) of the innovative enterprise; VenchC – total amount of venture capital; OwVenchC – own venture capital; BVenchC – borrowed venture capital.</w:t>
      </w:r>
    </w:p>
    <w:p w:rsidR="005C3F63" w:rsidRDefault="006536E7">
      <w:pPr>
        <w:rPr>
          <w:rFonts w:ascii="Verdana" w:hAnsi="Verdana"/>
          <w:sz w:val="20"/>
          <w:szCs w:val="20"/>
          <w:lang w:val="cs-CZ"/>
        </w:rPr>
      </w:pPr>
      <w:r>
        <w:rPr>
          <w:rFonts w:ascii="Verdana" w:hAnsi="Verdana"/>
          <w:sz w:val="20"/>
          <w:szCs w:val="20"/>
          <w:lang w:val="cs-CZ"/>
        </w:rPr>
        <w:t>However, comparison of financial results before tax with the amount of own venture capital allows to calculate the profitability of its own venture capital (POwVenchC) and shows the effectiveness of its use. In addition, comparison of the amount of own and borrowed venture financing among each other allows to determine the stability coefficient of venture financing (CStVenchF) and compare borrowed venture capital with venture capital in general – concentration coefficient of borrowed venture capital (CConcBVenchC). In view of the above, the effective probability indicator of venture financing will be presented in the form of a multiplicative model:</w:t>
      </w:r>
    </w:p>
    <w:p w:rsidR="005C3F63" w:rsidRDefault="006536E7">
      <w:pPr>
        <w:rPr>
          <w:rFonts w:ascii="Verdana" w:hAnsi="Verdana"/>
          <w:sz w:val="20"/>
          <w:szCs w:val="20"/>
          <w:lang w:val="cs-CZ"/>
        </w:rPr>
      </w:pPr>
      <w:r>
        <w:rPr>
          <w:rFonts w:ascii="Verdana" w:hAnsi="Verdana"/>
          <w:noProof/>
          <w:sz w:val="20"/>
          <w:szCs w:val="20"/>
          <w:lang w:val="cs-CZ"/>
        </w:rPr>
        <w:object w:dxaOrig="4435" w:dyaOrig="403">
          <v:shape id="_x0000_i1026" type="#_x0000_t75" style="width:221.9pt;height:19.9pt" o:ole="">
            <v:imagedata r:id="rId182" o:title=""/>
          </v:shape>
          <o:OLEObject Type="Embed" ProgID="Equation.3" ShapeID="_x0000_i1026" DrawAspect="Content" ObjectID="_1666589251" r:id="rId183"/>
        </w:object>
      </w:r>
      <w:r>
        <w:rPr>
          <w:rFonts w:ascii="Verdana" w:hAnsi="Verdana"/>
          <w:sz w:val="20"/>
          <w:szCs w:val="20"/>
          <w:lang w:val="cs-CZ"/>
        </w:rPr>
        <w:tab/>
      </w:r>
      <w:r>
        <w:rPr>
          <w:rFonts w:ascii="Verdana" w:hAnsi="Verdana"/>
          <w:sz w:val="20"/>
          <w:szCs w:val="20"/>
          <w:lang w:val="cs-CZ"/>
        </w:rPr>
        <w:tab/>
      </w:r>
      <w:r>
        <w:rPr>
          <w:rFonts w:ascii="Verdana" w:hAnsi="Verdana"/>
          <w:sz w:val="20"/>
          <w:szCs w:val="20"/>
          <w:lang w:val="cs-CZ"/>
        </w:rPr>
        <w:tab/>
      </w:r>
      <w:r>
        <w:rPr>
          <w:rFonts w:ascii="Verdana" w:hAnsi="Verdana"/>
          <w:sz w:val="20"/>
          <w:szCs w:val="20"/>
          <w:lang w:val="cs-CZ"/>
        </w:rPr>
        <w:tab/>
      </w:r>
      <w:r>
        <w:rPr>
          <w:rFonts w:ascii="Verdana" w:hAnsi="Verdana"/>
          <w:sz w:val="20"/>
          <w:szCs w:val="20"/>
          <w:lang w:val="cs-CZ"/>
        </w:rPr>
        <w:tab/>
      </w:r>
      <w:r>
        <w:rPr>
          <w:rFonts w:ascii="Verdana" w:hAnsi="Verdana"/>
          <w:sz w:val="20"/>
          <w:szCs w:val="20"/>
          <w:lang w:val="cs-CZ"/>
        </w:rPr>
        <w:tab/>
      </w:r>
      <w:r>
        <w:rPr>
          <w:rFonts w:ascii="Verdana" w:hAnsi="Verdana"/>
          <w:sz w:val="20"/>
          <w:szCs w:val="20"/>
          <w:lang w:val="cs-CZ"/>
        </w:rPr>
        <w:tab/>
        <w:t>(2)</w:t>
      </w:r>
    </w:p>
    <w:p w:rsidR="005C3F63" w:rsidRDefault="006536E7">
      <w:pPr>
        <w:rPr>
          <w:rFonts w:ascii="Verdana" w:hAnsi="Verdana"/>
          <w:sz w:val="20"/>
          <w:szCs w:val="20"/>
          <w:lang w:val="cs-CZ"/>
        </w:rPr>
      </w:pPr>
      <w:r>
        <w:rPr>
          <w:rFonts w:ascii="Verdana" w:hAnsi="Verdana"/>
          <w:sz w:val="20"/>
          <w:szCs w:val="20"/>
          <w:lang w:val="cs-CZ"/>
        </w:rPr>
        <w:t>We will test the specified factor model, using the initial data of the activities of the innovative enterprise of Ukraine.</w:t>
      </w:r>
    </w:p>
    <w:p w:rsidR="005C3F63" w:rsidRDefault="006536E7">
      <w:pPr>
        <w:spacing w:before="120"/>
        <w:jc w:val="center"/>
        <w:rPr>
          <w:rFonts w:ascii="Verdana" w:hAnsi="Verdana"/>
          <w:sz w:val="20"/>
          <w:szCs w:val="20"/>
          <w:lang w:val="cs-CZ"/>
        </w:rPr>
      </w:pPr>
      <w:r>
        <w:rPr>
          <w:rFonts w:ascii="Verdana" w:hAnsi="Verdana"/>
          <w:b/>
          <w:sz w:val="20"/>
          <w:szCs w:val="20"/>
          <w:lang w:val="cs-CZ"/>
        </w:rPr>
        <w:t xml:space="preserve">Table 1 </w:t>
      </w:r>
      <w:r>
        <w:rPr>
          <w:rFonts w:ascii="Verdana" w:hAnsi="Verdana"/>
          <w:sz w:val="20"/>
          <w:szCs w:val="20"/>
          <w:lang w:val="cs-CZ"/>
        </w:rPr>
        <w:t xml:space="preserve">Output data for factor analysis of the venture capital profitability (venture financing) </w:t>
      </w:r>
    </w:p>
    <w:p w:rsidR="005C3F63" w:rsidRDefault="006536E7">
      <w:pPr>
        <w:spacing w:before="120"/>
        <w:jc w:val="center"/>
        <w:rPr>
          <w:rFonts w:ascii="Verdana" w:hAnsi="Verdana"/>
          <w:b/>
          <w:sz w:val="20"/>
          <w:szCs w:val="20"/>
          <w:lang w:val="cs-CZ"/>
        </w:rPr>
      </w:pPr>
      <w:r>
        <w:rPr>
          <w:rFonts w:ascii="Verdana" w:hAnsi="Verdana"/>
          <w:sz w:val="20"/>
          <w:szCs w:val="20"/>
          <w:lang w:val="cs-CZ"/>
        </w:rPr>
        <w:t>of the Ukrainian enterprise</w:t>
      </w:r>
    </w:p>
    <w:tbl>
      <w:tblPr>
        <w:tblW w:w="0" w:type="auto"/>
        <w:jc w:val="center"/>
        <w:tblBorders>
          <w:top w:val="single" w:sz="12" w:space="0" w:color="000000"/>
          <w:bottom w:val="single" w:sz="12" w:space="0" w:color="000000"/>
        </w:tblBorders>
        <w:tblLook w:val="04A0" w:firstRow="1" w:lastRow="0" w:firstColumn="1" w:lastColumn="0" w:noHBand="0" w:noVBand="1"/>
      </w:tblPr>
      <w:tblGrid>
        <w:gridCol w:w="5030"/>
        <w:gridCol w:w="934"/>
        <w:gridCol w:w="1324"/>
        <w:gridCol w:w="2000"/>
      </w:tblGrid>
      <w:tr w:rsidR="005C3F63">
        <w:trPr>
          <w:jc w:val="center"/>
        </w:trPr>
        <w:tc>
          <w:tcPr>
            <w:tcW w:w="5758" w:type="dxa"/>
            <w:tcBorders>
              <w:bottom w:val="double" w:sz="4" w:space="0" w:color="auto"/>
              <w:right w:val="single" w:sz="6" w:space="0" w:color="000000"/>
            </w:tcBorders>
            <w:shd w:val="clear" w:color="auto" w:fill="auto"/>
            <w:vAlign w:val="center"/>
          </w:tcPr>
          <w:p w:rsidR="005C3F63" w:rsidRDefault="006536E7">
            <w:pPr>
              <w:jc w:val="center"/>
              <w:rPr>
                <w:rFonts w:ascii="Verdana" w:hAnsi="Verdana"/>
                <w:b/>
                <w:sz w:val="20"/>
                <w:szCs w:val="20"/>
                <w:lang w:val="cs-CZ"/>
              </w:rPr>
            </w:pPr>
            <w:r>
              <w:rPr>
                <w:rFonts w:ascii="Verdana" w:hAnsi="Verdana"/>
                <w:b/>
                <w:sz w:val="20"/>
                <w:szCs w:val="20"/>
                <w:lang w:val="cs-CZ"/>
              </w:rPr>
              <w:t>Indicator</w:t>
            </w:r>
          </w:p>
        </w:tc>
        <w:tc>
          <w:tcPr>
            <w:tcW w:w="773" w:type="dxa"/>
            <w:tcBorders>
              <w:bottom w:val="double" w:sz="4" w:space="0" w:color="auto"/>
            </w:tcBorders>
            <w:shd w:val="clear" w:color="auto" w:fill="auto"/>
            <w:vAlign w:val="center"/>
          </w:tcPr>
          <w:p w:rsidR="005C3F63" w:rsidRDefault="006536E7">
            <w:pPr>
              <w:jc w:val="center"/>
              <w:rPr>
                <w:rFonts w:ascii="Verdana" w:hAnsi="Verdana"/>
                <w:b/>
                <w:sz w:val="20"/>
                <w:szCs w:val="20"/>
                <w:lang w:val="cs-CZ"/>
              </w:rPr>
            </w:pPr>
            <w:r>
              <w:rPr>
                <w:rFonts w:ascii="Verdana" w:hAnsi="Verdana"/>
                <w:b/>
                <w:sz w:val="20"/>
                <w:szCs w:val="20"/>
                <w:lang w:val="cs-CZ"/>
              </w:rPr>
              <w:t>Base period</w:t>
            </w:r>
          </w:p>
        </w:tc>
        <w:tc>
          <w:tcPr>
            <w:tcW w:w="1107" w:type="dxa"/>
            <w:tcBorders>
              <w:bottom w:val="double" w:sz="4" w:space="0" w:color="auto"/>
            </w:tcBorders>
            <w:vAlign w:val="center"/>
          </w:tcPr>
          <w:p w:rsidR="005C3F63" w:rsidRDefault="006536E7">
            <w:pPr>
              <w:jc w:val="center"/>
              <w:rPr>
                <w:rFonts w:ascii="Verdana" w:hAnsi="Verdana"/>
                <w:b/>
                <w:sz w:val="20"/>
                <w:szCs w:val="20"/>
                <w:lang w:val="cs-CZ"/>
              </w:rPr>
            </w:pPr>
            <w:r>
              <w:rPr>
                <w:rFonts w:ascii="Verdana" w:hAnsi="Verdana"/>
                <w:b/>
                <w:sz w:val="20"/>
                <w:szCs w:val="20"/>
                <w:lang w:val="cs-CZ"/>
              </w:rPr>
              <w:t>Reporting period</w:t>
            </w:r>
          </w:p>
        </w:tc>
        <w:tc>
          <w:tcPr>
            <w:tcW w:w="2173" w:type="dxa"/>
            <w:tcBorders>
              <w:bottom w:val="double" w:sz="4" w:space="0" w:color="auto"/>
            </w:tcBorders>
            <w:vAlign w:val="center"/>
          </w:tcPr>
          <w:p w:rsidR="005C3F63" w:rsidRDefault="006536E7">
            <w:pPr>
              <w:jc w:val="center"/>
              <w:rPr>
                <w:rFonts w:ascii="Verdana" w:hAnsi="Verdana"/>
                <w:b/>
                <w:sz w:val="20"/>
                <w:szCs w:val="20"/>
                <w:lang w:val="cs-CZ"/>
              </w:rPr>
            </w:pPr>
            <w:r>
              <w:rPr>
                <w:rFonts w:ascii="Verdana" w:hAnsi="Verdana"/>
                <w:b/>
                <w:sz w:val="20"/>
                <w:szCs w:val="20"/>
                <w:lang w:val="cs-CZ"/>
              </w:rPr>
              <w:t>Absolute deviation</w:t>
            </w:r>
          </w:p>
        </w:tc>
      </w:tr>
      <w:tr w:rsidR="005C3F63">
        <w:trPr>
          <w:jc w:val="center"/>
        </w:trPr>
        <w:tc>
          <w:tcPr>
            <w:tcW w:w="5758" w:type="dxa"/>
            <w:tcBorders>
              <w:top w:val="double" w:sz="4" w:space="0" w:color="auto"/>
              <w:right w:val="single" w:sz="6" w:space="0" w:color="000000"/>
            </w:tcBorders>
            <w:shd w:val="clear" w:color="auto" w:fill="auto"/>
          </w:tcPr>
          <w:p w:rsidR="005C3F63" w:rsidRDefault="006536E7">
            <w:pPr>
              <w:rPr>
                <w:rFonts w:ascii="Verdana" w:hAnsi="Verdana"/>
                <w:sz w:val="20"/>
                <w:szCs w:val="20"/>
                <w:lang w:val="cs-CZ"/>
              </w:rPr>
            </w:pPr>
            <w:r>
              <w:rPr>
                <w:rFonts w:ascii="Verdana" w:hAnsi="Verdana"/>
                <w:sz w:val="20"/>
                <w:szCs w:val="20"/>
                <w:lang w:val="cs-CZ"/>
              </w:rPr>
              <w:t>The amount of venture financing in the form of own capital (OwVenchC), thou. UAH</w:t>
            </w:r>
          </w:p>
        </w:tc>
        <w:tc>
          <w:tcPr>
            <w:tcW w:w="773" w:type="dxa"/>
            <w:tcBorders>
              <w:top w:val="double" w:sz="4" w:space="0" w:color="auto"/>
            </w:tcBorders>
            <w:shd w:val="clear" w:color="auto" w:fill="auto"/>
            <w:vAlign w:val="center"/>
          </w:tcPr>
          <w:p w:rsidR="005C3F63" w:rsidRDefault="006536E7">
            <w:pPr>
              <w:rPr>
                <w:rFonts w:ascii="Verdana" w:hAnsi="Verdana"/>
                <w:sz w:val="20"/>
                <w:szCs w:val="20"/>
                <w:lang w:val="cs-CZ"/>
              </w:rPr>
            </w:pPr>
            <w:r>
              <w:rPr>
                <w:rFonts w:ascii="Verdana" w:hAnsi="Verdana"/>
                <w:sz w:val="20"/>
                <w:szCs w:val="20"/>
                <w:lang w:val="cs-CZ"/>
              </w:rPr>
              <w:t>870,0</w:t>
            </w:r>
          </w:p>
        </w:tc>
        <w:tc>
          <w:tcPr>
            <w:tcW w:w="1107" w:type="dxa"/>
            <w:tcBorders>
              <w:top w:val="double" w:sz="4" w:space="0" w:color="auto"/>
            </w:tcBorders>
            <w:vAlign w:val="center"/>
          </w:tcPr>
          <w:p w:rsidR="005C3F63" w:rsidRDefault="006536E7">
            <w:pPr>
              <w:rPr>
                <w:rFonts w:ascii="Verdana" w:hAnsi="Verdana"/>
                <w:sz w:val="20"/>
                <w:szCs w:val="20"/>
                <w:lang w:val="cs-CZ"/>
              </w:rPr>
            </w:pPr>
            <w:r>
              <w:rPr>
                <w:rFonts w:ascii="Verdana" w:hAnsi="Verdana"/>
                <w:sz w:val="20"/>
                <w:szCs w:val="20"/>
                <w:lang w:val="cs-CZ"/>
              </w:rPr>
              <w:t>985,0</w:t>
            </w:r>
          </w:p>
        </w:tc>
        <w:tc>
          <w:tcPr>
            <w:tcW w:w="2173" w:type="dxa"/>
            <w:tcBorders>
              <w:top w:val="double" w:sz="4" w:space="0" w:color="auto"/>
            </w:tcBorders>
            <w:vAlign w:val="center"/>
          </w:tcPr>
          <w:p w:rsidR="005C3F63" w:rsidRDefault="006536E7">
            <w:pPr>
              <w:rPr>
                <w:rFonts w:ascii="Verdana" w:hAnsi="Verdana"/>
                <w:sz w:val="20"/>
                <w:szCs w:val="20"/>
                <w:lang w:val="cs-CZ"/>
              </w:rPr>
            </w:pPr>
            <w:r>
              <w:rPr>
                <w:rFonts w:ascii="Verdana" w:hAnsi="Verdana"/>
                <w:sz w:val="20"/>
                <w:szCs w:val="20"/>
                <w:lang w:val="cs-CZ"/>
              </w:rPr>
              <w:t>+115,0</w:t>
            </w:r>
          </w:p>
        </w:tc>
      </w:tr>
      <w:tr w:rsidR="005C3F63">
        <w:trPr>
          <w:jc w:val="center"/>
        </w:trPr>
        <w:tc>
          <w:tcPr>
            <w:tcW w:w="5758" w:type="dxa"/>
            <w:tcBorders>
              <w:right w:val="single" w:sz="6" w:space="0" w:color="000000"/>
            </w:tcBorders>
            <w:shd w:val="clear" w:color="auto" w:fill="auto"/>
          </w:tcPr>
          <w:p w:rsidR="005C3F63" w:rsidRDefault="006536E7">
            <w:pPr>
              <w:rPr>
                <w:rFonts w:ascii="Verdana" w:hAnsi="Verdana"/>
                <w:sz w:val="20"/>
                <w:szCs w:val="20"/>
                <w:lang w:val="cs-CZ"/>
              </w:rPr>
            </w:pPr>
            <w:r>
              <w:rPr>
                <w:rFonts w:ascii="Verdana" w:hAnsi="Verdana"/>
                <w:sz w:val="20"/>
                <w:szCs w:val="20"/>
                <w:lang w:val="cs-CZ"/>
              </w:rPr>
              <w:t>The amount of venture financing in the form of borrowed capital (BVenchC), thou. UAH</w:t>
            </w:r>
          </w:p>
        </w:tc>
        <w:tc>
          <w:tcPr>
            <w:tcW w:w="773" w:type="dxa"/>
            <w:shd w:val="clear" w:color="auto" w:fill="auto"/>
            <w:vAlign w:val="center"/>
          </w:tcPr>
          <w:p w:rsidR="005C3F63" w:rsidRDefault="006536E7">
            <w:pPr>
              <w:rPr>
                <w:rFonts w:ascii="Verdana" w:hAnsi="Verdana"/>
                <w:sz w:val="20"/>
                <w:szCs w:val="20"/>
                <w:lang w:val="cs-CZ"/>
              </w:rPr>
            </w:pPr>
            <w:r>
              <w:rPr>
                <w:rFonts w:ascii="Verdana" w:hAnsi="Verdana"/>
                <w:sz w:val="20"/>
                <w:szCs w:val="20"/>
                <w:lang w:val="cs-CZ"/>
              </w:rPr>
              <w:t>980,0</w:t>
            </w:r>
          </w:p>
        </w:tc>
        <w:tc>
          <w:tcPr>
            <w:tcW w:w="1107" w:type="dxa"/>
            <w:vAlign w:val="center"/>
          </w:tcPr>
          <w:p w:rsidR="005C3F63" w:rsidRDefault="006536E7">
            <w:pPr>
              <w:rPr>
                <w:rFonts w:ascii="Verdana" w:hAnsi="Verdana"/>
                <w:sz w:val="20"/>
                <w:szCs w:val="20"/>
                <w:lang w:val="cs-CZ"/>
              </w:rPr>
            </w:pPr>
            <w:r>
              <w:rPr>
                <w:rFonts w:ascii="Verdana" w:hAnsi="Verdana"/>
                <w:sz w:val="20"/>
                <w:szCs w:val="20"/>
                <w:lang w:val="cs-CZ"/>
              </w:rPr>
              <w:t>982,0</w:t>
            </w:r>
          </w:p>
        </w:tc>
        <w:tc>
          <w:tcPr>
            <w:tcW w:w="2173" w:type="dxa"/>
            <w:vAlign w:val="center"/>
          </w:tcPr>
          <w:p w:rsidR="005C3F63" w:rsidRDefault="006536E7">
            <w:pPr>
              <w:rPr>
                <w:rFonts w:ascii="Verdana" w:hAnsi="Verdana"/>
                <w:sz w:val="20"/>
                <w:szCs w:val="20"/>
                <w:lang w:val="cs-CZ"/>
              </w:rPr>
            </w:pPr>
            <w:r>
              <w:rPr>
                <w:rFonts w:ascii="Verdana" w:hAnsi="Verdana"/>
                <w:sz w:val="20"/>
                <w:szCs w:val="20"/>
                <w:lang w:val="cs-CZ"/>
              </w:rPr>
              <w:t>+2,0</w:t>
            </w:r>
          </w:p>
        </w:tc>
      </w:tr>
      <w:tr w:rsidR="005C3F63">
        <w:trPr>
          <w:jc w:val="center"/>
        </w:trPr>
        <w:tc>
          <w:tcPr>
            <w:tcW w:w="5758" w:type="dxa"/>
            <w:tcBorders>
              <w:right w:val="single" w:sz="6" w:space="0" w:color="000000"/>
            </w:tcBorders>
            <w:shd w:val="clear" w:color="auto" w:fill="auto"/>
          </w:tcPr>
          <w:p w:rsidR="005C3F63" w:rsidRDefault="006536E7">
            <w:pPr>
              <w:rPr>
                <w:rFonts w:ascii="Verdana" w:hAnsi="Verdana"/>
                <w:sz w:val="20"/>
                <w:szCs w:val="20"/>
                <w:lang w:val="cs-CZ"/>
              </w:rPr>
            </w:pPr>
            <w:r>
              <w:rPr>
                <w:rFonts w:ascii="Verdana" w:hAnsi="Verdana"/>
                <w:sz w:val="20"/>
                <w:szCs w:val="20"/>
                <w:lang w:val="cs-CZ"/>
              </w:rPr>
              <w:t>Total amount of venchure capitl (VenchC), thou. UAH</w:t>
            </w:r>
          </w:p>
        </w:tc>
        <w:tc>
          <w:tcPr>
            <w:tcW w:w="773" w:type="dxa"/>
            <w:shd w:val="clear" w:color="auto" w:fill="auto"/>
            <w:vAlign w:val="center"/>
          </w:tcPr>
          <w:p w:rsidR="005C3F63" w:rsidRDefault="006536E7">
            <w:pPr>
              <w:rPr>
                <w:rFonts w:ascii="Verdana" w:hAnsi="Verdana"/>
                <w:sz w:val="20"/>
                <w:szCs w:val="20"/>
                <w:lang w:val="cs-CZ"/>
              </w:rPr>
            </w:pPr>
            <w:r>
              <w:rPr>
                <w:rFonts w:ascii="Verdana" w:hAnsi="Verdana"/>
                <w:sz w:val="20"/>
                <w:szCs w:val="20"/>
                <w:lang w:val="cs-CZ"/>
              </w:rPr>
              <w:t>1850,0</w:t>
            </w:r>
          </w:p>
        </w:tc>
        <w:tc>
          <w:tcPr>
            <w:tcW w:w="1107" w:type="dxa"/>
            <w:vAlign w:val="center"/>
          </w:tcPr>
          <w:p w:rsidR="005C3F63" w:rsidRDefault="006536E7">
            <w:pPr>
              <w:rPr>
                <w:rFonts w:ascii="Verdana" w:hAnsi="Verdana"/>
                <w:sz w:val="20"/>
                <w:szCs w:val="20"/>
                <w:lang w:val="cs-CZ"/>
              </w:rPr>
            </w:pPr>
            <w:r>
              <w:rPr>
                <w:rFonts w:ascii="Verdana" w:hAnsi="Verdana"/>
                <w:sz w:val="20"/>
                <w:szCs w:val="20"/>
                <w:lang w:val="cs-CZ"/>
              </w:rPr>
              <w:t>1967,0</w:t>
            </w:r>
          </w:p>
        </w:tc>
        <w:tc>
          <w:tcPr>
            <w:tcW w:w="2173" w:type="dxa"/>
            <w:vAlign w:val="center"/>
          </w:tcPr>
          <w:p w:rsidR="005C3F63" w:rsidRDefault="006536E7">
            <w:pPr>
              <w:rPr>
                <w:rFonts w:ascii="Verdana" w:hAnsi="Verdana"/>
                <w:sz w:val="20"/>
                <w:szCs w:val="20"/>
                <w:lang w:val="cs-CZ"/>
              </w:rPr>
            </w:pPr>
            <w:r>
              <w:rPr>
                <w:rFonts w:ascii="Verdana" w:hAnsi="Verdana"/>
                <w:sz w:val="20"/>
                <w:szCs w:val="20"/>
                <w:lang w:val="cs-CZ"/>
              </w:rPr>
              <w:t>+117,0</w:t>
            </w:r>
          </w:p>
        </w:tc>
      </w:tr>
      <w:tr w:rsidR="005C3F63">
        <w:trPr>
          <w:jc w:val="center"/>
        </w:trPr>
        <w:tc>
          <w:tcPr>
            <w:tcW w:w="5758" w:type="dxa"/>
            <w:tcBorders>
              <w:right w:val="single" w:sz="6" w:space="0" w:color="000000"/>
            </w:tcBorders>
            <w:shd w:val="clear" w:color="auto" w:fill="auto"/>
          </w:tcPr>
          <w:p w:rsidR="005C3F63" w:rsidRDefault="006536E7">
            <w:pPr>
              <w:rPr>
                <w:rFonts w:ascii="Verdana" w:hAnsi="Verdana"/>
                <w:sz w:val="20"/>
                <w:szCs w:val="20"/>
                <w:lang w:val="cs-CZ"/>
              </w:rPr>
            </w:pPr>
            <w:r>
              <w:rPr>
                <w:rFonts w:ascii="Verdana" w:hAnsi="Verdana"/>
                <w:sz w:val="20"/>
                <w:szCs w:val="20"/>
                <w:lang w:val="cs-CZ"/>
              </w:rPr>
              <w:t>Financial result before taxation (total profit) of the innovative enterprise (FR), thou. UAH</w:t>
            </w:r>
          </w:p>
        </w:tc>
        <w:tc>
          <w:tcPr>
            <w:tcW w:w="773" w:type="dxa"/>
            <w:shd w:val="clear" w:color="auto" w:fill="auto"/>
            <w:vAlign w:val="center"/>
          </w:tcPr>
          <w:p w:rsidR="005C3F63" w:rsidRDefault="006536E7">
            <w:pPr>
              <w:rPr>
                <w:rFonts w:ascii="Verdana" w:hAnsi="Verdana"/>
                <w:sz w:val="20"/>
                <w:szCs w:val="20"/>
                <w:lang w:val="cs-CZ"/>
              </w:rPr>
            </w:pPr>
            <w:r>
              <w:rPr>
                <w:rFonts w:ascii="Verdana" w:hAnsi="Verdana"/>
                <w:sz w:val="20"/>
                <w:szCs w:val="20"/>
                <w:lang w:val="cs-CZ"/>
              </w:rPr>
              <w:t>7100,0</w:t>
            </w:r>
          </w:p>
        </w:tc>
        <w:tc>
          <w:tcPr>
            <w:tcW w:w="1107" w:type="dxa"/>
            <w:vAlign w:val="center"/>
          </w:tcPr>
          <w:p w:rsidR="005C3F63" w:rsidRDefault="006536E7">
            <w:pPr>
              <w:rPr>
                <w:rFonts w:ascii="Verdana" w:hAnsi="Verdana"/>
                <w:sz w:val="20"/>
                <w:szCs w:val="20"/>
                <w:lang w:val="cs-CZ"/>
              </w:rPr>
            </w:pPr>
            <w:r>
              <w:rPr>
                <w:rFonts w:ascii="Verdana" w:hAnsi="Verdana"/>
                <w:sz w:val="20"/>
                <w:szCs w:val="20"/>
                <w:lang w:val="cs-CZ"/>
              </w:rPr>
              <w:t>8450,0</w:t>
            </w:r>
          </w:p>
        </w:tc>
        <w:tc>
          <w:tcPr>
            <w:tcW w:w="2173" w:type="dxa"/>
            <w:vAlign w:val="center"/>
          </w:tcPr>
          <w:p w:rsidR="005C3F63" w:rsidRDefault="006536E7">
            <w:pPr>
              <w:rPr>
                <w:rFonts w:ascii="Verdana" w:hAnsi="Verdana"/>
                <w:sz w:val="20"/>
                <w:szCs w:val="20"/>
                <w:lang w:val="cs-CZ"/>
              </w:rPr>
            </w:pPr>
            <w:r>
              <w:rPr>
                <w:rFonts w:ascii="Verdana" w:hAnsi="Verdana"/>
                <w:sz w:val="20"/>
                <w:szCs w:val="20"/>
                <w:lang w:val="cs-CZ"/>
              </w:rPr>
              <w:t>+3971,0</w:t>
            </w:r>
          </w:p>
        </w:tc>
      </w:tr>
      <w:tr w:rsidR="005C3F63">
        <w:trPr>
          <w:jc w:val="center"/>
        </w:trPr>
        <w:tc>
          <w:tcPr>
            <w:tcW w:w="5758" w:type="dxa"/>
            <w:tcBorders>
              <w:right w:val="single" w:sz="6" w:space="0" w:color="000000"/>
            </w:tcBorders>
            <w:shd w:val="clear" w:color="auto" w:fill="auto"/>
          </w:tcPr>
          <w:p w:rsidR="005C3F63" w:rsidRDefault="006536E7">
            <w:pPr>
              <w:rPr>
                <w:rFonts w:ascii="Verdana" w:hAnsi="Verdana"/>
                <w:sz w:val="20"/>
                <w:szCs w:val="20"/>
                <w:lang w:val="cs-CZ"/>
              </w:rPr>
            </w:pPr>
            <w:r>
              <w:rPr>
                <w:rFonts w:ascii="Verdana" w:hAnsi="Verdana"/>
                <w:sz w:val="20"/>
                <w:szCs w:val="20"/>
                <w:lang w:val="cs-CZ"/>
              </w:rPr>
              <w:t>Stability coefficient of venture financing (CSTVenchF)</w:t>
            </w:r>
          </w:p>
        </w:tc>
        <w:tc>
          <w:tcPr>
            <w:tcW w:w="773" w:type="dxa"/>
            <w:shd w:val="clear" w:color="auto" w:fill="auto"/>
            <w:vAlign w:val="center"/>
          </w:tcPr>
          <w:p w:rsidR="005C3F63" w:rsidRDefault="006536E7">
            <w:pPr>
              <w:rPr>
                <w:rFonts w:ascii="Verdana" w:hAnsi="Verdana"/>
                <w:sz w:val="20"/>
                <w:szCs w:val="20"/>
                <w:lang w:val="cs-CZ"/>
              </w:rPr>
            </w:pPr>
            <w:r>
              <w:rPr>
                <w:rFonts w:ascii="Verdana" w:hAnsi="Verdana"/>
                <w:sz w:val="20"/>
                <w:szCs w:val="20"/>
                <w:lang w:val="cs-CZ"/>
              </w:rPr>
              <w:t>0,89</w:t>
            </w:r>
          </w:p>
        </w:tc>
        <w:tc>
          <w:tcPr>
            <w:tcW w:w="1107" w:type="dxa"/>
            <w:vAlign w:val="center"/>
          </w:tcPr>
          <w:p w:rsidR="005C3F63" w:rsidRDefault="006536E7">
            <w:pPr>
              <w:rPr>
                <w:rFonts w:ascii="Verdana" w:hAnsi="Verdana"/>
                <w:sz w:val="20"/>
                <w:szCs w:val="20"/>
                <w:lang w:val="cs-CZ"/>
              </w:rPr>
            </w:pPr>
            <w:r>
              <w:rPr>
                <w:rFonts w:ascii="Verdana" w:hAnsi="Verdana"/>
                <w:sz w:val="20"/>
                <w:szCs w:val="20"/>
                <w:lang w:val="cs-CZ"/>
              </w:rPr>
              <w:t>1,0</w:t>
            </w:r>
          </w:p>
        </w:tc>
        <w:tc>
          <w:tcPr>
            <w:tcW w:w="2173" w:type="dxa"/>
            <w:vAlign w:val="center"/>
          </w:tcPr>
          <w:p w:rsidR="005C3F63" w:rsidRDefault="006536E7">
            <w:pPr>
              <w:rPr>
                <w:rFonts w:ascii="Verdana" w:hAnsi="Verdana"/>
                <w:sz w:val="20"/>
                <w:szCs w:val="20"/>
                <w:lang w:val="cs-CZ"/>
              </w:rPr>
            </w:pPr>
            <w:r>
              <w:rPr>
                <w:rFonts w:ascii="Verdana" w:hAnsi="Verdana"/>
                <w:sz w:val="20"/>
                <w:szCs w:val="20"/>
                <w:lang w:val="cs-CZ"/>
              </w:rPr>
              <w:t>+0,11</w:t>
            </w:r>
          </w:p>
        </w:tc>
      </w:tr>
      <w:tr w:rsidR="005C3F63">
        <w:trPr>
          <w:jc w:val="center"/>
        </w:trPr>
        <w:tc>
          <w:tcPr>
            <w:tcW w:w="5758" w:type="dxa"/>
            <w:tcBorders>
              <w:right w:val="single" w:sz="6" w:space="0" w:color="000000"/>
            </w:tcBorders>
            <w:shd w:val="clear" w:color="auto" w:fill="auto"/>
          </w:tcPr>
          <w:p w:rsidR="005C3F63" w:rsidRDefault="006536E7">
            <w:pPr>
              <w:rPr>
                <w:rFonts w:ascii="Verdana" w:hAnsi="Verdana"/>
                <w:sz w:val="20"/>
                <w:szCs w:val="20"/>
                <w:lang w:val="cs-CZ"/>
              </w:rPr>
            </w:pPr>
            <w:r>
              <w:rPr>
                <w:rFonts w:ascii="Verdana" w:hAnsi="Verdana"/>
                <w:sz w:val="20"/>
                <w:szCs w:val="20"/>
                <w:lang w:val="cs-CZ"/>
              </w:rPr>
              <w:t>Concentration coefficient of borrowed venture capital (CConcBVenchC)</w:t>
            </w:r>
          </w:p>
        </w:tc>
        <w:tc>
          <w:tcPr>
            <w:tcW w:w="773" w:type="dxa"/>
            <w:shd w:val="clear" w:color="auto" w:fill="auto"/>
            <w:vAlign w:val="center"/>
          </w:tcPr>
          <w:p w:rsidR="005C3F63" w:rsidRDefault="006536E7">
            <w:pPr>
              <w:rPr>
                <w:rFonts w:ascii="Verdana" w:hAnsi="Verdana"/>
                <w:sz w:val="20"/>
                <w:szCs w:val="20"/>
                <w:lang w:val="cs-CZ"/>
              </w:rPr>
            </w:pPr>
            <w:r>
              <w:rPr>
                <w:rFonts w:ascii="Verdana" w:hAnsi="Verdana"/>
                <w:sz w:val="20"/>
                <w:szCs w:val="20"/>
                <w:lang w:val="cs-CZ"/>
              </w:rPr>
              <w:t>0,53</w:t>
            </w:r>
          </w:p>
        </w:tc>
        <w:tc>
          <w:tcPr>
            <w:tcW w:w="1107" w:type="dxa"/>
            <w:vAlign w:val="center"/>
          </w:tcPr>
          <w:p w:rsidR="005C3F63" w:rsidRDefault="006536E7">
            <w:pPr>
              <w:rPr>
                <w:rFonts w:ascii="Verdana" w:hAnsi="Verdana"/>
                <w:sz w:val="20"/>
                <w:szCs w:val="20"/>
                <w:lang w:val="cs-CZ"/>
              </w:rPr>
            </w:pPr>
            <w:r>
              <w:rPr>
                <w:rFonts w:ascii="Verdana" w:hAnsi="Verdana"/>
                <w:sz w:val="20"/>
                <w:szCs w:val="20"/>
                <w:lang w:val="cs-CZ"/>
              </w:rPr>
              <w:t>0,5</w:t>
            </w:r>
          </w:p>
        </w:tc>
        <w:tc>
          <w:tcPr>
            <w:tcW w:w="2173" w:type="dxa"/>
            <w:vAlign w:val="center"/>
          </w:tcPr>
          <w:p w:rsidR="005C3F63" w:rsidRDefault="006536E7">
            <w:pPr>
              <w:rPr>
                <w:rFonts w:ascii="Verdana" w:hAnsi="Verdana"/>
                <w:sz w:val="20"/>
                <w:szCs w:val="20"/>
                <w:lang w:val="cs-CZ"/>
              </w:rPr>
            </w:pPr>
            <w:r>
              <w:rPr>
                <w:rFonts w:ascii="Verdana" w:hAnsi="Verdana"/>
                <w:sz w:val="20"/>
                <w:szCs w:val="20"/>
                <w:lang w:val="cs-CZ"/>
              </w:rPr>
              <w:t>–0,03</w:t>
            </w:r>
          </w:p>
        </w:tc>
      </w:tr>
      <w:tr w:rsidR="005C3F63">
        <w:trPr>
          <w:jc w:val="center"/>
        </w:trPr>
        <w:tc>
          <w:tcPr>
            <w:tcW w:w="5758" w:type="dxa"/>
            <w:tcBorders>
              <w:bottom w:val="nil"/>
              <w:right w:val="single" w:sz="6" w:space="0" w:color="000000"/>
            </w:tcBorders>
            <w:shd w:val="clear" w:color="auto" w:fill="auto"/>
          </w:tcPr>
          <w:p w:rsidR="005C3F63" w:rsidRDefault="006536E7">
            <w:pPr>
              <w:rPr>
                <w:rFonts w:ascii="Verdana" w:hAnsi="Verdana"/>
                <w:sz w:val="20"/>
                <w:szCs w:val="20"/>
                <w:lang w:val="cs-CZ"/>
              </w:rPr>
            </w:pPr>
            <w:r>
              <w:rPr>
                <w:rFonts w:ascii="Verdana" w:hAnsi="Verdana"/>
                <w:sz w:val="20"/>
                <w:szCs w:val="20"/>
                <w:lang w:val="cs-CZ"/>
              </w:rPr>
              <w:lastRenderedPageBreak/>
              <w:t>Profitability of venture financing (venture capital) (PVenchC)</w:t>
            </w:r>
          </w:p>
        </w:tc>
        <w:tc>
          <w:tcPr>
            <w:tcW w:w="773" w:type="dxa"/>
            <w:tcBorders>
              <w:bottom w:val="nil"/>
            </w:tcBorders>
            <w:shd w:val="clear" w:color="auto" w:fill="auto"/>
            <w:vAlign w:val="center"/>
          </w:tcPr>
          <w:p w:rsidR="005C3F63" w:rsidRDefault="006536E7">
            <w:pPr>
              <w:rPr>
                <w:rFonts w:ascii="Verdana" w:hAnsi="Verdana"/>
                <w:sz w:val="20"/>
                <w:szCs w:val="20"/>
                <w:lang w:val="cs-CZ"/>
              </w:rPr>
            </w:pPr>
            <w:r>
              <w:rPr>
                <w:rFonts w:ascii="Verdana" w:hAnsi="Verdana"/>
                <w:sz w:val="20"/>
                <w:szCs w:val="20"/>
                <w:lang w:val="cs-CZ"/>
              </w:rPr>
              <w:t>3,84</w:t>
            </w:r>
          </w:p>
        </w:tc>
        <w:tc>
          <w:tcPr>
            <w:tcW w:w="1107" w:type="dxa"/>
            <w:tcBorders>
              <w:bottom w:val="nil"/>
            </w:tcBorders>
            <w:vAlign w:val="center"/>
          </w:tcPr>
          <w:p w:rsidR="005C3F63" w:rsidRDefault="006536E7">
            <w:pPr>
              <w:rPr>
                <w:rFonts w:ascii="Verdana" w:hAnsi="Verdana"/>
                <w:sz w:val="20"/>
                <w:szCs w:val="20"/>
                <w:lang w:val="cs-CZ"/>
              </w:rPr>
            </w:pPr>
            <w:r>
              <w:rPr>
                <w:rFonts w:ascii="Verdana" w:hAnsi="Verdana"/>
                <w:sz w:val="20"/>
                <w:szCs w:val="20"/>
                <w:lang w:val="cs-CZ"/>
              </w:rPr>
              <w:t>4,3</w:t>
            </w:r>
          </w:p>
        </w:tc>
        <w:tc>
          <w:tcPr>
            <w:tcW w:w="2173" w:type="dxa"/>
            <w:tcBorders>
              <w:bottom w:val="nil"/>
            </w:tcBorders>
            <w:vAlign w:val="center"/>
          </w:tcPr>
          <w:p w:rsidR="005C3F63" w:rsidRDefault="006536E7">
            <w:pPr>
              <w:rPr>
                <w:rFonts w:ascii="Verdana" w:hAnsi="Verdana"/>
                <w:sz w:val="20"/>
                <w:szCs w:val="20"/>
                <w:lang w:val="cs-CZ"/>
              </w:rPr>
            </w:pPr>
            <w:r>
              <w:rPr>
                <w:rFonts w:ascii="Verdana" w:hAnsi="Verdana"/>
                <w:sz w:val="20"/>
                <w:szCs w:val="20"/>
                <w:lang w:val="cs-CZ"/>
              </w:rPr>
              <w:t>+0,46</w:t>
            </w:r>
          </w:p>
        </w:tc>
      </w:tr>
      <w:tr w:rsidR="005C3F63">
        <w:trPr>
          <w:jc w:val="center"/>
        </w:trPr>
        <w:tc>
          <w:tcPr>
            <w:tcW w:w="5758" w:type="dxa"/>
            <w:tcBorders>
              <w:top w:val="nil"/>
              <w:bottom w:val="single" w:sz="12" w:space="0" w:color="000000"/>
              <w:right w:val="single" w:sz="6" w:space="0" w:color="000000"/>
            </w:tcBorders>
            <w:shd w:val="clear" w:color="auto" w:fill="auto"/>
          </w:tcPr>
          <w:p w:rsidR="005C3F63" w:rsidRDefault="006536E7">
            <w:pPr>
              <w:rPr>
                <w:rFonts w:ascii="Verdana" w:hAnsi="Verdana"/>
                <w:sz w:val="20"/>
                <w:szCs w:val="20"/>
                <w:lang w:val="cs-CZ"/>
              </w:rPr>
            </w:pPr>
            <w:r>
              <w:rPr>
                <w:rFonts w:ascii="Verdana" w:hAnsi="Verdana"/>
                <w:sz w:val="20"/>
                <w:szCs w:val="20"/>
                <w:lang w:val="cs-CZ"/>
              </w:rPr>
              <w:t>Profitability of venture financing attracted in the form of own capital (POwVenchC)</w:t>
            </w:r>
          </w:p>
        </w:tc>
        <w:tc>
          <w:tcPr>
            <w:tcW w:w="773" w:type="dxa"/>
            <w:tcBorders>
              <w:top w:val="nil"/>
              <w:bottom w:val="single" w:sz="12" w:space="0" w:color="000000"/>
            </w:tcBorders>
            <w:shd w:val="clear" w:color="auto" w:fill="auto"/>
            <w:vAlign w:val="center"/>
          </w:tcPr>
          <w:p w:rsidR="005C3F63" w:rsidRDefault="006536E7">
            <w:pPr>
              <w:rPr>
                <w:rFonts w:ascii="Verdana" w:hAnsi="Verdana"/>
                <w:sz w:val="20"/>
                <w:szCs w:val="20"/>
                <w:lang w:val="cs-CZ"/>
              </w:rPr>
            </w:pPr>
            <w:r>
              <w:rPr>
                <w:rFonts w:ascii="Verdana" w:hAnsi="Verdana"/>
                <w:sz w:val="20"/>
                <w:szCs w:val="20"/>
                <w:lang w:val="cs-CZ"/>
              </w:rPr>
              <w:t>8,16</w:t>
            </w:r>
          </w:p>
        </w:tc>
        <w:tc>
          <w:tcPr>
            <w:tcW w:w="1107" w:type="dxa"/>
            <w:tcBorders>
              <w:top w:val="nil"/>
              <w:bottom w:val="single" w:sz="12" w:space="0" w:color="000000"/>
            </w:tcBorders>
            <w:vAlign w:val="center"/>
          </w:tcPr>
          <w:p w:rsidR="005C3F63" w:rsidRDefault="006536E7">
            <w:pPr>
              <w:rPr>
                <w:rFonts w:ascii="Verdana" w:hAnsi="Verdana"/>
                <w:sz w:val="20"/>
                <w:szCs w:val="20"/>
                <w:lang w:val="cs-CZ"/>
              </w:rPr>
            </w:pPr>
            <w:r>
              <w:rPr>
                <w:rFonts w:ascii="Verdana" w:hAnsi="Verdana"/>
                <w:sz w:val="20"/>
                <w:szCs w:val="20"/>
                <w:lang w:val="cs-CZ"/>
              </w:rPr>
              <w:t>8,58</w:t>
            </w:r>
          </w:p>
        </w:tc>
        <w:tc>
          <w:tcPr>
            <w:tcW w:w="2173" w:type="dxa"/>
            <w:tcBorders>
              <w:top w:val="nil"/>
              <w:bottom w:val="single" w:sz="12" w:space="0" w:color="000000"/>
            </w:tcBorders>
            <w:vAlign w:val="center"/>
          </w:tcPr>
          <w:p w:rsidR="005C3F63" w:rsidRDefault="006536E7">
            <w:pPr>
              <w:rPr>
                <w:rFonts w:ascii="Verdana" w:hAnsi="Verdana"/>
                <w:sz w:val="20"/>
                <w:szCs w:val="20"/>
                <w:lang w:val="cs-CZ"/>
              </w:rPr>
            </w:pPr>
            <w:r>
              <w:rPr>
                <w:rFonts w:ascii="Verdana" w:hAnsi="Verdana"/>
                <w:sz w:val="20"/>
                <w:szCs w:val="20"/>
                <w:lang w:val="cs-CZ"/>
              </w:rPr>
              <w:t>+0,42</w:t>
            </w:r>
          </w:p>
        </w:tc>
      </w:tr>
    </w:tbl>
    <w:p w:rsidR="005C3F63" w:rsidRDefault="006536E7">
      <w:pPr>
        <w:spacing w:before="120"/>
        <w:rPr>
          <w:rFonts w:ascii="Verdana" w:hAnsi="Verdana"/>
          <w:sz w:val="20"/>
          <w:szCs w:val="20"/>
          <w:lang w:val="cs-CZ"/>
        </w:rPr>
      </w:pPr>
      <w:r>
        <w:rPr>
          <w:rFonts w:ascii="Verdana" w:hAnsi="Verdana"/>
          <w:sz w:val="20"/>
          <w:szCs w:val="20"/>
          <w:lang w:val="cs-CZ"/>
        </w:rPr>
        <w:t>Using the method of absolute differences, we will conduct a factor analysis of the profitability of venture financing of the innovation enterprise of Ukraine:</w:t>
      </w:r>
    </w:p>
    <w:p w:rsidR="005C3F63" w:rsidRDefault="006536E7">
      <w:pPr>
        <w:rPr>
          <w:rFonts w:ascii="Verdana" w:hAnsi="Verdana"/>
          <w:sz w:val="20"/>
          <w:szCs w:val="20"/>
          <w:lang w:val="cs-CZ"/>
        </w:rPr>
      </w:pPr>
      <w:r>
        <w:rPr>
          <w:rFonts w:ascii="Verdana" w:hAnsi="Verdana"/>
          <w:sz w:val="20"/>
          <w:szCs w:val="20"/>
          <w:lang w:val="cs-CZ"/>
        </w:rPr>
        <w:t>Δ PVenchC (POwVenchC) = 8,58*0,89*0,53 – 3,84 = 0,21 points;</w:t>
      </w:r>
    </w:p>
    <w:p w:rsidR="005C3F63" w:rsidRDefault="006536E7">
      <w:pPr>
        <w:rPr>
          <w:rFonts w:ascii="Verdana" w:hAnsi="Verdana"/>
          <w:sz w:val="20"/>
          <w:szCs w:val="20"/>
          <w:lang w:val="cs-CZ"/>
        </w:rPr>
      </w:pPr>
      <w:r>
        <w:rPr>
          <w:rFonts w:ascii="Verdana" w:hAnsi="Verdana"/>
          <w:sz w:val="20"/>
          <w:szCs w:val="20"/>
          <w:lang w:val="cs-CZ"/>
        </w:rPr>
        <w:t>Δ PVenchC (CStVenchF) = 8,58*1,0*0,53 – 4,3 = 0,25 points;</w:t>
      </w:r>
    </w:p>
    <w:p w:rsidR="005C3F63" w:rsidRDefault="006536E7">
      <w:pPr>
        <w:rPr>
          <w:rFonts w:ascii="Verdana" w:hAnsi="Verdana"/>
          <w:sz w:val="20"/>
          <w:szCs w:val="20"/>
          <w:lang w:val="cs-CZ"/>
        </w:rPr>
      </w:pPr>
      <w:r>
        <w:rPr>
          <w:rFonts w:ascii="Verdana" w:hAnsi="Verdana"/>
          <w:sz w:val="20"/>
          <w:szCs w:val="20"/>
          <w:lang w:val="cs-CZ"/>
        </w:rPr>
        <w:t>Δ PVenchC (CConcBVenchC) = 8,58*1,0*0,5 – 4,55 = -0,26 points;</w:t>
      </w:r>
    </w:p>
    <w:p w:rsidR="005C3F63" w:rsidRDefault="006536E7">
      <w:pPr>
        <w:rPr>
          <w:rFonts w:ascii="Verdana" w:hAnsi="Verdana"/>
          <w:sz w:val="20"/>
          <w:szCs w:val="20"/>
          <w:lang w:val="cs-CZ"/>
        </w:rPr>
      </w:pPr>
      <w:r>
        <w:rPr>
          <w:rFonts w:ascii="Verdana" w:hAnsi="Verdana"/>
          <w:sz w:val="20"/>
          <w:szCs w:val="20"/>
          <w:lang w:val="cs-CZ"/>
        </w:rPr>
        <w:t>Thus, in reporting period, an increase in the profitability of venture financing by 0.46 points is observed at the enterprise of Ukraine, indicating an improvement in the efficiency of the use of such financing. This increase in profitability was due to the following factors: increased profitability of own venture financing led to an increase in the profitability of total venture financing by 0.21 points; the increase of the coefficient of stability of venture financing also positively influenced the profitability of venture financing, which led to an increase of 0.25 points; the decrease of the coefficient of the concentration of borrowed venture capital by 0.03 points negatively affected the profitability of venture financing and led to its decrease by 0.26 points.</w:t>
      </w:r>
    </w:p>
    <w:p w:rsidR="005C3F63" w:rsidRDefault="006536E7">
      <w:pPr>
        <w:spacing w:before="240" w:after="120"/>
        <w:jc w:val="left"/>
        <w:rPr>
          <w:rStyle w:val="KapitolaChar"/>
          <w:bCs w:val="0"/>
          <w:lang w:val="cs-CZ"/>
        </w:rPr>
      </w:pPr>
      <w:r>
        <w:rPr>
          <w:rStyle w:val="KapitolaChar"/>
          <w:lang w:val="cs-CZ"/>
        </w:rPr>
        <w:t>3 Results and Discussion</w:t>
      </w:r>
    </w:p>
    <w:p w:rsidR="005C3F63" w:rsidRDefault="006536E7">
      <w:pPr>
        <w:rPr>
          <w:rFonts w:ascii="Verdana" w:hAnsi="Verdana"/>
          <w:sz w:val="20"/>
          <w:szCs w:val="20"/>
          <w:lang w:val="uk-UA"/>
        </w:rPr>
      </w:pPr>
      <w:r>
        <w:rPr>
          <w:rFonts w:ascii="Verdana" w:hAnsi="Verdana"/>
          <w:sz w:val="20"/>
          <w:szCs w:val="20"/>
          <w:lang w:val="cs-CZ"/>
        </w:rPr>
        <w:t xml:space="preserve">The use of relatively new sources of funding of charitable activities of enterprises, in particular the principles of venture philanthropy, will promote social participation of economic entities in resolving pressing issues in conflict, including the expansion of social programs to support and adapt servicemen from military conflicts and their families, i.e., aimed at improving the socio-economic living conditions of specific groups of the population of Ukraine. In the process of research the main specific features of the model of venture financing of social projects are revealed and its relevance in the conditions of hybrid war is substantiated. </w:t>
      </w:r>
    </w:p>
    <w:p w:rsidR="005C3F63" w:rsidRDefault="006536E7">
      <w:pPr>
        <w:rPr>
          <w:rFonts w:ascii="Verdana" w:hAnsi="Verdana"/>
          <w:sz w:val="20"/>
          <w:szCs w:val="20"/>
          <w:lang w:val="uk-UA"/>
        </w:rPr>
      </w:pPr>
      <w:r>
        <w:rPr>
          <w:rFonts w:ascii="Verdana" w:hAnsi="Verdana"/>
          <w:sz w:val="20"/>
          <w:szCs w:val="20"/>
          <w:lang w:val="cs-CZ"/>
        </w:rPr>
        <w:t xml:space="preserve">Taking into account the provisions of regulations, the work of scientists and practical experience in managing venture financing allowed to determine the specifics of accounting for such financing and stages of management (identification and evaluation of forms of venture financing, comprehensive analysis of venture capital, risk management of venture financing, determining the effectiveness of social programs based on venture philanthropy principles, reporting on venture finance management). </w:t>
      </w:r>
    </w:p>
    <w:p w:rsidR="005C3F63" w:rsidRDefault="006536E7">
      <w:pPr>
        <w:rPr>
          <w:rFonts w:ascii="Verdana" w:hAnsi="Verdana"/>
          <w:sz w:val="20"/>
          <w:szCs w:val="20"/>
          <w:lang w:val="cs-CZ"/>
        </w:rPr>
      </w:pPr>
      <w:r>
        <w:rPr>
          <w:rFonts w:ascii="Verdana" w:hAnsi="Verdana"/>
          <w:sz w:val="20"/>
          <w:szCs w:val="20"/>
          <w:lang w:val="cs-CZ"/>
        </w:rPr>
        <w:t xml:space="preserve">It is substantiated that the main advantage of the proposed approach to information support of management of social programs financing on the basis of venture philanthropy is the complexity of the approach, as it takes into account specific features of venture financing and its risks, as well as not only planned but also unplanned (both positive and negative) results of activity play a particular role in assessing the effectiveness of such financing. It is proved that the proposals will help to improve the accounting of financial support of socio-philanthropic programs using venture capital, thereby ensuring effective management and evaluation of venture capital participation in charitable activities. </w:t>
      </w:r>
    </w:p>
    <w:p w:rsidR="005C3F63" w:rsidRDefault="006536E7">
      <w:pPr>
        <w:rPr>
          <w:rFonts w:ascii="Verdana" w:hAnsi="Verdana"/>
          <w:sz w:val="20"/>
          <w:szCs w:val="20"/>
          <w:lang w:val="uk-UA"/>
        </w:rPr>
      </w:pPr>
      <w:r>
        <w:rPr>
          <w:rFonts w:ascii="Verdana" w:hAnsi="Verdana"/>
          <w:sz w:val="20"/>
          <w:szCs w:val="20"/>
          <w:lang w:val="cs-CZ"/>
        </w:rPr>
        <w:t>Traditional sources of financing of corporate social responsibility do not live up to the expectations placed on them by today's modern requirements. Therefore, the issue of identifying alternative and rational sources of funding of social programs, taking into account the political realities in the country and the world, is relevant. Thus, the use of relatively new sources of funding of charitable activities of enterprises, in particular the principles of venture philanthropy, will promote social participation of business entities in resolving pressing issues in conflict, including the expansion of social programs to support and adapt servicemen from military conflicts and members of their families, i.e. aimed at improving the socio-economic living conditions of specific groups of the population of Ukraine.</w:t>
      </w:r>
    </w:p>
    <w:p w:rsidR="005C3F63" w:rsidRDefault="006536E7">
      <w:pPr>
        <w:rPr>
          <w:rFonts w:ascii="Verdana" w:hAnsi="Verdana"/>
          <w:sz w:val="20"/>
          <w:szCs w:val="20"/>
          <w:lang w:val="uk-UA"/>
        </w:rPr>
      </w:pPr>
      <w:r>
        <w:rPr>
          <w:rFonts w:ascii="Verdana" w:hAnsi="Verdana"/>
          <w:sz w:val="20"/>
          <w:szCs w:val="20"/>
          <w:lang w:val="cs-CZ"/>
        </w:rPr>
        <w:t xml:space="preserve">Consequently, the increase of profitability of venture financing in the form of own capital and the stability coefficient of venture financing had the positive impact on the increase of the profitability of venture capital, while a decrease in the concentration coefficient of </w:t>
      </w:r>
      <w:r>
        <w:rPr>
          <w:rFonts w:ascii="Verdana" w:hAnsi="Verdana"/>
          <w:sz w:val="20"/>
          <w:szCs w:val="20"/>
          <w:lang w:val="cs-CZ"/>
        </w:rPr>
        <w:lastRenderedPageBreak/>
        <w:t>the borrowed venture capital of the enterprise of Ukraine had the negative impact on the profitability of venture financing.</w:t>
      </w:r>
    </w:p>
    <w:p w:rsidR="005C3F63" w:rsidRDefault="005C3F63">
      <w:pPr>
        <w:rPr>
          <w:rFonts w:ascii="Verdana" w:hAnsi="Verdana"/>
          <w:sz w:val="20"/>
          <w:szCs w:val="20"/>
          <w:lang w:val="uk-UA"/>
        </w:rPr>
      </w:pPr>
    </w:p>
    <w:p w:rsidR="005C3F63" w:rsidRDefault="006536E7">
      <w:pPr>
        <w:pStyle w:val="aff"/>
        <w:rPr>
          <w:rFonts w:ascii="Verdana" w:hAnsi="Verdana"/>
          <w:sz w:val="20"/>
          <w:szCs w:val="20"/>
          <w:lang w:val="cs-CZ"/>
        </w:rPr>
      </w:pPr>
      <w:r>
        <w:rPr>
          <w:rFonts w:ascii="Verdana" w:hAnsi="Verdana"/>
          <w:sz w:val="20"/>
          <w:szCs w:val="20"/>
          <w:lang w:val="cs-CZ"/>
        </w:rPr>
        <w:t>Chizhevska</w:t>
      </w:r>
      <w:r>
        <w:rPr>
          <w:rFonts w:ascii="Verdana" w:hAnsi="Verdana"/>
          <w:sz w:val="20"/>
          <w:szCs w:val="20"/>
          <w:lang w:val="uk-UA"/>
        </w:rPr>
        <w:t>,</w:t>
      </w:r>
      <w:r>
        <w:rPr>
          <w:rFonts w:ascii="Verdana" w:hAnsi="Verdana"/>
          <w:sz w:val="20"/>
          <w:szCs w:val="20"/>
          <w:lang w:val="cs-CZ"/>
        </w:rPr>
        <w:t xml:space="preserve"> L</w:t>
      </w:r>
      <w:r>
        <w:rPr>
          <w:rFonts w:ascii="Verdana" w:hAnsi="Verdana"/>
          <w:sz w:val="20"/>
          <w:szCs w:val="20"/>
        </w:rPr>
        <w:t>.,</w:t>
      </w:r>
      <w:r>
        <w:rPr>
          <w:rFonts w:ascii="Verdana" w:hAnsi="Verdana"/>
          <w:sz w:val="20"/>
          <w:szCs w:val="20"/>
          <w:lang w:val="cs-CZ"/>
        </w:rPr>
        <w:t xml:space="preserve"> Zelenina, O. (2009). Investment and loan system as a mechanism for implementing investment projects of the enterprise. </w:t>
      </w:r>
      <w:r>
        <w:rPr>
          <w:rFonts w:ascii="Verdana" w:hAnsi="Verdana"/>
          <w:i/>
          <w:sz w:val="20"/>
          <w:szCs w:val="20"/>
          <w:lang w:val="cs-CZ"/>
        </w:rPr>
        <w:t>Bulletin of Economic Science, 2</w:t>
      </w:r>
      <w:r>
        <w:rPr>
          <w:rFonts w:ascii="Verdana" w:hAnsi="Verdana"/>
          <w:sz w:val="20"/>
          <w:szCs w:val="20"/>
          <w:lang w:val="cs-CZ"/>
        </w:rPr>
        <w:t>, pp. 163-168.</w:t>
      </w:r>
    </w:p>
    <w:p w:rsidR="005C3F63" w:rsidRDefault="00085067">
      <w:pPr>
        <w:pStyle w:val="aff"/>
        <w:rPr>
          <w:rFonts w:ascii="Verdana" w:hAnsi="Verdana"/>
          <w:sz w:val="20"/>
          <w:szCs w:val="20"/>
          <w:lang w:val="cs-CZ"/>
        </w:rPr>
      </w:pPr>
      <w:hyperlink r:id="rId184" w:tgtFrame="_blank" w:history="1">
        <w:r w:rsidR="006536E7">
          <w:rPr>
            <w:rFonts w:ascii="Verdana" w:hAnsi="Verdana"/>
            <w:sz w:val="20"/>
            <w:szCs w:val="20"/>
            <w:lang w:val="cs-CZ"/>
          </w:rPr>
          <w:t>Procházka, D.</w:t>
        </w:r>
      </w:hyperlink>
      <w:r w:rsidR="006536E7">
        <w:rPr>
          <w:rFonts w:ascii="Verdana" w:hAnsi="Verdana"/>
          <w:sz w:val="20"/>
          <w:szCs w:val="20"/>
          <w:lang w:val="cs-CZ"/>
        </w:rPr>
        <w:t xml:space="preserve">, </w:t>
      </w:r>
      <w:hyperlink r:id="rId185" w:tgtFrame="_blank" w:history="1">
        <w:r w:rsidR="006536E7">
          <w:rPr>
            <w:rFonts w:ascii="Verdana" w:hAnsi="Verdana"/>
            <w:sz w:val="20"/>
            <w:szCs w:val="20"/>
            <w:lang w:val="cs-CZ"/>
          </w:rPr>
          <w:t>Dvořáková, D.</w:t>
        </w:r>
      </w:hyperlink>
      <w:r w:rsidR="006536E7">
        <w:rPr>
          <w:rFonts w:ascii="Verdana" w:hAnsi="Verdana"/>
          <w:sz w:val="20"/>
          <w:szCs w:val="20"/>
          <w:lang w:val="cs-CZ"/>
        </w:rPr>
        <w:t xml:space="preserve"> (2019) Research of Non-financial Reporting: Evidence from the EAA Congresses. In: VAŠEKOVÁ, Miroslava, HORA, Michal (ed.). Účtovníctvo a audítorstvo v procese svetovej harmonizácie. </w:t>
      </w:r>
      <w:r w:rsidR="006536E7">
        <w:rPr>
          <w:rFonts w:ascii="Verdana" w:hAnsi="Verdana"/>
          <w:i/>
          <w:sz w:val="20"/>
          <w:szCs w:val="20"/>
          <w:lang w:val="cs-CZ"/>
        </w:rPr>
        <w:t>Zborník z medzinárodnej vedeckej konferencie</w:t>
      </w:r>
      <w:r w:rsidR="006536E7">
        <w:rPr>
          <w:rFonts w:ascii="Verdana" w:hAnsi="Verdana"/>
          <w:sz w:val="20"/>
          <w:szCs w:val="20"/>
          <w:lang w:val="cs-CZ"/>
        </w:rPr>
        <w:t xml:space="preserve">, Bratislava, pp. 133–138. </w:t>
      </w:r>
    </w:p>
    <w:p w:rsidR="005C3F63" w:rsidRDefault="006536E7">
      <w:pPr>
        <w:pStyle w:val="aff"/>
        <w:rPr>
          <w:rFonts w:ascii="Verdana" w:hAnsi="Verdana"/>
          <w:sz w:val="20"/>
          <w:szCs w:val="20"/>
          <w:lang w:val="cs-CZ"/>
        </w:rPr>
      </w:pPr>
      <w:r>
        <w:rPr>
          <w:rFonts w:ascii="Verdana" w:hAnsi="Verdana"/>
          <w:sz w:val="20"/>
          <w:szCs w:val="20"/>
          <w:lang w:val="cs-CZ"/>
        </w:rPr>
        <w:t>Matthews, Dylan (2015). «You have $8 billion. You want to do as much good as possible. What do you do?». Vox. April 27.</w:t>
      </w:r>
    </w:p>
    <w:p w:rsidR="005C3F63" w:rsidRDefault="006536E7">
      <w:pPr>
        <w:pStyle w:val="aff"/>
        <w:rPr>
          <w:rFonts w:ascii="Verdana" w:hAnsi="Verdana"/>
          <w:sz w:val="20"/>
          <w:szCs w:val="20"/>
          <w:lang w:val="cs-CZ"/>
        </w:rPr>
      </w:pPr>
      <w:r>
        <w:rPr>
          <w:rFonts w:ascii="Verdana" w:hAnsi="Verdana"/>
          <w:sz w:val="20"/>
          <w:szCs w:val="20"/>
          <w:lang w:val="cs-CZ"/>
        </w:rPr>
        <w:t xml:space="preserve">Savchuk, O., Bugera, O. (2011). Charitable activities of business organizations and charitable foundations. Scientific notes of NaUKMA. </w:t>
      </w:r>
      <w:r>
        <w:rPr>
          <w:rFonts w:ascii="Verdana" w:hAnsi="Verdana"/>
          <w:i/>
          <w:sz w:val="20"/>
          <w:szCs w:val="20"/>
          <w:lang w:val="cs-CZ"/>
        </w:rPr>
        <w:t xml:space="preserve">Pedagogical, psychological sciences and social work, </w:t>
      </w:r>
      <w:r>
        <w:rPr>
          <w:rFonts w:ascii="Verdana" w:hAnsi="Verdana"/>
          <w:sz w:val="20"/>
          <w:szCs w:val="20"/>
          <w:lang w:val="cs-CZ"/>
        </w:rPr>
        <w:t>123, pp. 61-69.</w:t>
      </w:r>
    </w:p>
    <w:p w:rsidR="005C3F63" w:rsidRDefault="005C3F63">
      <w:pPr>
        <w:pStyle w:val="BibItem"/>
        <w:numPr>
          <w:ilvl w:val="0"/>
          <w:numId w:val="0"/>
        </w:numPr>
        <w:rPr>
          <w:rFonts w:ascii="Verdana" w:hAnsi="Verdana"/>
          <w:sz w:val="20"/>
          <w:szCs w:val="20"/>
        </w:rPr>
      </w:pPr>
    </w:p>
    <w:p w:rsidR="005C3F63" w:rsidRDefault="006536E7">
      <w:pPr>
        <w:jc w:val="left"/>
        <w:rPr>
          <w:rFonts w:ascii="Verdana" w:hAnsi="Verdana"/>
          <w:sz w:val="20"/>
          <w:szCs w:val="20"/>
          <w:lang w:eastAsia="cs-CZ" w:bidi="ar-SA"/>
        </w:rPr>
      </w:pPr>
      <w:r>
        <w:rPr>
          <w:rFonts w:ascii="Verdana" w:hAnsi="Verdana"/>
          <w:sz w:val="20"/>
          <w:szCs w:val="20"/>
        </w:rPr>
        <w:br w:type="page"/>
      </w:r>
    </w:p>
    <w:p w:rsidR="005C3F63" w:rsidRDefault="006536E7">
      <w:pPr>
        <w:pStyle w:val="1"/>
        <w:spacing w:before="0" w:after="240"/>
      </w:pPr>
      <w:bookmarkStart w:id="513" w:name="_Toc47951530"/>
      <w:r>
        <w:rPr>
          <w:szCs w:val="24"/>
        </w:rPr>
        <w:lastRenderedPageBreak/>
        <w:t xml:space="preserve">Reporting of </w:t>
      </w:r>
      <w:r>
        <w:rPr>
          <w:szCs w:val="24"/>
          <w:lang w:val="sk-SK"/>
        </w:rPr>
        <w:t>N</w:t>
      </w:r>
      <w:r>
        <w:rPr>
          <w:szCs w:val="24"/>
        </w:rPr>
        <w:t xml:space="preserve">on-financial </w:t>
      </w:r>
      <w:r>
        <w:rPr>
          <w:szCs w:val="24"/>
          <w:lang w:val="sk-SK"/>
        </w:rPr>
        <w:t>I</w:t>
      </w:r>
      <w:r>
        <w:rPr>
          <w:szCs w:val="24"/>
        </w:rPr>
        <w:t xml:space="preserve">nformation </w:t>
      </w:r>
      <w:r>
        <w:rPr>
          <w:szCs w:val="24"/>
          <w:lang w:val="sk-SK"/>
        </w:rPr>
        <w:t>A</w:t>
      </w:r>
      <w:r>
        <w:rPr>
          <w:szCs w:val="24"/>
        </w:rPr>
        <w:t xml:space="preserve">ccording to </w:t>
      </w:r>
      <w:r>
        <w:rPr>
          <w:szCs w:val="24"/>
          <w:lang w:val="sk-SK"/>
        </w:rPr>
        <w:t xml:space="preserve">Act on </w:t>
      </w:r>
      <w:r>
        <w:rPr>
          <w:szCs w:val="24"/>
        </w:rPr>
        <w:t xml:space="preserve">Accounting and GRI </w:t>
      </w:r>
      <w:r>
        <w:rPr>
          <w:szCs w:val="24"/>
          <w:lang w:val="sk-SK"/>
        </w:rPr>
        <w:t>S</w:t>
      </w:r>
      <w:r>
        <w:rPr>
          <w:szCs w:val="24"/>
        </w:rPr>
        <w:t xml:space="preserve">tandards with </w:t>
      </w:r>
      <w:r>
        <w:rPr>
          <w:szCs w:val="24"/>
          <w:lang w:val="sk-SK"/>
        </w:rPr>
        <w:t>E</w:t>
      </w:r>
      <w:r>
        <w:rPr>
          <w:szCs w:val="24"/>
        </w:rPr>
        <w:t xml:space="preserve">ffect </w:t>
      </w:r>
      <w:r>
        <w:rPr>
          <w:szCs w:val="24"/>
          <w:lang w:val="sk-SK"/>
        </w:rPr>
        <w:t xml:space="preserve">from </w:t>
      </w:r>
      <w:r>
        <w:rPr>
          <w:szCs w:val="24"/>
        </w:rPr>
        <w:t>1. 1. 2020 and 1. 1. 2021</w:t>
      </w:r>
      <w:bookmarkEnd w:id="513"/>
    </w:p>
    <w:p w:rsidR="005C3F63" w:rsidRDefault="006536E7">
      <w:pPr>
        <w:pStyle w:val="Autor"/>
      </w:pPr>
      <w:bookmarkStart w:id="514" w:name="_Toc47442670"/>
      <w:bookmarkStart w:id="515" w:name="_Toc47443565"/>
      <w:bookmarkStart w:id="516" w:name="_Toc47438964"/>
      <w:bookmarkStart w:id="517" w:name="_Toc47439774"/>
      <w:bookmarkStart w:id="518" w:name="_Toc47441677"/>
      <w:bookmarkStart w:id="519" w:name="_Toc47440092"/>
      <w:bookmarkStart w:id="520" w:name="_Toc47445729"/>
      <w:bookmarkStart w:id="521" w:name="_Toc47443432"/>
      <w:bookmarkStart w:id="522" w:name="_Toc47433542"/>
      <w:bookmarkStart w:id="523" w:name="_Toc47435436"/>
      <w:bookmarkStart w:id="524" w:name="_Toc47440865"/>
      <w:bookmarkStart w:id="525" w:name="_Toc47951531"/>
      <w:bookmarkStart w:id="526" w:name="_Toc47948994"/>
      <w:bookmarkStart w:id="527" w:name="_Toc47951466"/>
      <w:bookmarkStart w:id="528" w:name="_Toc47441192"/>
      <w:bookmarkStart w:id="529" w:name="_Toc47444439"/>
      <w:bookmarkStart w:id="530" w:name="_Toc47448319"/>
      <w:bookmarkStart w:id="531" w:name="_Toc47446104"/>
      <w:bookmarkStart w:id="532" w:name="_Toc47447925"/>
      <w:bookmarkStart w:id="533" w:name="_Toc47441491"/>
      <w:bookmarkStart w:id="534" w:name="_Toc47448559"/>
      <w:bookmarkStart w:id="535" w:name="_Toc47444598"/>
      <w:bookmarkStart w:id="536" w:name="_Toc47444130"/>
      <w:bookmarkStart w:id="537" w:name="_Toc47445952"/>
      <w:bookmarkStart w:id="538" w:name="_Toc47448614"/>
      <w:bookmarkStart w:id="539" w:name="_Toc47951373"/>
      <w:bookmarkStart w:id="540" w:name="_Toc47949308"/>
      <w:bookmarkStart w:id="541" w:name="_Toc47447979"/>
      <w:bookmarkStart w:id="542" w:name="_Toc47449315"/>
      <w:bookmarkStart w:id="543" w:name="_Toc47448197"/>
      <w:bookmarkStart w:id="544" w:name="_Toc47451156"/>
      <w:bookmarkStart w:id="545" w:name="_Toc47448115"/>
      <w:bookmarkStart w:id="546" w:name="_Toc47441611"/>
      <w:bookmarkStart w:id="547" w:name="_Toc47444281"/>
      <w:bookmarkStart w:id="548" w:name="_Toc47443666"/>
      <w:bookmarkStart w:id="549" w:name="_Toc47448061"/>
      <w:bookmarkStart w:id="550" w:name="_Toc47948735"/>
      <w:bookmarkStart w:id="551" w:name="_Toc47448840"/>
      <w:bookmarkStart w:id="552" w:name="_Toc47948796"/>
      <w:bookmarkStart w:id="553" w:name="_Toc47446706"/>
      <w:bookmarkStart w:id="554" w:name="_Toc47447160"/>
      <w:bookmarkStart w:id="555" w:name="_Toc47446364"/>
      <w:r>
        <w:rPr>
          <w:rStyle w:val="AutorChar"/>
          <w:b/>
        </w:rPr>
        <w:t>Kornélia Lovciová</w:t>
      </w:r>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r>
        <w:br/>
      </w:r>
    </w:p>
    <w:p w:rsidR="005C3F63" w:rsidRDefault="006536E7">
      <w:pPr>
        <w:jc w:val="center"/>
        <w:rPr>
          <w:rFonts w:ascii="Verdana" w:hAnsi="Verdana"/>
          <w:sz w:val="18"/>
          <w:szCs w:val="18"/>
        </w:rPr>
      </w:pPr>
      <w:r>
        <w:rPr>
          <w:rFonts w:ascii="Verdana" w:hAnsi="Verdana"/>
          <w:sz w:val="18"/>
          <w:szCs w:val="18"/>
        </w:rPr>
        <w:t xml:space="preserve">University of Economics in Bratislava </w:t>
      </w:r>
    </w:p>
    <w:p w:rsidR="005C3F63" w:rsidRDefault="006536E7">
      <w:pPr>
        <w:jc w:val="center"/>
        <w:rPr>
          <w:rFonts w:ascii="Verdana" w:hAnsi="Verdana"/>
          <w:sz w:val="18"/>
          <w:szCs w:val="18"/>
        </w:rPr>
      </w:pPr>
      <w:r>
        <w:rPr>
          <w:rFonts w:ascii="Verdana" w:hAnsi="Verdana"/>
          <w:sz w:val="18"/>
          <w:szCs w:val="18"/>
        </w:rPr>
        <w:t>Faculty of Economic Informatics, Department of Accountancy and Auditing</w:t>
      </w:r>
    </w:p>
    <w:p w:rsidR="005C3F63" w:rsidRDefault="006536E7">
      <w:pPr>
        <w:jc w:val="center"/>
        <w:rPr>
          <w:rFonts w:ascii="Verdana" w:hAnsi="Verdana"/>
          <w:sz w:val="18"/>
          <w:szCs w:val="18"/>
        </w:rPr>
      </w:pPr>
      <w:r>
        <w:rPr>
          <w:rFonts w:ascii="Verdana" w:hAnsi="Verdana"/>
          <w:sz w:val="18"/>
          <w:szCs w:val="18"/>
        </w:rPr>
        <w:t>Dolnozemská cesta 1, 852 35 Bratislava, Slovak Republic</w:t>
      </w:r>
    </w:p>
    <w:p w:rsidR="005C3F63" w:rsidRDefault="006536E7">
      <w:pPr>
        <w:jc w:val="center"/>
        <w:rPr>
          <w:rFonts w:ascii="Verdana" w:hAnsi="Verdana"/>
          <w:sz w:val="18"/>
          <w:szCs w:val="18"/>
          <w:lang w:val="en-GB"/>
        </w:rPr>
      </w:pPr>
      <w:r>
        <w:rPr>
          <w:rFonts w:ascii="Verdana" w:hAnsi="Verdana"/>
          <w:sz w:val="18"/>
          <w:szCs w:val="18"/>
          <w:lang w:val="en-GB"/>
        </w:rPr>
        <w:t>E-mail: kornelia.lovciova@euba.sk</w:t>
      </w:r>
    </w:p>
    <w:p w:rsidR="005C3F63" w:rsidRDefault="005C3F63">
      <w:pPr>
        <w:jc w:val="center"/>
        <w:rPr>
          <w:rFonts w:ascii="Verdana" w:hAnsi="Verdana"/>
          <w:sz w:val="18"/>
          <w:szCs w:val="18"/>
          <w:lang w:val="en-GB"/>
        </w:rPr>
      </w:pPr>
    </w:p>
    <w:p w:rsidR="005C3F63" w:rsidRDefault="005C3F63">
      <w:pPr>
        <w:rPr>
          <w:rFonts w:ascii="Verdana" w:hAnsi="Verdana"/>
          <w:sz w:val="22"/>
          <w:lang w:val="en-GB"/>
        </w:rPr>
      </w:pPr>
    </w:p>
    <w:p w:rsidR="005C3F63" w:rsidRDefault="006536E7">
      <w:pPr>
        <w:spacing w:after="120"/>
        <w:rPr>
          <w:rFonts w:ascii="Verdana" w:hAnsi="Verdana"/>
          <w:i/>
          <w:sz w:val="20"/>
          <w:szCs w:val="20"/>
        </w:rPr>
      </w:pPr>
      <w:r>
        <w:rPr>
          <w:rFonts w:ascii="Verdana" w:hAnsi="Verdana"/>
          <w:b/>
          <w:i/>
          <w:sz w:val="20"/>
          <w:szCs w:val="20"/>
          <w:lang w:val="sk-SK"/>
        </w:rPr>
        <w:t xml:space="preserve">Abstract: </w:t>
      </w:r>
      <w:r>
        <w:rPr>
          <w:rFonts w:ascii="Verdana" w:hAnsi="Verdana"/>
          <w:i/>
          <w:sz w:val="20"/>
          <w:szCs w:val="20"/>
        </w:rPr>
        <w:t>Changes in legal legislation are affected by various factors resulting from the transposition of the European Union as well as changes in society. The aim of the paper is to analyze changes in legal framework of reporting of non-financial information according to Act on Accounting with effect from 1 January 2020 and 1 January 2021 as well as in reporting of non-financial information according to GRI standards with effect from 1 January 2020 and 1 January 2021. A goal of this paper is to provide a cross-section of the issue and to draw attention to the effectiveness of changes in selected provisions of the Accounting Act and GRI standards. The analysis results are changes in the conditions for the audit of the financial statements during 2021 and 2022, which may have an impact on the reporting of non-financial information in annual reports and in the reporting of non-financial information in the description of diversity policy. At the same time, events in the company also had an impact on changes in the reporting of non-financial information according to GRI standards with effect from 2020 and 2021, specifically according to the GRI standard in economic (GRI 207 Tax), environmental (GRI 303 Water and Effluents, GRI 306 Waste) and social area (GRI 403 Occupational Health and Safety).</w:t>
      </w:r>
    </w:p>
    <w:p w:rsidR="005C3F63" w:rsidRDefault="006536E7">
      <w:pPr>
        <w:spacing w:after="120"/>
        <w:rPr>
          <w:rFonts w:ascii="Verdana" w:hAnsi="Verdana"/>
          <w:i/>
          <w:sz w:val="20"/>
          <w:szCs w:val="20"/>
          <w:lang w:val="sk-SK"/>
        </w:rPr>
      </w:pPr>
      <w:r>
        <w:rPr>
          <w:rFonts w:ascii="Verdana" w:hAnsi="Verdana"/>
          <w:b/>
          <w:i/>
          <w:sz w:val="20"/>
          <w:szCs w:val="20"/>
          <w:lang w:val="sk-SK"/>
        </w:rPr>
        <w:t>Keywords:</w:t>
      </w:r>
      <w:r>
        <w:rPr>
          <w:rFonts w:ascii="Verdana" w:hAnsi="Verdana"/>
          <w:i/>
          <w:sz w:val="20"/>
          <w:szCs w:val="20"/>
          <w:lang w:val="sk-SK"/>
        </w:rPr>
        <w:t xml:space="preserve"> accounting act, GRI standards, reporting non-financial information, diversity policy</w:t>
      </w:r>
    </w:p>
    <w:p w:rsidR="005C3F63" w:rsidRDefault="005C3F63">
      <w:pPr>
        <w:spacing w:after="120"/>
        <w:rPr>
          <w:rFonts w:ascii="Verdana" w:hAnsi="Verdana"/>
          <w:i/>
          <w:sz w:val="20"/>
          <w:szCs w:val="20"/>
          <w:lang w:val="sk-SK"/>
        </w:rPr>
      </w:pPr>
    </w:p>
    <w:p w:rsidR="005C3F63" w:rsidRDefault="006536E7">
      <w:pPr>
        <w:pStyle w:val="04-Anotacijostekstas"/>
        <w:spacing w:before="0" w:after="120"/>
        <w:ind w:left="0" w:right="-284"/>
        <w:jc w:val="left"/>
        <w:rPr>
          <w:rFonts w:ascii="Verdana" w:hAnsi="Verdana"/>
          <w:i/>
          <w:lang w:val="sk-SK"/>
        </w:rPr>
      </w:pPr>
      <w:r>
        <w:rPr>
          <w:rFonts w:ascii="Verdana" w:hAnsi="Verdana"/>
          <w:i/>
          <w:lang w:val="sk-SK"/>
        </w:rPr>
        <w:t>JEL codes: D21, K32, M14, M40</w:t>
      </w:r>
    </w:p>
    <w:p w:rsidR="005C3F63" w:rsidRDefault="006536E7">
      <w:pPr>
        <w:spacing w:before="240" w:after="120"/>
        <w:jc w:val="left"/>
        <w:rPr>
          <w:rFonts w:ascii="Verdana" w:hAnsi="Verdana" w:cs="Arial"/>
          <w:bCs/>
          <w:kern w:val="32"/>
          <w:sz w:val="18"/>
          <w:szCs w:val="18"/>
          <w:lang w:val="sk-SK" w:eastAsia="cs-CZ" w:bidi="ar-SA"/>
        </w:rPr>
      </w:pPr>
      <w:r>
        <w:rPr>
          <w:rStyle w:val="KapitolaChar"/>
          <w:lang w:val="sk-SK"/>
        </w:rPr>
        <w:t xml:space="preserve">1 Úvod / Introduction </w:t>
      </w:r>
    </w:p>
    <w:p w:rsidR="005C3F63" w:rsidRDefault="005C3F63">
      <w:pPr>
        <w:pStyle w:val="04-Anotacijostekstas"/>
        <w:spacing w:before="0" w:after="120"/>
        <w:ind w:left="0" w:right="-284"/>
        <w:jc w:val="left"/>
        <w:rPr>
          <w:rFonts w:ascii="Verdana" w:hAnsi="Verdana"/>
          <w:i/>
          <w:lang w:val="sk-SK"/>
        </w:rPr>
      </w:pPr>
    </w:p>
    <w:p w:rsidR="005C3F63" w:rsidRDefault="006536E7">
      <w:pPr>
        <w:pStyle w:val="aff"/>
        <w:jc w:val="both"/>
        <w:rPr>
          <w:lang w:val="sk-SK"/>
        </w:rPr>
      </w:pPr>
      <w:r>
        <w:rPr>
          <w:lang w:val="sk-SK"/>
        </w:rPr>
        <w:t xml:space="preserve">V súčasnosti manažment podnikového modelu nemôže podložiť svoje rozhodnutia len na základe finančných informácií, ale mal by svoje rozhodnutia v značnej miere oprieť aj o nefinančné informácie. Na zmeny v právnej legislatíve vplývajú rôzne faktory a vo všeobecnosti je možné povedať, že každá zmena zákona je sprevádzaná komplikovaným vnímaním a aplikáciou do spoločenského diania a často jej účinnosť ako taká je hodnotená samotnými používateľmi informácií aj z výročných správ. Európsky kontext je charakterizovaný zvýšenou pozornosťou regulačných orgánov Európskej komisie na zverejňovanie nefinančných informácií (Caputo et al., 2020). Zmeny v slovenskej právnej úprave v oblasti vykazovania nefinančných informácií vo výročnej správe vychádzajú z transpozície Smernice Európskeho parlamentu a Rady 2013/34/EÚ o ročných účtovných závierkach, konsolidovaných účtovných závierkach a súvisiacich správach určitých druhov podnikov, ktorou sa mení smernica Európskeho parlamentu a Rady 2006/43/EÚ a zrušujú sa smernice Rady 78/660/EHS a 83/349/EHS v znení neskorších predpisov (smernica 2013/34/EÚ) a Smernice Európskeho parlamentu a Rady 2014/95/EÚ z 22. októbra 2014, ktorou sa mení smernica 2013/34/EÚ pokiaľ ide o zverejňovanie nefinančných informácií týkajúcich sa rozmanitosti niektorými veľkými podnikmi a skupinami, smerujúcej k dosiahnutiu výraznejšej harmonizácií právnych predpisov v rámci krajín Európskej únie </w:t>
      </w:r>
      <w:r>
        <w:rPr>
          <w:lang w:val="sk-SK"/>
        </w:rPr>
        <w:lastRenderedPageBreak/>
        <w:t>(Tumpach &amp; Gedeon, 2019), ale aj spoločenského diania, ktoré vyžaduje, aby vykazované nefinančné informácie odrážali čo najreálnejší a najnovší vývoj v spoločnosti. Z tohto dôvodu sa uvedené zmeny vyplývajúce z transpozícií a zmien v spoločenskom dianí prejavili na zmenách v slovenskej právnej úprave a GRI štandardoch v oblasti vykazovania spoločenskej zodpovednosti.</w:t>
      </w:r>
    </w:p>
    <w:p w:rsidR="005C3F63" w:rsidRDefault="006536E7">
      <w:pPr>
        <w:spacing w:before="240" w:after="120"/>
        <w:jc w:val="left"/>
        <w:rPr>
          <w:rFonts w:ascii="Verdana" w:hAnsi="Verdana" w:cs="Arial"/>
          <w:bCs/>
          <w:kern w:val="32"/>
          <w:sz w:val="18"/>
          <w:szCs w:val="18"/>
          <w:lang w:val="sk-SK" w:eastAsia="cs-CZ" w:bidi="ar-SA"/>
        </w:rPr>
      </w:pPr>
      <w:r>
        <w:rPr>
          <w:rStyle w:val="KapitolaChar"/>
          <w:lang w:val="sk-SK"/>
        </w:rPr>
        <w:t xml:space="preserve">2 Metodológia a zdrojové údaje / Methodology and Data </w:t>
      </w:r>
    </w:p>
    <w:p w:rsidR="005C3F63" w:rsidRDefault="006536E7">
      <w:pPr>
        <w:spacing w:after="120"/>
        <w:rPr>
          <w:rFonts w:ascii="Verdana" w:eastAsia="MS Mincho" w:hAnsi="Verdana"/>
          <w:color w:val="000000"/>
          <w:kern w:val="2"/>
          <w:sz w:val="20"/>
          <w:szCs w:val="20"/>
          <w:shd w:val="clear" w:color="auto" w:fill="FFFFFF"/>
          <w:lang w:val="sk-SK" w:eastAsia="ja-JP" w:bidi="ar-SA"/>
        </w:rPr>
      </w:pPr>
      <w:r>
        <w:rPr>
          <w:rFonts w:ascii="Verdana" w:eastAsia="MS Mincho" w:hAnsi="Verdana"/>
          <w:color w:val="000000"/>
          <w:kern w:val="2"/>
          <w:sz w:val="20"/>
          <w:szCs w:val="20"/>
          <w:shd w:val="clear" w:color="auto" w:fill="FFFFFF"/>
          <w:lang w:val="sk-SK" w:eastAsia="ja-JP" w:bidi="ar-SA"/>
        </w:rPr>
        <w:t>Cieľom príspevku je analýza zmien právneho rámca vo vykazovaní nefinančných informácií s účinnosťou najmä od 1. 1. 2020 a 1. 1. 2021 podľa zákona o účtovníctve ako aj analýza vykazovania nefinančných informácií podľa GRI štandardov s účinnosťou od 1. 1. 2020 a 1. 1. 2021. Snahou príspevku je poskytnúť prierez danou problematikou a upozorniť na účinnosť zmien vybraných ustanovení zákona o účtovníctve a GRI štandardov. Napriek tomu, že príspevok sa orientuje hlavne na zmeny vo vykazovaní nefinančných informácií s účinnosťou od 1. 1. 2020 a od 1. 1. 2021, sú v príspevku uvedené aj vybrané zmeny vo vykazovaní nefinančných informácií podľa GRI štandardov s účinnosťou od 1. 7. 2018. Metóda analýzy bola uplatnená aj na analýzu obsahovej náplne GRI štandardov, v ktorých nastala zmena vo vykazovaní nefinančných informácií. Z vedeckých metód sme pri skúmaní danej problematiky okrem analýzy využili metódu komparácie. Komparáciou sme zistili rozdiely v podmienkach pre overenie účtovnej závierky audítorom pre účtovné obdobie 2020, 2021 a 2022 podľa zákona o účtovníctve.</w:t>
      </w:r>
    </w:p>
    <w:p w:rsidR="005C3F63" w:rsidRDefault="006536E7">
      <w:pPr>
        <w:pStyle w:val="Kapitola"/>
        <w:rPr>
          <w:lang w:val="sk-SK"/>
        </w:rPr>
      </w:pPr>
      <w:r>
        <w:rPr>
          <w:szCs w:val="22"/>
          <w:lang w:val="sk-SK"/>
        </w:rPr>
        <w:t>3 Výsledky a diskusia / Results and Discussion</w:t>
      </w:r>
    </w:p>
    <w:p w:rsidR="005C3F63" w:rsidRDefault="006536E7">
      <w:pPr>
        <w:spacing w:after="120"/>
        <w:rPr>
          <w:rFonts w:ascii="Verdana" w:hAnsi="Verdana"/>
          <w:bCs/>
          <w:sz w:val="20"/>
          <w:szCs w:val="20"/>
          <w:lang w:val="sk-SK"/>
        </w:rPr>
      </w:pPr>
      <w:r>
        <w:rPr>
          <w:rFonts w:ascii="Verdana" w:hAnsi="Verdana"/>
          <w:sz w:val="20"/>
          <w:szCs w:val="20"/>
          <w:lang w:val="sk-SK"/>
        </w:rPr>
        <w:t>Zákonom č. 363/2019 Z. z. zo dňa 15. októbra 2019, ktorým sa mení a dopĺňa zákon č. 431/2002 Z. z. o účtovníctve v znení neskorších predpisov (zákon o účtovníctve) dochádza k zmene podmienok pre overovanie účtovnej závierky audítorom. Splnenie nových podmienok overenia účtovnej závierky audítorom sa bude aplikovať pre účtovné obdobie, ktoré sa začína 1. 1. 2020. S účinnosťou od 1. 1. 2020 dochádza k zvýšeniu súčasných rozhodujúcich podmienok. Podmienka celkovej sumy majetku sa zvyšuje z pôvodných 1 000 000 eur na 2 000 000 eur, podmienka čistého obratu sa zvyšuje z pôvodných 2 000 000 eur na 4 000 000 eur. Jedine podmienka priemerného prepočítaného počtu zamestnancov zostáva naďalej nezmenená, t. j. priemerný prepočítaný počet zamestnancov v jednom účtovnom období presiahol 30. V priebehu roka 2020 bol zákon o účtovníctve novelizovaný zákonom č. 198/2020 Z. z.</w:t>
      </w:r>
      <w:r>
        <w:rPr>
          <w:rFonts w:ascii="Segoe UI" w:hAnsi="Segoe UI" w:cs="Segoe UI"/>
          <w:color w:val="494949"/>
          <w:sz w:val="21"/>
          <w:szCs w:val="21"/>
          <w:lang w:val="sk-SK" w:bidi="ar-SA"/>
        </w:rPr>
        <w:t xml:space="preserve"> </w:t>
      </w:r>
      <w:r>
        <w:rPr>
          <w:rFonts w:ascii="Verdana" w:hAnsi="Verdana"/>
          <w:sz w:val="20"/>
          <w:szCs w:val="20"/>
          <w:lang w:val="sk-SK"/>
        </w:rPr>
        <w:t xml:space="preserve">z 9. júla 2020, </w:t>
      </w:r>
      <w:r>
        <w:rPr>
          <w:rFonts w:ascii="Verdana" w:hAnsi="Verdana"/>
          <w:bCs/>
          <w:sz w:val="20"/>
          <w:szCs w:val="20"/>
          <w:lang w:val="sk-SK"/>
        </w:rPr>
        <w:t>ktorým sa menia a dopĺňajú niektoré zákony v súvislosti so zlepšovaním podnikateľského prostredia zasiahnutým opatreniami na zamedzenie šírenia nebezpečnej nákazlivej ľudskej choroby Covid-19. V zmysle tejto novely ustanovenia týkajúce zmien podmienok overenia účtovnej závierky audítorom nadobudnú účinnosť od 1. 1. 2021 a niektoré od 1. 1. 2022. Prehľad zmien podmienok pre overenie účtovnej závierky audítorom poskytuje tabuľka 1.</w:t>
      </w:r>
    </w:p>
    <w:p w:rsidR="005C3F63" w:rsidRDefault="006536E7">
      <w:pPr>
        <w:spacing w:after="120"/>
        <w:jc w:val="center"/>
        <w:rPr>
          <w:rFonts w:ascii="Verdana" w:hAnsi="Verdana"/>
          <w:sz w:val="20"/>
          <w:szCs w:val="20"/>
          <w:lang w:val="sk-SK"/>
        </w:rPr>
      </w:pPr>
      <w:r>
        <w:rPr>
          <w:rFonts w:ascii="Verdana" w:hAnsi="Verdana"/>
          <w:b/>
          <w:sz w:val="20"/>
          <w:szCs w:val="20"/>
          <w:lang w:val="sk-SK"/>
        </w:rPr>
        <w:t>Tabuľka 1</w:t>
      </w:r>
      <w:r>
        <w:rPr>
          <w:rFonts w:ascii="Verdana" w:hAnsi="Verdana"/>
          <w:sz w:val="20"/>
          <w:szCs w:val="20"/>
          <w:lang w:val="sk-SK"/>
        </w:rPr>
        <w:t xml:space="preserve"> Prehľad zmien podmienok pre overenie účtovnej závierky audítorom          pre účtovné obdobia 2020 - 2022</w:t>
      </w:r>
    </w:p>
    <w:tbl>
      <w:tblPr>
        <w:tblW w:w="0" w:type="auto"/>
        <w:jc w:val="center"/>
        <w:tblBorders>
          <w:top w:val="single" w:sz="8" w:space="0" w:color="000000"/>
          <w:bottom w:val="single" w:sz="8" w:space="0" w:color="000000"/>
        </w:tblBorders>
        <w:tblLook w:val="04A0" w:firstRow="1" w:lastRow="0" w:firstColumn="1" w:lastColumn="0" w:noHBand="0" w:noVBand="1"/>
      </w:tblPr>
      <w:tblGrid>
        <w:gridCol w:w="3652"/>
        <w:gridCol w:w="1843"/>
        <w:gridCol w:w="1984"/>
        <w:gridCol w:w="1809"/>
      </w:tblGrid>
      <w:tr w:rsidR="005C3F63">
        <w:trPr>
          <w:trHeight w:val="321"/>
          <w:jc w:val="center"/>
        </w:trPr>
        <w:tc>
          <w:tcPr>
            <w:tcW w:w="3652" w:type="dxa"/>
            <w:tcBorders>
              <w:top w:val="single" w:sz="8" w:space="0" w:color="000000"/>
              <w:left w:val="nil"/>
              <w:bottom w:val="double" w:sz="4" w:space="0" w:color="auto"/>
              <w:right w:val="single" w:sz="4" w:space="0" w:color="auto"/>
            </w:tcBorders>
            <w:vAlign w:val="center"/>
          </w:tcPr>
          <w:p w:rsidR="005C3F63" w:rsidRDefault="006536E7">
            <w:pPr>
              <w:jc w:val="left"/>
              <w:rPr>
                <w:rFonts w:ascii="Verdana" w:hAnsi="Verdana"/>
                <w:b/>
                <w:bCs/>
                <w:color w:val="000000"/>
                <w:sz w:val="20"/>
                <w:szCs w:val="20"/>
                <w:lang w:val="sk-SK"/>
              </w:rPr>
            </w:pPr>
            <w:r>
              <w:rPr>
                <w:rFonts w:ascii="Verdana" w:hAnsi="Verdana"/>
                <w:b/>
                <w:bCs/>
                <w:color w:val="000000"/>
                <w:sz w:val="20"/>
                <w:szCs w:val="20"/>
                <w:lang w:val="sk-SK"/>
              </w:rPr>
              <w:t>Účtovné obdobie</w:t>
            </w:r>
          </w:p>
        </w:tc>
        <w:tc>
          <w:tcPr>
            <w:tcW w:w="1843" w:type="dxa"/>
            <w:tcBorders>
              <w:top w:val="single" w:sz="8" w:space="0" w:color="000000"/>
              <w:left w:val="single" w:sz="4" w:space="0" w:color="auto"/>
              <w:bottom w:val="double" w:sz="4" w:space="0" w:color="auto"/>
              <w:right w:val="single" w:sz="4" w:space="0" w:color="auto"/>
            </w:tcBorders>
            <w:vAlign w:val="center"/>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2020</w:t>
            </w:r>
          </w:p>
        </w:tc>
        <w:tc>
          <w:tcPr>
            <w:tcW w:w="1984" w:type="dxa"/>
            <w:tcBorders>
              <w:top w:val="single" w:sz="8" w:space="0" w:color="000000"/>
              <w:left w:val="nil"/>
              <w:bottom w:val="double" w:sz="4" w:space="0" w:color="auto"/>
              <w:right w:val="single" w:sz="4" w:space="0" w:color="auto"/>
            </w:tcBorders>
            <w:vAlign w:val="center"/>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2021</w:t>
            </w:r>
          </w:p>
        </w:tc>
        <w:tc>
          <w:tcPr>
            <w:tcW w:w="1809" w:type="dxa"/>
            <w:tcBorders>
              <w:top w:val="single" w:sz="8" w:space="0" w:color="000000"/>
              <w:left w:val="single" w:sz="4" w:space="0" w:color="auto"/>
              <w:bottom w:val="double" w:sz="4" w:space="0" w:color="auto"/>
              <w:right w:val="nil"/>
            </w:tcBorders>
            <w:vAlign w:val="center"/>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2022</w:t>
            </w:r>
          </w:p>
        </w:tc>
      </w:tr>
      <w:tr w:rsidR="005C3F63">
        <w:trPr>
          <w:trHeight w:val="285"/>
          <w:jc w:val="center"/>
        </w:trPr>
        <w:tc>
          <w:tcPr>
            <w:tcW w:w="3652" w:type="dxa"/>
            <w:tcBorders>
              <w:top w:val="double" w:sz="4" w:space="0" w:color="auto"/>
              <w:left w:val="nil"/>
              <w:bottom w:val="single" w:sz="4" w:space="0" w:color="auto"/>
              <w:right w:val="single" w:sz="4" w:space="0" w:color="auto"/>
            </w:tcBorders>
            <w:shd w:val="clear" w:color="auto" w:fill="FFFFFF"/>
            <w:vAlign w:val="center"/>
          </w:tcPr>
          <w:p w:rsidR="005C3F63" w:rsidRDefault="006536E7">
            <w:pPr>
              <w:jc w:val="left"/>
              <w:rPr>
                <w:rFonts w:ascii="Verdana" w:hAnsi="Verdana"/>
                <w:b/>
                <w:bCs/>
                <w:color w:val="000000"/>
                <w:sz w:val="20"/>
                <w:szCs w:val="20"/>
                <w:lang w:val="sk-SK"/>
              </w:rPr>
            </w:pPr>
            <w:r>
              <w:rPr>
                <w:rFonts w:ascii="Verdana" w:hAnsi="Verdana"/>
                <w:b/>
                <w:bCs/>
                <w:color w:val="000000"/>
                <w:sz w:val="20"/>
                <w:szCs w:val="20"/>
                <w:lang w:val="sk-SK"/>
              </w:rPr>
              <w:t>Novela zákona o účtovníctve</w:t>
            </w:r>
          </w:p>
        </w:tc>
        <w:tc>
          <w:tcPr>
            <w:tcW w:w="1843" w:type="dxa"/>
            <w:tcBorders>
              <w:top w:val="double" w:sz="4" w:space="0" w:color="auto"/>
              <w:left w:val="single" w:sz="4" w:space="0" w:color="auto"/>
              <w:bottom w:val="single" w:sz="4" w:space="0" w:color="auto"/>
              <w:right w:val="single" w:sz="4" w:space="0" w:color="auto"/>
            </w:tcBorders>
            <w:shd w:val="clear" w:color="auto" w:fill="FFFFFF"/>
            <w:vAlign w:val="center"/>
          </w:tcPr>
          <w:p w:rsidR="005C3F63" w:rsidRDefault="006536E7">
            <w:pPr>
              <w:jc w:val="left"/>
              <w:rPr>
                <w:rFonts w:ascii="Verdana" w:hAnsi="Verdana"/>
                <w:color w:val="000000"/>
                <w:sz w:val="20"/>
                <w:szCs w:val="20"/>
                <w:lang w:val="sk-SK"/>
              </w:rPr>
            </w:pPr>
            <w:r>
              <w:rPr>
                <w:rFonts w:ascii="Verdana" w:hAnsi="Verdana"/>
                <w:color w:val="000000"/>
                <w:sz w:val="20"/>
                <w:szCs w:val="20"/>
                <w:lang w:val="sk-SK"/>
              </w:rPr>
              <w:t>363/2019 Z. z.</w:t>
            </w:r>
          </w:p>
        </w:tc>
        <w:tc>
          <w:tcPr>
            <w:tcW w:w="1984" w:type="dxa"/>
            <w:tcBorders>
              <w:top w:val="double" w:sz="4" w:space="0" w:color="auto"/>
              <w:left w:val="nil"/>
              <w:bottom w:val="single" w:sz="4" w:space="0" w:color="auto"/>
              <w:right w:val="single" w:sz="4" w:space="0" w:color="auto"/>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198/2020 Z. z.</w:t>
            </w:r>
          </w:p>
        </w:tc>
        <w:tc>
          <w:tcPr>
            <w:tcW w:w="1809" w:type="dxa"/>
            <w:tcBorders>
              <w:top w:val="double" w:sz="4" w:space="0" w:color="auto"/>
              <w:left w:val="single" w:sz="4" w:space="0" w:color="auto"/>
              <w:bottom w:val="single" w:sz="4" w:space="0" w:color="auto"/>
              <w:right w:val="nil"/>
            </w:tcBorders>
            <w:shd w:val="clear" w:color="auto" w:fill="FFFFFF"/>
            <w:vAlign w:val="center"/>
          </w:tcPr>
          <w:p w:rsidR="005C3F63" w:rsidRDefault="006536E7">
            <w:pPr>
              <w:jc w:val="left"/>
              <w:rPr>
                <w:rFonts w:ascii="Verdana" w:hAnsi="Verdana"/>
                <w:color w:val="000000"/>
                <w:sz w:val="20"/>
                <w:szCs w:val="20"/>
                <w:lang w:val="sk-SK"/>
              </w:rPr>
            </w:pPr>
            <w:r>
              <w:rPr>
                <w:rFonts w:ascii="Verdana" w:hAnsi="Verdana"/>
                <w:color w:val="000000"/>
                <w:sz w:val="20"/>
                <w:szCs w:val="20"/>
                <w:lang w:val="sk-SK"/>
              </w:rPr>
              <w:t>198/2020 Z. z.</w:t>
            </w:r>
          </w:p>
        </w:tc>
      </w:tr>
      <w:tr w:rsidR="005C3F63">
        <w:trPr>
          <w:trHeight w:val="285"/>
          <w:jc w:val="center"/>
        </w:trPr>
        <w:tc>
          <w:tcPr>
            <w:tcW w:w="3652" w:type="dxa"/>
            <w:tcBorders>
              <w:top w:val="single" w:sz="4" w:space="0" w:color="auto"/>
              <w:left w:val="nil"/>
              <w:bottom w:val="single" w:sz="4" w:space="0" w:color="auto"/>
              <w:right w:val="single" w:sz="4" w:space="0" w:color="auto"/>
            </w:tcBorders>
            <w:shd w:val="clear" w:color="auto" w:fill="FFFFFF"/>
            <w:vAlign w:val="center"/>
          </w:tcPr>
          <w:p w:rsidR="005C3F63" w:rsidRDefault="006536E7">
            <w:pPr>
              <w:jc w:val="left"/>
              <w:rPr>
                <w:rFonts w:ascii="Verdana" w:hAnsi="Verdana"/>
                <w:b/>
                <w:bCs/>
                <w:color w:val="000000"/>
                <w:sz w:val="20"/>
                <w:szCs w:val="20"/>
                <w:lang w:val="sk-SK"/>
              </w:rPr>
            </w:pPr>
            <w:r>
              <w:rPr>
                <w:rFonts w:ascii="Verdana" w:hAnsi="Verdana"/>
                <w:b/>
                <w:bCs/>
                <w:color w:val="000000"/>
                <w:sz w:val="20"/>
                <w:szCs w:val="20"/>
                <w:lang w:val="sk-SK"/>
              </w:rPr>
              <w:t>Celková suma majetku v eur</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2 000 000</w:t>
            </w:r>
          </w:p>
        </w:tc>
        <w:tc>
          <w:tcPr>
            <w:tcW w:w="1984" w:type="dxa"/>
            <w:tcBorders>
              <w:top w:val="single" w:sz="4" w:space="0" w:color="auto"/>
              <w:left w:val="nil"/>
              <w:bottom w:val="single" w:sz="4" w:space="0" w:color="auto"/>
              <w:right w:val="single" w:sz="4" w:space="0" w:color="auto"/>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3 000 000</w:t>
            </w:r>
          </w:p>
        </w:tc>
        <w:tc>
          <w:tcPr>
            <w:tcW w:w="1809" w:type="dxa"/>
            <w:tcBorders>
              <w:top w:val="single" w:sz="4" w:space="0" w:color="auto"/>
              <w:left w:val="single" w:sz="4" w:space="0" w:color="auto"/>
              <w:bottom w:val="single" w:sz="4" w:space="0" w:color="auto"/>
              <w:right w:val="nil"/>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4 000 000</w:t>
            </w:r>
          </w:p>
        </w:tc>
      </w:tr>
      <w:tr w:rsidR="005C3F63">
        <w:trPr>
          <w:trHeight w:val="268"/>
          <w:jc w:val="center"/>
        </w:trPr>
        <w:tc>
          <w:tcPr>
            <w:tcW w:w="3652" w:type="dxa"/>
            <w:tcBorders>
              <w:top w:val="single" w:sz="4" w:space="0" w:color="auto"/>
              <w:bottom w:val="single" w:sz="4" w:space="0" w:color="auto"/>
              <w:right w:val="single" w:sz="4" w:space="0" w:color="auto"/>
            </w:tcBorders>
            <w:shd w:val="clear" w:color="auto" w:fill="FFFFFF"/>
            <w:vAlign w:val="center"/>
          </w:tcPr>
          <w:p w:rsidR="005C3F63" w:rsidRDefault="006536E7">
            <w:pPr>
              <w:ind w:right="-89"/>
              <w:jc w:val="left"/>
              <w:rPr>
                <w:rFonts w:ascii="Verdana" w:hAnsi="Verdana"/>
                <w:b/>
                <w:bCs/>
                <w:color w:val="000000"/>
                <w:sz w:val="20"/>
                <w:szCs w:val="20"/>
                <w:lang w:val="sk-SK"/>
              </w:rPr>
            </w:pPr>
            <w:r>
              <w:rPr>
                <w:rFonts w:ascii="Verdana" w:hAnsi="Verdana"/>
                <w:b/>
                <w:bCs/>
                <w:color w:val="000000"/>
                <w:sz w:val="20"/>
                <w:szCs w:val="20"/>
                <w:lang w:val="sk-SK"/>
              </w:rPr>
              <w:t>Čistý obrat v eur</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4 000 000</w:t>
            </w:r>
          </w:p>
        </w:tc>
        <w:tc>
          <w:tcPr>
            <w:tcW w:w="1984" w:type="dxa"/>
            <w:tcBorders>
              <w:top w:val="single" w:sz="4" w:space="0" w:color="auto"/>
              <w:bottom w:val="single" w:sz="4" w:space="0" w:color="auto"/>
              <w:right w:val="single" w:sz="4" w:space="0" w:color="auto"/>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6 000 000</w:t>
            </w:r>
          </w:p>
        </w:tc>
        <w:tc>
          <w:tcPr>
            <w:tcW w:w="1809" w:type="dxa"/>
            <w:tcBorders>
              <w:top w:val="single" w:sz="4" w:space="0" w:color="auto"/>
              <w:left w:val="single" w:sz="4" w:space="0" w:color="auto"/>
              <w:bottom w:val="single" w:sz="4" w:space="0" w:color="auto"/>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8 000 000</w:t>
            </w:r>
          </w:p>
        </w:tc>
      </w:tr>
      <w:tr w:rsidR="005C3F63">
        <w:trPr>
          <w:trHeight w:val="285"/>
          <w:jc w:val="center"/>
        </w:trPr>
        <w:tc>
          <w:tcPr>
            <w:tcW w:w="3652" w:type="dxa"/>
            <w:tcBorders>
              <w:top w:val="single" w:sz="4" w:space="0" w:color="auto"/>
              <w:left w:val="nil"/>
              <w:bottom w:val="single" w:sz="4" w:space="0" w:color="auto"/>
              <w:right w:val="single" w:sz="4" w:space="0" w:color="auto"/>
            </w:tcBorders>
            <w:shd w:val="clear" w:color="auto" w:fill="FFFFFF"/>
            <w:vAlign w:val="center"/>
          </w:tcPr>
          <w:p w:rsidR="005C3F63" w:rsidRDefault="006536E7">
            <w:pPr>
              <w:jc w:val="left"/>
              <w:rPr>
                <w:rFonts w:ascii="Verdana" w:hAnsi="Verdana"/>
                <w:b/>
                <w:bCs/>
                <w:color w:val="000000"/>
                <w:sz w:val="20"/>
                <w:szCs w:val="20"/>
                <w:lang w:val="sk-SK"/>
              </w:rPr>
            </w:pPr>
            <w:r>
              <w:rPr>
                <w:rFonts w:ascii="Verdana" w:hAnsi="Verdana"/>
                <w:b/>
                <w:bCs/>
                <w:color w:val="000000"/>
                <w:sz w:val="20"/>
                <w:szCs w:val="20"/>
                <w:lang w:val="sk-SK"/>
              </w:rPr>
              <w:t>Priemerný prepočítaný počet zamestnancov</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30</w:t>
            </w:r>
          </w:p>
        </w:tc>
        <w:tc>
          <w:tcPr>
            <w:tcW w:w="1984" w:type="dxa"/>
            <w:tcBorders>
              <w:top w:val="single" w:sz="4" w:space="0" w:color="auto"/>
              <w:left w:val="nil"/>
              <w:bottom w:val="single" w:sz="4" w:space="0" w:color="auto"/>
              <w:right w:val="single" w:sz="4" w:space="0" w:color="auto"/>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40</w:t>
            </w:r>
          </w:p>
        </w:tc>
        <w:tc>
          <w:tcPr>
            <w:tcW w:w="1809" w:type="dxa"/>
            <w:tcBorders>
              <w:top w:val="single" w:sz="4" w:space="0" w:color="auto"/>
              <w:left w:val="single" w:sz="4" w:space="0" w:color="auto"/>
              <w:bottom w:val="single" w:sz="4" w:space="0" w:color="auto"/>
              <w:right w:val="nil"/>
            </w:tcBorders>
            <w:shd w:val="clear" w:color="auto" w:fill="FFFFFF"/>
            <w:vAlign w:val="center"/>
          </w:tcPr>
          <w:p w:rsidR="005C3F63" w:rsidRDefault="006536E7">
            <w:pPr>
              <w:jc w:val="center"/>
              <w:rPr>
                <w:rFonts w:ascii="Verdana" w:hAnsi="Verdana"/>
                <w:color w:val="000000"/>
                <w:sz w:val="20"/>
                <w:szCs w:val="20"/>
                <w:lang w:val="sk-SK"/>
              </w:rPr>
            </w:pPr>
            <w:r>
              <w:rPr>
                <w:rFonts w:ascii="Verdana" w:hAnsi="Verdana"/>
                <w:color w:val="000000"/>
                <w:sz w:val="20"/>
                <w:szCs w:val="20"/>
                <w:lang w:val="sk-SK"/>
              </w:rPr>
              <w:t>50</w:t>
            </w:r>
          </w:p>
        </w:tc>
      </w:tr>
    </w:tbl>
    <w:p w:rsidR="005C3F63" w:rsidRDefault="006536E7">
      <w:pPr>
        <w:spacing w:after="240"/>
        <w:jc w:val="center"/>
        <w:rPr>
          <w:rFonts w:ascii="Verdana" w:hAnsi="Verdana"/>
          <w:sz w:val="18"/>
          <w:szCs w:val="18"/>
          <w:lang w:val="sk-SK"/>
        </w:rPr>
      </w:pPr>
      <w:r>
        <w:rPr>
          <w:rFonts w:ascii="Verdana" w:hAnsi="Verdana"/>
          <w:sz w:val="18"/>
          <w:szCs w:val="18"/>
          <w:lang w:val="sk-SK"/>
        </w:rPr>
        <w:t>Zdroj: vlastné spracovanie</w:t>
      </w:r>
    </w:p>
    <w:p w:rsidR="005C3F63" w:rsidRDefault="006536E7">
      <w:pPr>
        <w:pStyle w:val="aff"/>
        <w:rPr>
          <w:lang w:val="sk-SK"/>
        </w:rPr>
      </w:pPr>
      <w:r>
        <w:rPr>
          <w:lang w:val="sk-SK"/>
        </w:rPr>
        <w:t xml:space="preserve">Vplyv harmonizácie transpozície smernice 2013/34/EÚ do zákona o účtovníctve vidíme v povinnosti overenia účtovnej závierky audítorom, pričom smernica 2013/34/EÚ určuje len minimálnu transpozičnú povinnosť, a preto členské štáty uplatňujú rôzne veľkostné </w:t>
      </w:r>
      <w:r>
        <w:rPr>
          <w:lang w:val="sk-SK"/>
        </w:rPr>
        <w:lastRenderedPageBreak/>
        <w:t xml:space="preserve">podmienky na audit pri zohľadnení objektívnych kritérií, ale podľa tabuľky 1 značná zmena podmienok pre overenie účtovnej závierky audítorom sa prejaví v roku 2022. </w:t>
      </w:r>
    </w:p>
    <w:p w:rsidR="005C3F63" w:rsidRDefault="006536E7">
      <w:pPr>
        <w:spacing w:after="120"/>
        <w:rPr>
          <w:rFonts w:ascii="Verdana" w:hAnsi="Verdana"/>
          <w:sz w:val="20"/>
          <w:szCs w:val="20"/>
          <w:lang w:val="sk-SK"/>
        </w:rPr>
      </w:pPr>
      <w:r>
        <w:rPr>
          <w:rFonts w:ascii="Verdana" w:eastAsia="MS Mincho" w:hAnsi="Verdana"/>
          <w:color w:val="000000"/>
          <w:kern w:val="2"/>
          <w:sz w:val="20"/>
          <w:szCs w:val="20"/>
          <w:shd w:val="clear" w:color="auto" w:fill="FFFFFF"/>
          <w:lang w:val="sk-SK" w:eastAsia="ja-JP" w:bidi="ar-SA"/>
        </w:rPr>
        <w:t>Podľa zatriedenia do veľkostných skupín podnikov v zmysle zákona o účtovníctve sa vykazovanie nefinančných informácií povinne týka iba niektorých subjektov verejného záujmu a nie všetkých veľkých podnikov (Pakšiová, 2018). Zákon o účtovníctve vymedzuje, ktoré účtovné jednotky majú povinnosť zverejňovania nefinančných informácií týkajúcich sa opisu politiky rozmanitosti. Zmenou a doplnením zákona o účtovníctve nastáva úprava, ktorá umožňuje oslobodenie od uvádzania informácií opisu politiky rozmanitosti vo výročných správach. Oslobodenie sa týka veľkých účtovných jednotiek, ktoré emitovali len iné cenné papiere ako sú akcie prijaté na obchodovanie na regulovanom trhu, ak tieto účtovné jednotky neemitovali akcie, s ktorými sa obchoduje  v mnohostrannom obchodnom systéme podľa zákona č. 429/2002 Z. z. o burze cenných papierov v znení neskorších predpisov s účinnosťou k 31. 12. 2019 (Dôvodová správa, 2019). Oslobodenie od uvádzania nefinančných informácií opisu politiky rozmanitosti vychádza z transpozície Smernice Európskeho parlamentu a Rady 2014/95/EÚ z 22. októbra 2014, ktorou sa</w:t>
      </w:r>
      <w:r>
        <w:rPr>
          <w:rFonts w:ascii="Verdana" w:hAnsi="Verdana"/>
          <w:sz w:val="20"/>
          <w:szCs w:val="20"/>
          <w:lang w:val="sk-SK"/>
        </w:rPr>
        <w:t xml:space="preserve"> mení smernica 2013/34/EÚ, pokiaľ ide o zverejňovanie nefinančných informácií týkajúcich sa rozmanitosti niektorými veľkými podnikmi a skupinami do ustanovenia § 20 ods. 13 zákona o účtovníctve.</w:t>
      </w:r>
    </w:p>
    <w:p w:rsidR="005C3F63" w:rsidRDefault="006536E7">
      <w:pPr>
        <w:spacing w:after="120"/>
        <w:rPr>
          <w:rFonts w:ascii="Verdana" w:hAnsi="Verdana"/>
          <w:sz w:val="20"/>
          <w:szCs w:val="20"/>
          <w:lang w:val="sk-SK"/>
        </w:rPr>
      </w:pPr>
      <w:r>
        <w:rPr>
          <w:rFonts w:ascii="Verdana" w:hAnsi="Verdana"/>
          <w:sz w:val="20"/>
          <w:szCs w:val="20"/>
          <w:lang w:val="sk-SK"/>
        </w:rPr>
        <w:t xml:space="preserve">Dá sa povedať, že vykazovanie v rámci CSR odráža otázky týkajúce sa environmentálnych a spoločenských vplyvov a politík spoločnosti na vývoj podniku (Samelak, 2013) a naopak reporty CSR sú komunikačným nástrojom, ktorý poskytuje interné aj externé informácie o sociálnych a environmentálnych aspektoch činnosti podniku (Matuszak &amp; Rózánska, 2017) a vo všeobecnosti zobrazujú vplyv podniku na hospodársku, environmentálnu a sociálnu sféru spoločnosti, v ktorej pôsobí (Garstecki et al., 2019). Je tiež dôležité zvážiť, ktoré formy komunikácie sa uprednostňujú na zverejňovanie nefinančných informácií (Branco &amp; Rodrigues, 2008). Podľa zákona o účtovníctve môžu účtovné jednotky postupovať pri vykazovaní nefinančných informácií v zmysle medzinárodných noriem reportovania spoločenskej zodpovednosti - CSR a trvalo udržateľného rozvoja GRI štandardov vydávaných medzinárodnou organizáciou Global Reporting Iniciativ (GRI). Nezávislý orgán stanovujúci normy GRI – Rada pre globálne štandardy udržateľnosti – GSSB (angl. Global Sustainability Standards Board) iniciuje revízie už existujúcich štandardov, rozsah a obsahovú náplň GRI štandardov v jednotlivých oblastiach spoločenskej zodpovednosti. Účinnosť zmien v GRI štandardoch so zohľadnením zmeny vo zverejňovaní nefinančných informácií s účinnosťou od 1. 1. 2020 a 1. 1. 2021 zobrazuje schéma 1.  </w:t>
      </w:r>
    </w:p>
    <w:p w:rsidR="005C3F63" w:rsidRDefault="005C3F63">
      <w:pPr>
        <w:spacing w:after="120"/>
        <w:rPr>
          <w:rFonts w:ascii="Verdana" w:hAnsi="Verdana"/>
          <w:sz w:val="20"/>
          <w:szCs w:val="20"/>
          <w:lang w:val="sk-SK"/>
        </w:rPr>
      </w:pPr>
    </w:p>
    <w:p w:rsidR="005C3F63" w:rsidRDefault="005C3F63">
      <w:pPr>
        <w:spacing w:after="120"/>
        <w:rPr>
          <w:rFonts w:ascii="Verdana" w:hAnsi="Verdana"/>
          <w:sz w:val="20"/>
          <w:szCs w:val="20"/>
          <w:lang w:val="sk-SK"/>
        </w:rPr>
      </w:pPr>
    </w:p>
    <w:p w:rsidR="005C3F63" w:rsidRDefault="005C3F63">
      <w:pPr>
        <w:spacing w:after="120"/>
        <w:rPr>
          <w:rFonts w:ascii="Verdana" w:hAnsi="Verdana"/>
          <w:sz w:val="20"/>
          <w:szCs w:val="20"/>
          <w:lang w:val="sk-SK"/>
        </w:rPr>
      </w:pPr>
    </w:p>
    <w:p w:rsidR="005C3F63" w:rsidRDefault="005C3F63">
      <w:pPr>
        <w:spacing w:after="120"/>
        <w:rPr>
          <w:rFonts w:ascii="Verdana" w:hAnsi="Verdana"/>
          <w:sz w:val="20"/>
          <w:szCs w:val="20"/>
          <w:lang w:val="sk-SK"/>
        </w:rPr>
      </w:pPr>
    </w:p>
    <w:p w:rsidR="005C3F63" w:rsidRDefault="005C3F63">
      <w:pPr>
        <w:spacing w:after="120"/>
        <w:rPr>
          <w:rFonts w:ascii="Verdana" w:hAnsi="Verdana"/>
          <w:sz w:val="20"/>
          <w:szCs w:val="20"/>
          <w:lang w:val="sk-SK"/>
        </w:rPr>
      </w:pPr>
    </w:p>
    <w:p w:rsidR="005C3F63" w:rsidRDefault="005C3F63">
      <w:pPr>
        <w:spacing w:after="120"/>
        <w:rPr>
          <w:rFonts w:ascii="Verdana" w:hAnsi="Verdana"/>
          <w:sz w:val="20"/>
          <w:szCs w:val="20"/>
          <w:lang w:val="sk-SK"/>
        </w:rPr>
      </w:pPr>
    </w:p>
    <w:p w:rsidR="005C3F63" w:rsidRDefault="005C3F63">
      <w:pPr>
        <w:spacing w:after="120"/>
        <w:rPr>
          <w:rFonts w:ascii="Verdana" w:hAnsi="Verdana"/>
          <w:sz w:val="20"/>
          <w:szCs w:val="20"/>
          <w:lang w:val="sk-SK"/>
        </w:rPr>
      </w:pPr>
    </w:p>
    <w:p w:rsidR="005C3F63" w:rsidRDefault="005C3F63">
      <w:pPr>
        <w:spacing w:after="120"/>
        <w:rPr>
          <w:rFonts w:ascii="Verdana" w:hAnsi="Verdana"/>
          <w:sz w:val="20"/>
          <w:szCs w:val="20"/>
          <w:lang w:val="sk-SK"/>
        </w:rPr>
      </w:pPr>
    </w:p>
    <w:p w:rsidR="005C3F63" w:rsidRDefault="005C3F63">
      <w:pPr>
        <w:spacing w:after="120"/>
        <w:rPr>
          <w:rFonts w:ascii="Verdana" w:hAnsi="Verdana"/>
          <w:sz w:val="20"/>
          <w:szCs w:val="20"/>
          <w:lang w:val="sk-SK"/>
        </w:rPr>
      </w:pPr>
    </w:p>
    <w:p w:rsidR="005C3F63" w:rsidRDefault="005C3F63">
      <w:pPr>
        <w:spacing w:after="120"/>
        <w:rPr>
          <w:rFonts w:ascii="Verdana" w:hAnsi="Verdana"/>
          <w:sz w:val="20"/>
          <w:szCs w:val="20"/>
          <w:lang w:val="sk-SK"/>
        </w:rPr>
      </w:pPr>
    </w:p>
    <w:p w:rsidR="005C3F63" w:rsidRDefault="005C3F63">
      <w:pPr>
        <w:spacing w:after="120"/>
        <w:rPr>
          <w:rFonts w:ascii="Verdana" w:hAnsi="Verdana"/>
          <w:sz w:val="20"/>
          <w:szCs w:val="20"/>
          <w:lang w:val="sk-SK"/>
        </w:rPr>
      </w:pPr>
    </w:p>
    <w:p w:rsidR="005C3F63" w:rsidRDefault="005C3F63">
      <w:pPr>
        <w:spacing w:after="120"/>
        <w:rPr>
          <w:rFonts w:ascii="Verdana" w:hAnsi="Verdana"/>
          <w:sz w:val="20"/>
          <w:szCs w:val="20"/>
          <w:lang w:val="sk-SK"/>
        </w:rPr>
      </w:pPr>
    </w:p>
    <w:p w:rsidR="005C3F63" w:rsidRDefault="005C3F63">
      <w:pPr>
        <w:spacing w:after="120"/>
        <w:rPr>
          <w:rFonts w:ascii="Verdana" w:hAnsi="Verdana"/>
          <w:sz w:val="20"/>
          <w:szCs w:val="20"/>
          <w:lang w:val="sk-SK"/>
        </w:rPr>
      </w:pPr>
    </w:p>
    <w:p w:rsidR="005C3F63" w:rsidRDefault="005C3F63">
      <w:pPr>
        <w:spacing w:after="120"/>
        <w:rPr>
          <w:rFonts w:ascii="Verdana" w:hAnsi="Verdana"/>
          <w:sz w:val="20"/>
          <w:szCs w:val="20"/>
          <w:lang w:val="sk-SK"/>
        </w:rPr>
      </w:pPr>
    </w:p>
    <w:p w:rsidR="005C3F63" w:rsidRDefault="006536E7">
      <w:pPr>
        <w:jc w:val="center"/>
        <w:rPr>
          <w:rFonts w:ascii="Verdana" w:hAnsi="Verdana"/>
          <w:sz w:val="20"/>
          <w:szCs w:val="20"/>
          <w:lang w:val="sk-SK"/>
        </w:rPr>
      </w:pPr>
      <w:r>
        <w:rPr>
          <w:rFonts w:ascii="Verdana" w:hAnsi="Verdana"/>
          <w:b/>
          <w:sz w:val="20"/>
          <w:szCs w:val="20"/>
          <w:lang w:val="sk-SK"/>
        </w:rPr>
        <w:lastRenderedPageBreak/>
        <w:t>Schéma 1</w:t>
      </w:r>
      <w:r>
        <w:rPr>
          <w:rFonts w:ascii="Verdana" w:hAnsi="Verdana"/>
          <w:sz w:val="20"/>
          <w:szCs w:val="20"/>
          <w:lang w:val="sk-SK"/>
        </w:rPr>
        <w:t xml:space="preserve"> Účinnosť zmien vo vykazovaní nefinančných informácií podľa GRI štandardov</w:t>
      </w:r>
    </w:p>
    <w:p w:rsidR="005C3F63" w:rsidRDefault="005C3F63">
      <w:pPr>
        <w:jc w:val="center"/>
        <w:rPr>
          <w:rFonts w:ascii="Verdana" w:hAnsi="Verdana"/>
          <w:sz w:val="20"/>
          <w:szCs w:val="20"/>
          <w:lang w:val="sk-SK"/>
        </w:rPr>
      </w:pPr>
    </w:p>
    <w:p w:rsidR="005C3F63" w:rsidRDefault="006536E7">
      <w:pPr>
        <w:spacing w:after="120"/>
        <w:jc w:val="center"/>
        <w:rPr>
          <w:lang w:val="sk-SK" w:bidi="ar-SA"/>
        </w:rPr>
      </w:pPr>
      <w:r>
        <w:rPr>
          <w:noProof/>
          <w:lang w:val="uk-UA" w:eastAsia="uk-UA" w:bidi="ar-SA"/>
        </w:rPr>
        <w:drawing>
          <wp:inline distT="0" distB="0" distL="114300" distR="114300">
            <wp:extent cx="5673090" cy="3674745"/>
            <wp:effectExtent l="0" t="0" r="11430" b="13335"/>
            <wp:docPr id="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3"/>
                    <pic:cNvPicPr>
                      <a:picLocks noChangeAspect="1"/>
                    </pic:cNvPicPr>
                  </pic:nvPicPr>
                  <pic:blipFill>
                    <a:blip r:embed="rId186"/>
                    <a:stretch>
                      <a:fillRect/>
                    </a:stretch>
                  </pic:blipFill>
                  <pic:spPr>
                    <a:xfrm>
                      <a:off x="0" y="0"/>
                      <a:ext cx="5673090" cy="3674745"/>
                    </a:xfrm>
                    <a:prstGeom prst="rect">
                      <a:avLst/>
                    </a:prstGeom>
                    <a:noFill/>
                    <a:ln>
                      <a:noFill/>
                    </a:ln>
                  </pic:spPr>
                </pic:pic>
              </a:graphicData>
            </a:graphic>
          </wp:inline>
        </w:drawing>
      </w:r>
    </w:p>
    <w:p w:rsidR="005C3F63" w:rsidRDefault="006536E7">
      <w:pPr>
        <w:spacing w:after="240"/>
        <w:ind w:left="720"/>
        <w:jc w:val="center"/>
        <w:rPr>
          <w:rFonts w:ascii="Verdana" w:hAnsi="Verdana"/>
          <w:sz w:val="18"/>
          <w:szCs w:val="18"/>
          <w:lang w:val="sk-SK"/>
        </w:rPr>
      </w:pPr>
      <w:r>
        <w:rPr>
          <w:rFonts w:ascii="Verdana" w:hAnsi="Verdana"/>
          <w:sz w:val="18"/>
          <w:szCs w:val="18"/>
          <w:lang w:val="sk-SK"/>
        </w:rPr>
        <w:t>Zdroj: vlastné spracovanie</w:t>
      </w:r>
    </w:p>
    <w:p w:rsidR="005C3F63" w:rsidRDefault="006536E7">
      <w:pPr>
        <w:spacing w:after="120"/>
        <w:rPr>
          <w:rFonts w:ascii="Verdana" w:hAnsi="Verdana"/>
          <w:sz w:val="20"/>
          <w:szCs w:val="20"/>
          <w:lang w:val="sk-SK"/>
        </w:rPr>
      </w:pPr>
      <w:r>
        <w:rPr>
          <w:rFonts w:ascii="Verdana" w:hAnsi="Verdana"/>
          <w:sz w:val="20"/>
          <w:szCs w:val="20"/>
          <w:lang w:val="sk-SK"/>
        </w:rPr>
        <w:t>Napriek tomu, že sú  predmetom príspevku zmeny vo zverejňovaní informácií v súlade s GRI štandardmi s účinnosťou od 1. 1. 2020 a 2021, v príspevku sú zahrnuté aj zmeny vo zverejňovaní nefinančných informácií s účinnosťou od 1. 7. 2018 v štandardoch GRI 205 Boj proti korupcii a GRI Protisúťažné správanie.</w:t>
      </w:r>
    </w:p>
    <w:p w:rsidR="005C3F63" w:rsidRDefault="006536E7">
      <w:pPr>
        <w:spacing w:after="120"/>
        <w:rPr>
          <w:rFonts w:ascii="Verdana" w:hAnsi="Verdana"/>
          <w:sz w:val="20"/>
          <w:szCs w:val="20"/>
          <w:lang w:val="sk-SK"/>
        </w:rPr>
      </w:pPr>
      <w:r>
        <w:rPr>
          <w:rFonts w:ascii="Verdana" w:hAnsi="Verdana"/>
          <w:b/>
          <w:sz w:val="20"/>
          <w:szCs w:val="20"/>
          <w:lang w:val="sk-SK"/>
        </w:rPr>
        <w:t xml:space="preserve">GRI 205 Boj proti korupcii – </w:t>
      </w:r>
      <w:r>
        <w:rPr>
          <w:rFonts w:ascii="Verdana" w:hAnsi="Verdana"/>
          <w:sz w:val="20"/>
          <w:szCs w:val="20"/>
          <w:lang w:val="sk-SK"/>
        </w:rPr>
        <w:t xml:space="preserve">venuje sa téme boja proti korupcii, ktorou sa rozumejú praktiky ako je napr. úplatkárstvo, podvod, vydieranie, tajné dohody, odmeny alebo iné výhody, ktoré podnecujú k nečestnému konaniu, ale tiež môže predstavovať obchodovanie s vplyvom zneužitia funkcie, nedovolené obohatenie (GRI 205, 2016). Je veľmi nepravdepodobné, že organizácie zverejnia vo svojich správach informácie o možných rizikách existencie korupcie v prostredí, v ktorom pôsobia. </w:t>
      </w:r>
    </w:p>
    <w:p w:rsidR="005C3F63" w:rsidRDefault="006536E7">
      <w:pPr>
        <w:spacing w:after="120"/>
        <w:rPr>
          <w:rFonts w:ascii="Verdana" w:hAnsi="Verdana"/>
          <w:sz w:val="20"/>
          <w:szCs w:val="20"/>
          <w:lang w:val="sk-SK"/>
        </w:rPr>
      </w:pPr>
      <w:r>
        <w:rPr>
          <w:rFonts w:ascii="Verdana" w:hAnsi="Verdana"/>
          <w:b/>
          <w:sz w:val="20"/>
          <w:szCs w:val="20"/>
          <w:lang w:val="sk-SK"/>
        </w:rPr>
        <w:t xml:space="preserve">GRI 206 Protisúťažné správanie </w:t>
      </w:r>
      <w:r>
        <w:rPr>
          <w:rFonts w:ascii="Verdana" w:hAnsi="Verdana"/>
          <w:sz w:val="20"/>
          <w:szCs w:val="20"/>
          <w:lang w:val="sk-SK"/>
        </w:rPr>
        <w:t>– štandard stanovuje požiadavky na podávanie správ na tému protisúťažného správania. Môže ho použiť organizácia akejkoľvek veľkosti, typu, odvetvia alebo geografickej polohy, ktorá chce podať správu o svojich vplyvoch súvisiacich s touto témou.</w:t>
      </w:r>
      <w:r>
        <w:rPr>
          <w:rFonts w:ascii="Calibri" w:eastAsia="Calibri" w:hAnsi="Calibri"/>
          <w:sz w:val="22"/>
          <w:lang w:val="sk-SK" w:bidi="ar-SA"/>
        </w:rPr>
        <w:t xml:space="preserve"> </w:t>
      </w:r>
      <w:r>
        <w:rPr>
          <w:rFonts w:ascii="Verdana" w:hAnsi="Verdana"/>
          <w:sz w:val="20"/>
          <w:szCs w:val="20"/>
          <w:lang w:val="sk-SK"/>
        </w:rPr>
        <w:t>Zverejnenia v tomto štandarde môžu poskytovať informácie o dopadoch organizácie na správanie narúšajúce hospodársku súťaž a o tom, ako ich riadi. (GRI 206, 2016)</w:t>
      </w:r>
    </w:p>
    <w:p w:rsidR="005C3F63" w:rsidRDefault="006536E7">
      <w:pPr>
        <w:spacing w:after="120"/>
        <w:rPr>
          <w:rFonts w:ascii="Verdana" w:hAnsi="Verdana"/>
          <w:sz w:val="20"/>
          <w:szCs w:val="20"/>
          <w:lang w:val="sk-SK"/>
        </w:rPr>
      </w:pPr>
      <w:r>
        <w:rPr>
          <w:rFonts w:ascii="Verdana" w:hAnsi="Verdana"/>
          <w:b/>
          <w:sz w:val="20"/>
          <w:szCs w:val="20"/>
          <w:lang w:val="sk-SK"/>
        </w:rPr>
        <w:t xml:space="preserve">GRI 207 Daň </w:t>
      </w:r>
      <w:r>
        <w:rPr>
          <w:rFonts w:ascii="Verdana" w:hAnsi="Verdana"/>
          <w:sz w:val="20"/>
          <w:szCs w:val="20"/>
          <w:lang w:val="sk-SK"/>
        </w:rPr>
        <w:t>– cieľom projektu bolo preskúmať vývoj nových zverejnení týkajúcich sa daní a platieb vládam a pomôcť zvýšiť transparentnosť v prístupe spravodajskej organizácie k daniam. GSSB schválila nový štandard pod názvom GRI 207 Daň s účinnosťou od 1. 1. 2021. Kľúčovým atribútom štandardu GRI 207 Daň je umožnenie organizáciám podávať správy aj o praktikách a stratégií medzi zúčastnenými stranami ako súčasti ich trvalej udržateľnosti a napomôcť k daňovej politike príslušného štátu. (GRI 207, 2020)</w:t>
      </w:r>
    </w:p>
    <w:p w:rsidR="005C3F63" w:rsidRDefault="006536E7">
      <w:pPr>
        <w:spacing w:after="120"/>
        <w:rPr>
          <w:rFonts w:ascii="Verdana" w:hAnsi="Verdana"/>
          <w:sz w:val="20"/>
          <w:szCs w:val="20"/>
          <w:lang w:val="sk-SK"/>
        </w:rPr>
      </w:pPr>
      <w:r>
        <w:rPr>
          <w:rFonts w:ascii="Verdana" w:hAnsi="Verdana"/>
          <w:b/>
          <w:sz w:val="20"/>
          <w:szCs w:val="20"/>
          <w:lang w:val="sk-SK"/>
        </w:rPr>
        <w:t xml:space="preserve">GRI 303 Voda a odpadové vody </w:t>
      </w:r>
      <w:r>
        <w:rPr>
          <w:rFonts w:ascii="Verdana" w:hAnsi="Verdana"/>
          <w:sz w:val="20"/>
          <w:szCs w:val="20"/>
          <w:lang w:val="sk-SK"/>
        </w:rPr>
        <w:t xml:space="preserve">– pri revízii GRI 303 Voda sa uskutočnili dve verejné pripomienkové obdobia. Prvé verejné pripomienkové konanie k navrhovaným zmenám GRI 303 Voda trvala od 10. augusta do 9. októbra 2017. Druhé verejné pripomienkové obdobie trvalo od 20. decembra 2017 do 18. februára 2018 (GRI 303, 2018b). GRI 303 </w:t>
      </w:r>
      <w:r>
        <w:rPr>
          <w:rFonts w:ascii="Verdana" w:hAnsi="Verdana"/>
          <w:sz w:val="20"/>
          <w:szCs w:val="20"/>
          <w:lang w:val="sk-SK"/>
        </w:rPr>
        <w:lastRenderedPageBreak/>
        <w:t>Voda a odpadové vody zastrešuje oblasť správcovstva v oblasti vôd, ktorým sa kladie dôraz na informácie o vykazovaní odberu vody, spotrebe vody, vypúšťaní vody a vplyvy v dodávateľskom reťazci (GRI 303, 2018a). Dôvodom revízie štandardu bolo zameranie sa na podrobnejšie zverejňovanie informácii o kvalite vody. Kľúčovým bodom aktualizovania GRI 303 bolo zavedenie ustanovenia, ktoré umožňujú flexibilitu pri podávaní správ o kritických sladkovodných zdrojoch, ako aj o iných vodách, na ktoré majú organizácie vplyv (GRI 303, 2018). GRI 303 Voda a odpadové vody budú účinné pre správy alebo iné materiály zverejňované od 1. 1. 2021 alebo neskôr, i keď GSSB odporúča aj skoršie prijatie, pričom GRI 303 Voda sa môže naďalej používať pre správy uverejnené 31. 12. 2020 alebo skôr.</w:t>
      </w:r>
    </w:p>
    <w:p w:rsidR="005C3F63" w:rsidRDefault="006536E7">
      <w:pPr>
        <w:spacing w:after="120"/>
        <w:rPr>
          <w:rFonts w:ascii="Verdana" w:hAnsi="Verdana"/>
          <w:sz w:val="20"/>
          <w:szCs w:val="20"/>
          <w:lang w:val="sk-SK"/>
        </w:rPr>
      </w:pPr>
      <w:r>
        <w:rPr>
          <w:rFonts w:ascii="Verdana" w:hAnsi="Verdana"/>
          <w:b/>
          <w:sz w:val="20"/>
          <w:szCs w:val="20"/>
          <w:lang w:val="sk-SK"/>
        </w:rPr>
        <w:t>GRI 306 Odpad</w:t>
      </w:r>
      <w:r>
        <w:rPr>
          <w:rFonts w:ascii="Verdana" w:hAnsi="Verdana"/>
          <w:sz w:val="20"/>
          <w:szCs w:val="20"/>
          <w:lang w:val="sk-SK"/>
        </w:rPr>
        <w:t xml:space="preserve"> – GSSB iniciovala projekt na preskúmanie a aktualizáciu obsahu zverejňovania informácií o odpadoch v GRI 306 Odpad a odpadová voda. Cieľom tejto iniciatívy bolo zabezpečiť, aby GRI 306 Zverejňovanie odpadu odrážalo najnovší vývoj v oblasti nakladania s odpadmi a reportovania správ. GSSB dostala viac ako 50 podaní s pripomienkami. V marci 2020 GSSB schválila revidovanú normu pod názvom GRI 306 Odpad 2020. (GRI 306, 2020) GRI 306 Odpad je účinný pre správy zverejňované 1. 1. 2020 alebo neskôr. GSSB odporúča skoršie prijatie (GRI 306, 2020a).</w:t>
      </w:r>
    </w:p>
    <w:p w:rsidR="005C3F63" w:rsidRDefault="006536E7">
      <w:pPr>
        <w:spacing w:after="120"/>
        <w:rPr>
          <w:rFonts w:ascii="Verdana" w:hAnsi="Verdana"/>
          <w:sz w:val="20"/>
          <w:szCs w:val="20"/>
          <w:lang w:val="sk-SK"/>
        </w:rPr>
      </w:pPr>
      <w:r>
        <w:rPr>
          <w:rFonts w:ascii="Verdana" w:hAnsi="Verdana"/>
          <w:b/>
          <w:sz w:val="20"/>
          <w:szCs w:val="20"/>
          <w:lang w:val="sk-SK"/>
        </w:rPr>
        <w:t xml:space="preserve">GRI 403 Bezpečnosť a ochrana zdravia pri práci – </w:t>
      </w:r>
      <w:r>
        <w:rPr>
          <w:rFonts w:ascii="Verdana" w:hAnsi="Verdana"/>
          <w:sz w:val="20"/>
          <w:szCs w:val="20"/>
          <w:lang w:val="sk-SK"/>
        </w:rPr>
        <w:t>zdravé a bezpečné podmienky pracovné podmienky prijala Organizácia Spojených národov ako súčasť programu trvalo udržateľného rozvoja do roku 2030. Možno povedať, že zdravé a bezpečné pracovné podmienky sa uznávajú ako ľudské právo a riešia sa na medzinárodnej úrovni nástrojov Medzinárodnej organizácie práce (ILO), Organizácie pre hospodársku spoluprácu a rozvoj (OECD) a Svetovej zdravotníckej organizácie (WHO). Medzinárodné organizácie apelujú na organizácie, aby so svojimi zamestnancami konzultovali pri vypracúvaní podnikovej politiky bezpečnosti a ochrany zdravia pri práci, a aby sa zúčastňovali na procesoch plánovania, podpory, prevádzky a nepretržitého vyhodnocovania efektívnosti systému riadenia a ochrany zdravia pri práci. V prípade GRI 403 Bezpečnosť a ochrana zdravia pri práci 2018 nadobúda účinnosť pre zverejňovanie správ od 1. 1. 2021, pričom GRI 403 Bezpečnosť a ochrana zdravia pri práci 2016 zostáva platný pre zverejňovanie správ do 31. 12. 2020 (GRI 403, 2018).</w:t>
      </w:r>
    </w:p>
    <w:p w:rsidR="005C3F63" w:rsidRDefault="006536E7">
      <w:pPr>
        <w:spacing w:after="120"/>
        <w:rPr>
          <w:rFonts w:ascii="Verdana" w:hAnsi="Verdana"/>
          <w:sz w:val="20"/>
          <w:szCs w:val="20"/>
          <w:lang w:val="sk-SK"/>
        </w:rPr>
      </w:pPr>
      <w:r>
        <w:rPr>
          <w:rFonts w:ascii="Verdana" w:hAnsi="Verdana"/>
          <w:sz w:val="20"/>
          <w:szCs w:val="20"/>
          <w:lang w:val="sk-SK"/>
        </w:rPr>
        <w:t xml:space="preserve">Rada pre globálne štandardy udržateľnosti – GSSB v zmysle Konceptu GSSB pracovného programu načrtáva svoj pracovný program na obdobie 2020 – 2022. Implementácia pracovného programu závisí od pridelenia rozpočtu zo strany nezávislej medzinárodnej organizácie GRI. V priebehu roka 2020 GSSB schválila rozpočet na vývoj nových i existujúcich tematických štandardov GRI. Medzi prioritné plány, na ktoré sa snaží GSSB stanoviť rozpočet, je zaradená revízia existujúceho štandardu GRI 304 Biodiverzita 2016. GSSB schválila okrem revízie a preskúmania existujúcich štandardov GRI aj sektorový program GRI (vypracovanie sektorových štandardov GRI). Rozsah a názov jednotlivých sektorov GRI ako aj poradie priorít odvetví v nich zahrnutých sa môže upraviť na základe výskumu a záujmu zainteresovaných strán. Poradie sektorov podľa priorít jednotlivých odvetví do nich zaradených zobrazuje tabuľka 2. </w:t>
      </w:r>
    </w:p>
    <w:p w:rsidR="005C3F63" w:rsidRDefault="006536E7">
      <w:pPr>
        <w:spacing w:after="120"/>
        <w:jc w:val="center"/>
        <w:rPr>
          <w:rFonts w:ascii="Verdana" w:hAnsi="Verdana"/>
          <w:sz w:val="20"/>
          <w:szCs w:val="20"/>
          <w:lang w:val="sk-SK"/>
        </w:rPr>
      </w:pPr>
      <w:r>
        <w:rPr>
          <w:rFonts w:ascii="Verdana" w:hAnsi="Verdana"/>
          <w:b/>
          <w:sz w:val="20"/>
          <w:szCs w:val="20"/>
          <w:lang w:val="sk-SK"/>
        </w:rPr>
        <w:t>Tabuľka 2</w:t>
      </w:r>
      <w:r>
        <w:rPr>
          <w:rFonts w:ascii="Verdana" w:hAnsi="Verdana"/>
          <w:sz w:val="20"/>
          <w:szCs w:val="20"/>
          <w:lang w:val="sk-SK"/>
        </w:rPr>
        <w:t xml:space="preserve"> Rozdelenie sektorov podľa priority odvetvia </w:t>
      </w:r>
    </w:p>
    <w:tbl>
      <w:tblPr>
        <w:tblW w:w="0" w:type="auto"/>
        <w:jc w:val="center"/>
        <w:tblBorders>
          <w:top w:val="single" w:sz="8" w:space="0" w:color="000000"/>
          <w:bottom w:val="single" w:sz="8" w:space="0" w:color="000000"/>
        </w:tblBorders>
        <w:tblLook w:val="04A0" w:firstRow="1" w:lastRow="0" w:firstColumn="1" w:lastColumn="0" w:noHBand="0" w:noVBand="1"/>
      </w:tblPr>
      <w:tblGrid>
        <w:gridCol w:w="465"/>
        <w:gridCol w:w="3060"/>
        <w:gridCol w:w="5509"/>
      </w:tblGrid>
      <w:tr w:rsidR="005C3F63">
        <w:trPr>
          <w:trHeight w:val="321"/>
          <w:jc w:val="center"/>
        </w:trPr>
        <w:tc>
          <w:tcPr>
            <w:tcW w:w="465" w:type="dxa"/>
            <w:tcBorders>
              <w:top w:val="single" w:sz="8" w:space="0" w:color="000000"/>
              <w:left w:val="nil"/>
              <w:bottom w:val="double" w:sz="4" w:space="0" w:color="auto"/>
              <w:right w:val="single" w:sz="4" w:space="0" w:color="auto"/>
            </w:tcBorders>
            <w:vAlign w:val="center"/>
          </w:tcPr>
          <w:p w:rsidR="005C3F63" w:rsidRDefault="005C3F63">
            <w:pPr>
              <w:jc w:val="left"/>
              <w:rPr>
                <w:rFonts w:ascii="Verdana" w:hAnsi="Verdana"/>
                <w:b/>
                <w:bCs/>
                <w:color w:val="000000"/>
                <w:sz w:val="20"/>
                <w:szCs w:val="20"/>
                <w:lang w:val="sk-SK"/>
              </w:rPr>
            </w:pPr>
          </w:p>
        </w:tc>
        <w:tc>
          <w:tcPr>
            <w:tcW w:w="3060" w:type="dxa"/>
            <w:tcBorders>
              <w:top w:val="single" w:sz="8" w:space="0" w:color="000000"/>
              <w:left w:val="single" w:sz="4" w:space="0" w:color="auto"/>
              <w:bottom w:val="double" w:sz="4" w:space="0" w:color="auto"/>
              <w:right w:val="single" w:sz="4" w:space="0" w:color="auto"/>
            </w:tcBorders>
            <w:vAlign w:val="center"/>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Sektor</w:t>
            </w:r>
          </w:p>
        </w:tc>
        <w:tc>
          <w:tcPr>
            <w:tcW w:w="5509" w:type="dxa"/>
            <w:tcBorders>
              <w:top w:val="single" w:sz="8" w:space="0" w:color="000000"/>
              <w:left w:val="nil"/>
              <w:bottom w:val="double" w:sz="4" w:space="0" w:color="auto"/>
              <w:right w:val="nil"/>
            </w:tcBorders>
            <w:vAlign w:val="center"/>
          </w:tcPr>
          <w:p w:rsidR="005C3F63" w:rsidRDefault="006536E7">
            <w:pPr>
              <w:jc w:val="center"/>
              <w:rPr>
                <w:rFonts w:ascii="Verdana" w:hAnsi="Verdana"/>
                <w:b/>
                <w:bCs/>
                <w:color w:val="000000"/>
                <w:sz w:val="20"/>
                <w:szCs w:val="20"/>
                <w:lang w:val="sk-SK"/>
              </w:rPr>
            </w:pPr>
            <w:r>
              <w:rPr>
                <w:rFonts w:ascii="Verdana" w:hAnsi="Verdana"/>
                <w:b/>
                <w:bCs/>
                <w:color w:val="000000"/>
                <w:sz w:val="20"/>
                <w:szCs w:val="20"/>
                <w:lang w:val="sk-SK"/>
              </w:rPr>
              <w:t>Rozsah sektora</w:t>
            </w:r>
          </w:p>
        </w:tc>
      </w:tr>
      <w:tr w:rsidR="005C3F63">
        <w:trPr>
          <w:trHeight w:val="285"/>
          <w:jc w:val="center"/>
        </w:trPr>
        <w:tc>
          <w:tcPr>
            <w:tcW w:w="465" w:type="dxa"/>
            <w:tcBorders>
              <w:top w:val="double" w:sz="4" w:space="0" w:color="auto"/>
              <w:left w:val="nil"/>
              <w:bottom w:val="single" w:sz="4" w:space="0" w:color="auto"/>
              <w:right w:val="single" w:sz="4" w:space="0" w:color="auto"/>
            </w:tcBorders>
            <w:shd w:val="clear" w:color="auto" w:fill="FFFFFF"/>
            <w:vAlign w:val="center"/>
          </w:tcPr>
          <w:p w:rsidR="005C3F63" w:rsidRDefault="006536E7">
            <w:pPr>
              <w:jc w:val="left"/>
              <w:rPr>
                <w:rFonts w:ascii="Verdana" w:hAnsi="Verdana"/>
                <w:b/>
                <w:bCs/>
                <w:color w:val="000000"/>
                <w:sz w:val="20"/>
                <w:szCs w:val="20"/>
                <w:lang w:val="sk-SK"/>
              </w:rPr>
            </w:pPr>
            <w:r>
              <w:rPr>
                <w:rFonts w:ascii="Verdana" w:hAnsi="Verdana"/>
                <w:b/>
                <w:bCs/>
                <w:color w:val="000000"/>
                <w:sz w:val="20"/>
                <w:szCs w:val="20"/>
                <w:lang w:val="sk-SK"/>
              </w:rPr>
              <w:t>1.</w:t>
            </w:r>
          </w:p>
        </w:tc>
        <w:tc>
          <w:tcPr>
            <w:tcW w:w="3060" w:type="dxa"/>
            <w:tcBorders>
              <w:top w:val="double" w:sz="4" w:space="0" w:color="auto"/>
              <w:left w:val="single" w:sz="4" w:space="0" w:color="auto"/>
              <w:bottom w:val="single" w:sz="4" w:space="0" w:color="auto"/>
              <w:right w:val="single" w:sz="4" w:space="0" w:color="auto"/>
            </w:tcBorders>
            <w:shd w:val="clear" w:color="auto" w:fill="FFFFFF"/>
            <w:vAlign w:val="center"/>
          </w:tcPr>
          <w:p w:rsidR="005C3F63" w:rsidRDefault="006536E7">
            <w:pPr>
              <w:jc w:val="left"/>
              <w:rPr>
                <w:rFonts w:ascii="Verdana" w:hAnsi="Verdana"/>
                <w:color w:val="000000"/>
                <w:sz w:val="20"/>
                <w:szCs w:val="20"/>
                <w:lang w:val="sk-SK"/>
              </w:rPr>
            </w:pPr>
            <w:r>
              <w:rPr>
                <w:rFonts w:ascii="Verdana" w:hAnsi="Verdana"/>
                <w:color w:val="000000"/>
                <w:sz w:val="20"/>
                <w:szCs w:val="20"/>
                <w:lang w:val="sk-SK"/>
              </w:rPr>
              <w:t>Základné potreby a materiály</w:t>
            </w:r>
          </w:p>
        </w:tc>
        <w:tc>
          <w:tcPr>
            <w:tcW w:w="5509" w:type="dxa"/>
            <w:tcBorders>
              <w:top w:val="double" w:sz="4" w:space="0" w:color="auto"/>
              <w:left w:val="nil"/>
              <w:bottom w:val="single" w:sz="4" w:space="0" w:color="auto"/>
              <w:right w:val="nil"/>
            </w:tcBorders>
            <w:shd w:val="clear" w:color="auto" w:fill="FFFFFF"/>
            <w:vAlign w:val="center"/>
          </w:tcPr>
          <w:p w:rsidR="005C3F63" w:rsidRDefault="006536E7">
            <w:pPr>
              <w:jc w:val="left"/>
              <w:rPr>
                <w:rFonts w:ascii="Verdana" w:hAnsi="Verdana"/>
                <w:color w:val="000000"/>
                <w:sz w:val="20"/>
                <w:szCs w:val="20"/>
                <w:lang w:val="sk-SK"/>
              </w:rPr>
            </w:pPr>
            <w:r>
              <w:rPr>
                <w:rFonts w:ascii="Verdana" w:hAnsi="Verdana"/>
                <w:color w:val="000000"/>
                <w:sz w:val="20"/>
                <w:szCs w:val="20"/>
                <w:lang w:val="sk-SK"/>
              </w:rPr>
              <w:t>poľnohospodárstvo, bankovníctvo, konštrukčné materiály, potravinárstvo, lesníctvo, spracovanie železa, ocele, hliníka</w:t>
            </w:r>
          </w:p>
        </w:tc>
      </w:tr>
      <w:tr w:rsidR="005C3F63">
        <w:trPr>
          <w:trHeight w:val="268"/>
          <w:jc w:val="center"/>
        </w:trPr>
        <w:tc>
          <w:tcPr>
            <w:tcW w:w="465" w:type="dxa"/>
            <w:tcBorders>
              <w:top w:val="single" w:sz="4" w:space="0" w:color="auto"/>
              <w:bottom w:val="single" w:sz="4" w:space="0" w:color="auto"/>
              <w:right w:val="single" w:sz="4" w:space="0" w:color="auto"/>
            </w:tcBorders>
            <w:shd w:val="clear" w:color="auto" w:fill="FFFFFF"/>
            <w:vAlign w:val="center"/>
          </w:tcPr>
          <w:p w:rsidR="005C3F63" w:rsidRDefault="006536E7">
            <w:pPr>
              <w:ind w:right="-89"/>
              <w:jc w:val="left"/>
              <w:rPr>
                <w:rFonts w:ascii="Verdana" w:hAnsi="Verdana"/>
                <w:b/>
                <w:bCs/>
                <w:color w:val="000000"/>
                <w:sz w:val="20"/>
                <w:szCs w:val="20"/>
                <w:lang w:val="sk-SK"/>
              </w:rPr>
            </w:pPr>
            <w:r>
              <w:rPr>
                <w:rFonts w:ascii="Verdana" w:hAnsi="Verdana"/>
                <w:b/>
                <w:bCs/>
                <w:color w:val="000000"/>
                <w:sz w:val="20"/>
                <w:szCs w:val="20"/>
                <w:lang w:val="sk-SK"/>
              </w:rPr>
              <w:t>2.</w:t>
            </w:r>
          </w:p>
        </w:tc>
        <w:tc>
          <w:tcPr>
            <w:tcW w:w="3060" w:type="dxa"/>
            <w:tcBorders>
              <w:top w:val="single" w:sz="4" w:space="0" w:color="auto"/>
              <w:left w:val="single" w:sz="4" w:space="0" w:color="auto"/>
              <w:bottom w:val="single" w:sz="4" w:space="0" w:color="auto"/>
              <w:right w:val="single" w:sz="4" w:space="0" w:color="auto"/>
            </w:tcBorders>
            <w:shd w:val="clear" w:color="auto" w:fill="FFFFFF"/>
            <w:vAlign w:val="center"/>
          </w:tcPr>
          <w:p w:rsidR="005C3F63" w:rsidRDefault="006536E7">
            <w:pPr>
              <w:jc w:val="left"/>
              <w:rPr>
                <w:rFonts w:ascii="Verdana" w:hAnsi="Verdana"/>
                <w:color w:val="000000"/>
                <w:sz w:val="20"/>
                <w:szCs w:val="20"/>
                <w:lang w:val="sk-SK"/>
              </w:rPr>
            </w:pPr>
            <w:r>
              <w:rPr>
                <w:rFonts w:ascii="Verdana" w:hAnsi="Verdana"/>
                <w:color w:val="000000"/>
                <w:sz w:val="20"/>
                <w:szCs w:val="20"/>
                <w:lang w:val="sk-SK"/>
              </w:rPr>
              <w:t>Potraviny, lieky, výroba, poistenie</w:t>
            </w:r>
          </w:p>
        </w:tc>
        <w:tc>
          <w:tcPr>
            <w:tcW w:w="5509" w:type="dxa"/>
            <w:tcBorders>
              <w:top w:val="single" w:sz="4" w:space="0" w:color="auto"/>
              <w:bottom w:val="single" w:sz="4" w:space="0" w:color="auto"/>
            </w:tcBorders>
            <w:shd w:val="clear" w:color="auto" w:fill="FFFFFF"/>
            <w:vAlign w:val="center"/>
          </w:tcPr>
          <w:p w:rsidR="005C3F63" w:rsidRDefault="006536E7">
            <w:pPr>
              <w:jc w:val="left"/>
              <w:rPr>
                <w:rFonts w:ascii="Verdana" w:hAnsi="Verdana"/>
                <w:color w:val="000000"/>
                <w:sz w:val="20"/>
                <w:szCs w:val="20"/>
                <w:lang w:val="sk-SK"/>
              </w:rPr>
            </w:pPr>
            <w:r>
              <w:rPr>
                <w:rFonts w:ascii="Verdana" w:hAnsi="Verdana"/>
                <w:color w:val="000000"/>
                <w:sz w:val="20"/>
                <w:szCs w:val="20"/>
                <w:lang w:val="sk-SK"/>
              </w:rPr>
              <w:t>automobilový priemysel, informačné technológie, výroba farmaceutických výrobkov, letectvo, obrana</w:t>
            </w:r>
          </w:p>
        </w:tc>
      </w:tr>
      <w:tr w:rsidR="005C3F63">
        <w:trPr>
          <w:trHeight w:val="285"/>
          <w:jc w:val="center"/>
        </w:trPr>
        <w:tc>
          <w:tcPr>
            <w:tcW w:w="465" w:type="dxa"/>
            <w:tcBorders>
              <w:top w:val="single" w:sz="4" w:space="0" w:color="auto"/>
              <w:left w:val="nil"/>
              <w:bottom w:val="single" w:sz="4" w:space="0" w:color="auto"/>
              <w:right w:val="single" w:sz="4" w:space="0" w:color="auto"/>
            </w:tcBorders>
            <w:shd w:val="clear" w:color="auto" w:fill="FFFFFF"/>
            <w:vAlign w:val="center"/>
          </w:tcPr>
          <w:p w:rsidR="005C3F63" w:rsidRDefault="006536E7">
            <w:pPr>
              <w:jc w:val="left"/>
              <w:rPr>
                <w:rFonts w:ascii="Verdana" w:hAnsi="Verdana"/>
                <w:b/>
                <w:bCs/>
                <w:color w:val="000000"/>
                <w:sz w:val="20"/>
                <w:szCs w:val="20"/>
                <w:lang w:val="sk-SK"/>
              </w:rPr>
            </w:pPr>
            <w:r>
              <w:rPr>
                <w:rFonts w:ascii="Verdana" w:hAnsi="Verdana"/>
                <w:b/>
                <w:bCs/>
                <w:color w:val="000000"/>
                <w:sz w:val="20"/>
                <w:szCs w:val="20"/>
                <w:lang w:val="sk-SK"/>
              </w:rPr>
              <w:t>3.</w:t>
            </w:r>
          </w:p>
        </w:tc>
        <w:tc>
          <w:tcPr>
            <w:tcW w:w="3060" w:type="dxa"/>
            <w:tcBorders>
              <w:top w:val="single" w:sz="4" w:space="0" w:color="auto"/>
              <w:left w:val="single" w:sz="4" w:space="0" w:color="auto"/>
              <w:bottom w:val="single" w:sz="4" w:space="0" w:color="auto"/>
              <w:right w:val="single" w:sz="4" w:space="0" w:color="auto"/>
            </w:tcBorders>
            <w:shd w:val="clear" w:color="auto" w:fill="FFFFFF"/>
            <w:vAlign w:val="center"/>
          </w:tcPr>
          <w:p w:rsidR="005C3F63" w:rsidRDefault="006536E7">
            <w:pPr>
              <w:jc w:val="left"/>
              <w:rPr>
                <w:rFonts w:ascii="Verdana" w:hAnsi="Verdana"/>
                <w:color w:val="000000"/>
                <w:sz w:val="20"/>
                <w:szCs w:val="20"/>
                <w:lang w:val="sk-SK"/>
              </w:rPr>
            </w:pPr>
            <w:r>
              <w:rPr>
                <w:rFonts w:ascii="Verdana" w:hAnsi="Verdana"/>
                <w:color w:val="000000"/>
                <w:sz w:val="20"/>
                <w:szCs w:val="20"/>
                <w:lang w:val="sk-SK"/>
              </w:rPr>
              <w:t>Doprava, cestovný ruch, technológia a nehnuteľnosti</w:t>
            </w:r>
          </w:p>
        </w:tc>
        <w:tc>
          <w:tcPr>
            <w:tcW w:w="5509" w:type="dxa"/>
            <w:tcBorders>
              <w:top w:val="single" w:sz="4" w:space="0" w:color="auto"/>
              <w:left w:val="nil"/>
              <w:bottom w:val="single" w:sz="4" w:space="0" w:color="auto"/>
              <w:right w:val="nil"/>
            </w:tcBorders>
            <w:shd w:val="clear" w:color="auto" w:fill="FFFFFF"/>
            <w:vAlign w:val="center"/>
          </w:tcPr>
          <w:p w:rsidR="005C3F63" w:rsidRDefault="006536E7">
            <w:pPr>
              <w:jc w:val="left"/>
              <w:rPr>
                <w:rFonts w:ascii="Verdana" w:hAnsi="Verdana"/>
                <w:color w:val="000000"/>
                <w:sz w:val="20"/>
                <w:szCs w:val="20"/>
                <w:lang w:val="sk-SK"/>
              </w:rPr>
            </w:pPr>
            <w:r>
              <w:rPr>
                <w:rFonts w:ascii="Verdana" w:hAnsi="Verdana"/>
                <w:color w:val="000000"/>
                <w:sz w:val="20"/>
                <w:szCs w:val="20"/>
                <w:lang w:val="sk-SK"/>
              </w:rPr>
              <w:t>dopravná infraštruktúra, letecká preprava, mediálne a komunikačné služby, prenájom nehnuteľností</w:t>
            </w:r>
          </w:p>
        </w:tc>
      </w:tr>
      <w:tr w:rsidR="005C3F63">
        <w:trPr>
          <w:trHeight w:val="303"/>
          <w:jc w:val="center"/>
        </w:trPr>
        <w:tc>
          <w:tcPr>
            <w:tcW w:w="465" w:type="dxa"/>
            <w:tcBorders>
              <w:top w:val="single" w:sz="4" w:space="0" w:color="auto"/>
              <w:left w:val="nil"/>
              <w:right w:val="single" w:sz="4" w:space="0" w:color="auto"/>
            </w:tcBorders>
            <w:shd w:val="clear" w:color="auto" w:fill="FFFFFF"/>
            <w:vAlign w:val="center"/>
          </w:tcPr>
          <w:p w:rsidR="005C3F63" w:rsidRDefault="006536E7">
            <w:pPr>
              <w:jc w:val="left"/>
              <w:rPr>
                <w:rFonts w:ascii="Verdana" w:hAnsi="Verdana"/>
                <w:b/>
                <w:bCs/>
                <w:color w:val="000000"/>
                <w:sz w:val="20"/>
                <w:szCs w:val="20"/>
                <w:lang w:val="sk-SK"/>
              </w:rPr>
            </w:pPr>
            <w:r>
              <w:rPr>
                <w:rFonts w:ascii="Verdana" w:hAnsi="Verdana"/>
                <w:b/>
                <w:bCs/>
                <w:color w:val="000000"/>
                <w:sz w:val="20"/>
                <w:szCs w:val="20"/>
                <w:lang w:val="sk-SK"/>
              </w:rPr>
              <w:t>4.</w:t>
            </w:r>
          </w:p>
        </w:tc>
        <w:tc>
          <w:tcPr>
            <w:tcW w:w="3060" w:type="dxa"/>
            <w:tcBorders>
              <w:top w:val="single" w:sz="4" w:space="0" w:color="auto"/>
              <w:left w:val="single" w:sz="4" w:space="0" w:color="auto"/>
              <w:bottom w:val="single" w:sz="8" w:space="0" w:color="000000"/>
              <w:right w:val="single" w:sz="4" w:space="0" w:color="auto"/>
            </w:tcBorders>
            <w:shd w:val="clear" w:color="auto" w:fill="FFFFFF"/>
            <w:vAlign w:val="center"/>
          </w:tcPr>
          <w:p w:rsidR="005C3F63" w:rsidRDefault="006536E7">
            <w:pPr>
              <w:jc w:val="left"/>
              <w:rPr>
                <w:rFonts w:ascii="Verdana" w:hAnsi="Verdana"/>
                <w:color w:val="000000"/>
                <w:sz w:val="20"/>
                <w:szCs w:val="20"/>
                <w:lang w:val="sk-SK"/>
              </w:rPr>
            </w:pPr>
            <w:r>
              <w:rPr>
                <w:rFonts w:ascii="Verdana" w:hAnsi="Verdana"/>
                <w:color w:val="000000"/>
                <w:sz w:val="20"/>
                <w:szCs w:val="20"/>
                <w:lang w:val="sk-SK"/>
              </w:rPr>
              <w:t>Maloobchod, služby            a výroba</w:t>
            </w:r>
          </w:p>
        </w:tc>
        <w:tc>
          <w:tcPr>
            <w:tcW w:w="5509" w:type="dxa"/>
            <w:tcBorders>
              <w:top w:val="single" w:sz="4" w:space="0" w:color="auto"/>
              <w:left w:val="nil"/>
              <w:right w:val="nil"/>
            </w:tcBorders>
            <w:shd w:val="clear" w:color="auto" w:fill="FFFFFF"/>
            <w:vAlign w:val="center"/>
          </w:tcPr>
          <w:p w:rsidR="005C3F63" w:rsidRDefault="006536E7">
            <w:pPr>
              <w:jc w:val="left"/>
              <w:rPr>
                <w:rFonts w:ascii="Verdana" w:hAnsi="Verdana"/>
                <w:color w:val="000000"/>
                <w:sz w:val="20"/>
                <w:szCs w:val="20"/>
                <w:lang w:val="sk-SK"/>
              </w:rPr>
            </w:pPr>
            <w:r>
              <w:rPr>
                <w:rFonts w:ascii="Verdana" w:hAnsi="Verdana"/>
                <w:color w:val="000000"/>
                <w:sz w:val="20"/>
                <w:szCs w:val="20"/>
                <w:lang w:val="sk-SK"/>
              </w:rPr>
              <w:t>obchodné služby, Burza cenných papierov, vzdelávacie služby, výroba elektroniky, distribúcia, zdravotnícke služby, bezpečnostné služby</w:t>
            </w:r>
          </w:p>
        </w:tc>
      </w:tr>
    </w:tbl>
    <w:p w:rsidR="005C3F63" w:rsidRDefault="006536E7">
      <w:pPr>
        <w:spacing w:after="240"/>
        <w:jc w:val="center"/>
        <w:rPr>
          <w:rFonts w:ascii="Verdana" w:hAnsi="Verdana"/>
          <w:sz w:val="18"/>
          <w:szCs w:val="18"/>
          <w:lang w:val="sk-SK"/>
        </w:rPr>
      </w:pPr>
      <w:r>
        <w:rPr>
          <w:rFonts w:ascii="Verdana" w:hAnsi="Verdana"/>
          <w:sz w:val="18"/>
          <w:szCs w:val="18"/>
          <w:lang w:val="sk-SK"/>
        </w:rPr>
        <w:t>Zdroj: podľa Konceptu GSSB pracovného programu 2020 – 2022</w:t>
      </w:r>
    </w:p>
    <w:p w:rsidR="005C3F63" w:rsidRDefault="006536E7">
      <w:pPr>
        <w:pStyle w:val="Kapitola"/>
        <w:rPr>
          <w:lang w:val="sk-SK"/>
        </w:rPr>
      </w:pPr>
      <w:r>
        <w:rPr>
          <w:lang w:val="sk-SK"/>
        </w:rPr>
        <w:lastRenderedPageBreak/>
        <w:t>Záver / Conclusions</w:t>
      </w:r>
    </w:p>
    <w:p w:rsidR="005C3F63" w:rsidRDefault="006536E7">
      <w:pPr>
        <w:spacing w:after="120"/>
        <w:rPr>
          <w:rFonts w:ascii="Verdana" w:hAnsi="Verdana"/>
          <w:sz w:val="20"/>
          <w:szCs w:val="20"/>
          <w:lang w:val="sk-SK"/>
        </w:rPr>
      </w:pPr>
      <w:r>
        <w:rPr>
          <w:rFonts w:ascii="Verdana" w:hAnsi="Verdana"/>
          <w:sz w:val="20"/>
          <w:szCs w:val="20"/>
          <w:lang w:val="sk-SK"/>
        </w:rPr>
        <w:t>Transpozičná povinnosť smernice 2013/34/EÚ a smernice 2014/95/EÚ do vnútroštátnych predpisov Slovenskej republiky sa prejavila v zmene ustanovení zákona o účtovníctve týkajúcej sa veľkostných podmienok overenia účtovnej závierky audítorom. Značná zmena podmienok nastane v roku 2022, pričom sa predpokladá aj značný pokles povinnosti auditu účtovných jednotiek oproti aktuálnemu stavu, čo zároveň spôsobí pokles povinnosti zostavenia a zverejnenia výročnej správy, pretože povinnosť zostavenia výročných správ majú iba tie účtovné jednotky, ktoré majú povinnosť overenia účtovnej závierky audítorom. Ďalšia transpozícia ustanovenia zo smernice 2014/95/EÚ do slovenskej právnej úpravy v prípade vykazovania nefinančných informácií s účinnosťou už k 31. 12. 2019 sa prejavila v zmene a doplnením ustanovenia § 20 ods. 13 zákona o účtovníctve v súvislosti so zverejňovaním nefinančných informácií opisu politiky rozmanitosti. Zmena a doplnenie ustanovenia zákona o účtovníctve spôsobilo oslobodenie od zverejnenia nefinančných informácií opisu politiky u tých veľkých účtovných jednotiek, ktoré emitovali len iné cenné papiere ako sú akcie prijaté na obchodovanie na regulovanom trhu, ak tieto účtovné jednotky neemitovali akcie, s ktorými sa obchoduje v mnohostrannom obchodnom systéme.</w:t>
      </w:r>
    </w:p>
    <w:p w:rsidR="005C3F63" w:rsidRDefault="006536E7">
      <w:pPr>
        <w:spacing w:after="120"/>
        <w:rPr>
          <w:rFonts w:ascii="Verdana" w:hAnsi="Verdana"/>
          <w:sz w:val="20"/>
          <w:szCs w:val="20"/>
          <w:lang w:val="sk-SK"/>
        </w:rPr>
      </w:pPr>
      <w:r>
        <w:rPr>
          <w:rFonts w:ascii="Verdana" w:hAnsi="Verdana"/>
          <w:sz w:val="20"/>
          <w:szCs w:val="20"/>
          <w:lang w:val="sk-SK"/>
        </w:rPr>
        <w:t xml:space="preserve">Podľa zákona o účtovníctve môžu účtovné jednotky postupovať pri vykazovaní nefinančných informácií v zmysle medzinárodných noriem reportovania CSR a trvalo udržateľného rozvoja GRI štandardov vydávaných medzinárodnou organizáciou GRI. Rada pre globálne štandardy udržateľnosti – GSSB zabezpečuje revízie už existujúcich štandardov, a to tak, aby GRI štandardy odrážali čo najreálnejší obraz skutočného diania v spoločnosti a dopad vo všetkých smeroch spoločenskej zodpovednosti. Zmeny s účinnosťou od 1. 1. 2020 boli schválené v štandarde GRI 306 Odpad a s účinnosťou od 1. 1. 2021 v štandarde GRI 207 Daň, GRI 303 Voda a odpadové vody a GRI 403 Bezpečnosť a ochrana pri práci. V súčasnosti GSSB do popredia kladie témy zamerané na vypracovanie sektorových štandardov GRI z perspektívy trvalo udržateľného rozvoja. Široké spektrum zainteresovaných strán môže očakávať aj zmeny vo vykazovaní nefinančných informácií v GRI 304 Biodiverzita 2016, nakoľko GSSB označila tento štandard ako prioritný projekt v pracovnom programe na obdobie 2020 - 2022. </w:t>
      </w:r>
    </w:p>
    <w:p w:rsidR="005C3F63" w:rsidRDefault="006536E7">
      <w:pPr>
        <w:spacing w:after="120"/>
        <w:rPr>
          <w:rFonts w:ascii="Verdana" w:hAnsi="Verdana"/>
          <w:sz w:val="20"/>
          <w:szCs w:val="20"/>
          <w:lang w:val="sk-SK"/>
        </w:rPr>
      </w:pPr>
      <w:r>
        <w:rPr>
          <w:rFonts w:ascii="Verdana" w:hAnsi="Verdana"/>
          <w:sz w:val="20"/>
          <w:szCs w:val="20"/>
          <w:lang w:val="sk-SK"/>
        </w:rPr>
        <w:t>Možno povedať, že cesta k zvýšenému zverejňovaniu nefinančných informácií vyžaduje opatrenia a postupy pre podniky, ktoré by ich viedli k ľahšiemu zverejňovaniu nefinančných informácií, ale na druhej strane sa vyžaduje aj venovanie väčšej pozornosti zo strany podnikov k tejto problematike, nakoľko sa dianie v spoločnosti mení, a aby zverejnené kvalitné nefinančné informácie reflektovali aktuálnosť pôsobenia podniku v spoločnosti v súlade s národnou právnou úpravou a medzinárodných noriem v oblasti vykazovania nefinančných informácií.</w:t>
      </w:r>
    </w:p>
    <w:p w:rsidR="005C3F63" w:rsidRDefault="006536E7">
      <w:pPr>
        <w:pStyle w:val="Kapitola"/>
        <w:rPr>
          <w:lang w:val="sk-SK"/>
        </w:rPr>
      </w:pPr>
      <w:r>
        <w:rPr>
          <w:lang w:val="cs-CZ"/>
        </w:rPr>
        <w:t xml:space="preserve">Literárne zdroje a iné odkazy </w:t>
      </w:r>
      <w:r>
        <w:rPr>
          <w:lang w:val="sk-SK"/>
        </w:rPr>
        <w:t>/ References</w:t>
      </w:r>
    </w:p>
    <w:p w:rsidR="005C3F63" w:rsidRDefault="006536E7">
      <w:pPr>
        <w:pStyle w:val="aff"/>
        <w:jc w:val="both"/>
      </w:pPr>
      <w:r>
        <w:rPr>
          <w:lang w:val="cs-CZ"/>
        </w:rPr>
        <w:t>Branco, M. C., Rodrigues, L. L. (2008). Social responsibility disclosure: A study of proxies for the public</w:t>
      </w:r>
      <w:r>
        <w:t xml:space="preserve"> visibility of Portuguese banks. </w:t>
      </w:r>
      <w:r>
        <w:rPr>
          <w:i/>
          <w:lang w:bidi="en-US"/>
        </w:rPr>
        <w:t>The British Accounting Review</w:t>
      </w:r>
      <w:r>
        <w:t>, 40(2): pp. 161-181.</w:t>
      </w:r>
      <w:r>
        <w:rPr>
          <w:rFonts w:eastAsia="Times New Roman"/>
          <w:kern w:val="0"/>
          <w:szCs w:val="22"/>
          <w:shd w:val="clear" w:color="auto" w:fill="auto"/>
          <w:lang w:eastAsia="en-US" w:bidi="en-US"/>
        </w:rPr>
        <w:t xml:space="preserve"> Retrieved from: </w:t>
      </w:r>
      <w:r>
        <w:rPr>
          <w:lang w:bidi="en-US"/>
        </w:rPr>
        <w:t>https://doi.org/10.1016/j.bar.2008.02.004</w:t>
      </w:r>
    </w:p>
    <w:p w:rsidR="005C3F63" w:rsidRDefault="006536E7">
      <w:pPr>
        <w:pStyle w:val="aff"/>
        <w:jc w:val="both"/>
        <w:rPr>
          <w:lang w:val="cs-CZ"/>
        </w:rPr>
      </w:pPr>
      <w:r>
        <w:rPr>
          <w:lang w:val="cs-CZ"/>
        </w:rPr>
        <w:t xml:space="preserve">Caputo, F., Leopizzi, R., Pizzi, S., Milone V. (2020). The Non-Financial Reporting Harmonization in Europe: Evolutionary Pathways Related to the Transposition of the Directive 95/2014/EU within the Italilan Context. </w:t>
      </w:r>
      <w:r>
        <w:rPr>
          <w:i/>
          <w:lang w:val="cs-CZ"/>
        </w:rPr>
        <w:t>Sustainability,</w:t>
      </w:r>
      <w:r>
        <w:rPr>
          <w:lang w:val="cs-CZ"/>
        </w:rPr>
        <w:t xml:space="preserve"> 12(1): pp. 1-13. Retrieved from: </w:t>
      </w:r>
      <w:hyperlink r:id="rId187" w:history="1">
        <w:r>
          <w:rPr>
            <w:lang w:val="cs-CZ"/>
          </w:rPr>
          <w:t>https://doi.org/10.3390/su12010092</w:t>
        </w:r>
      </w:hyperlink>
    </w:p>
    <w:p w:rsidR="005C3F63" w:rsidRDefault="006536E7">
      <w:pPr>
        <w:pStyle w:val="aff"/>
        <w:jc w:val="both"/>
        <w:rPr>
          <w:lang w:val="cs-CZ"/>
        </w:rPr>
      </w:pPr>
      <w:r>
        <w:rPr>
          <w:lang w:val="cs-CZ"/>
        </w:rPr>
        <w:t xml:space="preserve">Dôvodová správa. </w:t>
      </w:r>
      <w:r>
        <w:rPr>
          <w:i/>
          <w:lang w:val="cs-CZ"/>
        </w:rPr>
        <w:t>Dôvodová správa</w:t>
      </w:r>
      <w:r>
        <w:rPr>
          <w:lang w:val="cs-CZ"/>
        </w:rPr>
        <w:t>. NR SR, 2019. Retrieved from: https://www.nrsr.sk/web/Dynamic/DocumentPreview.aspx?DocID=470109</w:t>
      </w:r>
    </w:p>
    <w:p w:rsidR="005C3F63" w:rsidRDefault="006536E7">
      <w:pPr>
        <w:pStyle w:val="aff"/>
        <w:jc w:val="both"/>
        <w:rPr>
          <w:lang w:val="cs-CZ"/>
        </w:rPr>
      </w:pPr>
      <w:r>
        <w:rPr>
          <w:lang w:val="cs-CZ"/>
        </w:rPr>
        <w:t xml:space="preserve">Garstecki, D., Kowalczyk, M., Kwiecinńska, K. (2019). CSR Practices in Polish and Spanish Stock Listed Companies: A Comparative Analysis. </w:t>
      </w:r>
      <w:r>
        <w:rPr>
          <w:i/>
          <w:lang w:val="cs-CZ"/>
        </w:rPr>
        <w:t>Sustainability</w:t>
      </w:r>
      <w:r>
        <w:rPr>
          <w:lang w:val="cs-CZ"/>
        </w:rPr>
        <w:t xml:space="preserve">, 11(4): pp. 1-19. Retrieved from: </w:t>
      </w:r>
      <w:r>
        <w:rPr>
          <w:bCs/>
          <w:lang w:val="cs-CZ" w:bidi="en-US"/>
        </w:rPr>
        <w:t>https://doi.org/10.3390/su11041054</w:t>
      </w:r>
    </w:p>
    <w:p w:rsidR="005C3F63" w:rsidRDefault="006536E7">
      <w:pPr>
        <w:pStyle w:val="aff"/>
        <w:jc w:val="both"/>
        <w:rPr>
          <w:lang w:val="cs-CZ"/>
        </w:rPr>
      </w:pPr>
      <w:r>
        <w:rPr>
          <w:lang w:val="cs-CZ"/>
        </w:rPr>
        <w:t xml:space="preserve">GRI 205. </w:t>
      </w:r>
      <w:r>
        <w:rPr>
          <w:i/>
          <w:lang w:val="cs-CZ"/>
        </w:rPr>
        <w:t>GRI 205: Anti – Corruption</w:t>
      </w:r>
      <w:r>
        <w:rPr>
          <w:lang w:val="cs-CZ"/>
        </w:rPr>
        <w:t>. GRI, 2016. Retrieved from:</w:t>
      </w:r>
    </w:p>
    <w:p w:rsidR="005C3F63" w:rsidRDefault="00085067">
      <w:pPr>
        <w:pStyle w:val="aff"/>
        <w:jc w:val="both"/>
        <w:rPr>
          <w:lang w:val="cs-CZ"/>
        </w:rPr>
      </w:pPr>
      <w:hyperlink r:id="rId188" w:history="1">
        <w:r w:rsidR="006536E7">
          <w:rPr>
            <w:lang w:val="cs-CZ"/>
          </w:rPr>
          <w:t>https://www.globalreporting.org/standards/media/1006/gri-205-anti-corruption-2016.pdf</w:t>
        </w:r>
      </w:hyperlink>
    </w:p>
    <w:p w:rsidR="005C3F63" w:rsidRDefault="006536E7">
      <w:pPr>
        <w:pStyle w:val="aff"/>
        <w:jc w:val="both"/>
        <w:rPr>
          <w:lang w:val="cs-CZ"/>
        </w:rPr>
      </w:pPr>
      <w:r>
        <w:rPr>
          <w:lang w:val="cs-CZ"/>
        </w:rPr>
        <w:lastRenderedPageBreak/>
        <w:t xml:space="preserve">GRI 206. </w:t>
      </w:r>
      <w:r>
        <w:rPr>
          <w:i/>
          <w:lang w:val="cs-CZ"/>
        </w:rPr>
        <w:t>GRI 206: Anti – Competitive Behavior. GRI, 2016</w:t>
      </w:r>
      <w:r>
        <w:rPr>
          <w:lang w:val="cs-CZ"/>
        </w:rPr>
        <w:t xml:space="preserve">. Retrieved from: </w:t>
      </w:r>
      <w:r>
        <w:t xml:space="preserve"> </w:t>
      </w:r>
      <w:r>
        <w:rPr>
          <w:lang w:val="cs-CZ"/>
        </w:rPr>
        <w:t>https://www.globalreporting.org/standards/gri-standards-download-center/gri-206-anti-competitive-behavior-2016/</w:t>
      </w:r>
    </w:p>
    <w:p w:rsidR="005C3F63" w:rsidRDefault="006536E7">
      <w:pPr>
        <w:pStyle w:val="aff"/>
        <w:jc w:val="both"/>
        <w:rPr>
          <w:lang w:val="cs-CZ"/>
        </w:rPr>
      </w:pPr>
      <w:r>
        <w:rPr>
          <w:lang w:val="cs-CZ"/>
        </w:rPr>
        <w:t xml:space="preserve">GRI 207. </w:t>
      </w:r>
      <w:r>
        <w:rPr>
          <w:i/>
          <w:lang w:val="cs-CZ"/>
        </w:rPr>
        <w:t>GRI 207: Tax 2019</w:t>
      </w:r>
      <w:r>
        <w:rPr>
          <w:lang w:val="cs-CZ"/>
        </w:rPr>
        <w:t>. GRI, 2019. Retrieved from:</w:t>
      </w:r>
      <w:r>
        <w:rPr>
          <w:rFonts w:eastAsia="Times New Roman"/>
          <w:kern w:val="0"/>
          <w:szCs w:val="22"/>
          <w:shd w:val="clear" w:color="auto" w:fill="auto"/>
          <w:lang w:eastAsia="en-US"/>
        </w:rPr>
        <w:t xml:space="preserve"> </w:t>
      </w:r>
      <w:r>
        <w:rPr>
          <w:lang w:val="cs-CZ"/>
        </w:rPr>
        <w:t>https://www.globalreporting.org/standards/media/2513/gri-207-tax-standard-2019-factsheet.pdf.</w:t>
      </w:r>
    </w:p>
    <w:p w:rsidR="005C3F63" w:rsidRDefault="006536E7">
      <w:pPr>
        <w:pStyle w:val="aff"/>
        <w:jc w:val="both"/>
        <w:rPr>
          <w:lang w:val="cs-CZ"/>
        </w:rPr>
      </w:pPr>
      <w:r>
        <w:rPr>
          <w:lang w:val="cs-CZ"/>
        </w:rPr>
        <w:t xml:space="preserve">GRI 303. </w:t>
      </w:r>
      <w:r>
        <w:rPr>
          <w:i/>
          <w:lang w:val="cs-CZ"/>
        </w:rPr>
        <w:t xml:space="preserve">GRI 303: Water and Effluents 2018. </w:t>
      </w:r>
      <w:r>
        <w:rPr>
          <w:lang w:val="cs-CZ"/>
        </w:rPr>
        <w:t>GRI, 2018. Retrieved from:</w:t>
      </w:r>
    </w:p>
    <w:p w:rsidR="005C3F63" w:rsidRDefault="006536E7">
      <w:pPr>
        <w:pStyle w:val="aff"/>
        <w:jc w:val="both"/>
        <w:rPr>
          <w:lang w:val="cs-CZ"/>
        </w:rPr>
      </w:pPr>
      <w:r>
        <w:rPr>
          <w:lang w:val="cs-CZ"/>
        </w:rPr>
        <w:t>https://www.globalreporting.org/standards/work-program-and-standards-review/review-of-gri-303-water/</w:t>
      </w:r>
    </w:p>
    <w:p w:rsidR="005C3F63" w:rsidRDefault="006536E7">
      <w:pPr>
        <w:pStyle w:val="aff"/>
        <w:jc w:val="both"/>
        <w:rPr>
          <w:lang w:val="cs-CZ"/>
        </w:rPr>
      </w:pPr>
      <w:r>
        <w:rPr>
          <w:lang w:val="cs-CZ"/>
        </w:rPr>
        <w:t xml:space="preserve">GRI 303. GRI 303: </w:t>
      </w:r>
      <w:r>
        <w:t xml:space="preserve">Water and Effluents 2018 Introduction. </w:t>
      </w:r>
      <w:r>
        <w:rPr>
          <w:lang w:val="cs-CZ"/>
        </w:rPr>
        <w:t>GRI, 2018a. Retrieved from:</w:t>
      </w:r>
    </w:p>
    <w:p w:rsidR="005C3F63" w:rsidRDefault="006536E7">
      <w:pPr>
        <w:pStyle w:val="aff"/>
        <w:jc w:val="both"/>
        <w:rPr>
          <w:lang w:val="cs-CZ"/>
        </w:rPr>
      </w:pPr>
      <w:r>
        <w:rPr>
          <w:lang w:val="cs-CZ"/>
        </w:rPr>
        <w:t>https://www.globalreporting.org/standards/media/2549/gri-303-water-and-effluents-2018-standard-presentation.pdf.</w:t>
      </w:r>
    </w:p>
    <w:p w:rsidR="005C3F63" w:rsidRDefault="006536E7">
      <w:pPr>
        <w:pStyle w:val="aff"/>
        <w:jc w:val="both"/>
        <w:rPr>
          <w:lang w:val="cs-CZ"/>
        </w:rPr>
      </w:pPr>
      <w:r>
        <w:rPr>
          <w:lang w:val="cs-CZ"/>
        </w:rPr>
        <w:t>Koncept GSSB pracovného programu 2020 – 2022 (2020).</w:t>
      </w:r>
      <w:r>
        <w:rPr>
          <w:rFonts w:eastAsia="Times New Roman"/>
          <w:kern w:val="0"/>
          <w:szCs w:val="22"/>
          <w:shd w:val="clear" w:color="auto" w:fill="auto"/>
          <w:lang w:eastAsia="en-US"/>
        </w:rPr>
        <w:t xml:space="preserve"> </w:t>
      </w:r>
      <w:r>
        <w:rPr>
          <w:i/>
          <w:lang w:val="cs-CZ"/>
        </w:rPr>
        <w:t>Draft GSSB Work Program 2020-2022.</w:t>
      </w:r>
      <w:r>
        <w:rPr>
          <w:lang w:val="cs-CZ"/>
        </w:rPr>
        <w:t xml:space="preserve">  Retrieved from: </w:t>
      </w:r>
      <w:r>
        <w:t>https://www.globalreporting.org/standards/media/2568/public_consultation_draft_gssb_work_program_2020-2022.pdf</w:t>
      </w:r>
    </w:p>
    <w:p w:rsidR="005C3F63" w:rsidRDefault="006536E7">
      <w:pPr>
        <w:pStyle w:val="aff"/>
        <w:jc w:val="both"/>
      </w:pPr>
      <w:r>
        <w:rPr>
          <w:lang w:val="cs-CZ"/>
        </w:rPr>
        <w:t xml:space="preserve">GRI 306. </w:t>
      </w:r>
      <w:r>
        <w:rPr>
          <w:i/>
          <w:lang w:val="cs-CZ"/>
        </w:rPr>
        <w:t>GRI 306: Waste 2020.</w:t>
      </w:r>
      <w:r>
        <w:rPr>
          <w:lang w:val="cs-CZ"/>
        </w:rPr>
        <w:t xml:space="preserve"> GRI, 2020. Retrieved from: </w:t>
      </w:r>
      <w:r>
        <w:t>https://www.globalreporting.org/standards.</w:t>
      </w:r>
    </w:p>
    <w:p w:rsidR="005C3F63" w:rsidRDefault="006536E7">
      <w:pPr>
        <w:pStyle w:val="aff"/>
        <w:jc w:val="both"/>
        <w:rPr>
          <w:lang w:val="cs-CZ"/>
        </w:rPr>
      </w:pPr>
      <w:r>
        <w:rPr>
          <w:lang w:val="cs-CZ"/>
        </w:rPr>
        <w:t xml:space="preserve">GRI 306. </w:t>
      </w:r>
      <w:r>
        <w:rPr>
          <w:i/>
          <w:lang w:val="cs-CZ"/>
        </w:rPr>
        <w:t>GRI 306: Waste 2020 is now available</w:t>
      </w:r>
      <w:r>
        <w:rPr>
          <w:lang w:val="cs-CZ"/>
        </w:rPr>
        <w:t>. GRI, 2020a. Retrieved from: https://www.globalreporting.org/standards/work-program-and-standards-review/review-of-gri-waste-disclosures/.</w:t>
      </w:r>
    </w:p>
    <w:p w:rsidR="005C3F63" w:rsidRDefault="006536E7">
      <w:pPr>
        <w:pStyle w:val="aff"/>
        <w:jc w:val="both"/>
        <w:rPr>
          <w:lang w:val="cs-CZ"/>
        </w:rPr>
      </w:pPr>
      <w:r>
        <w:rPr>
          <w:lang w:val="cs-CZ"/>
        </w:rPr>
        <w:t xml:space="preserve">GRI 403. </w:t>
      </w:r>
      <w:r>
        <w:rPr>
          <w:i/>
          <w:lang w:val="cs-CZ"/>
        </w:rPr>
        <w:t>GRI 403:</w:t>
      </w:r>
      <w:r>
        <w:rPr>
          <w:lang w:val="cs-CZ"/>
        </w:rPr>
        <w:t xml:space="preserve"> </w:t>
      </w:r>
      <w:r>
        <w:rPr>
          <w:i/>
          <w:iCs/>
        </w:rPr>
        <w:t xml:space="preserve">Occupational Health and Safety. </w:t>
      </w:r>
      <w:r>
        <w:rPr>
          <w:iCs/>
        </w:rPr>
        <w:t xml:space="preserve">GRI, 2018. </w:t>
      </w:r>
      <w:r>
        <w:t xml:space="preserve">Retrieved from: </w:t>
      </w:r>
      <w:r>
        <w:rPr>
          <w:lang w:val="cs-CZ"/>
        </w:rPr>
        <w:t>https://www.globalreporting.org/standards/work-program-and-standards-review/review-of-gri-403-occupational-health-and-safety/</w:t>
      </w:r>
    </w:p>
    <w:p w:rsidR="005C3F63" w:rsidRDefault="006536E7">
      <w:pPr>
        <w:pStyle w:val="aff"/>
        <w:jc w:val="both"/>
        <w:rPr>
          <w:lang w:val="cs-CZ"/>
        </w:rPr>
      </w:pPr>
      <w:r>
        <w:t xml:space="preserve">Matuszak, Ł.; Rózánska, E. CSR disclosure in Polish-listed companies in the light of Directive 2014/95/EU </w:t>
      </w:r>
      <w:r>
        <w:rPr>
          <w:lang w:val="cs-CZ" w:bidi="en-US"/>
        </w:rPr>
        <w:t>requirements: Empirical evidence</w:t>
      </w:r>
      <w:r>
        <w:t xml:space="preserve">. </w:t>
      </w:r>
      <w:r>
        <w:rPr>
          <w:i/>
          <w:lang w:val="cs-CZ"/>
        </w:rPr>
        <w:t>Sustainability,</w:t>
      </w:r>
      <w:r>
        <w:rPr>
          <w:lang w:val="cs-CZ"/>
        </w:rPr>
        <w:t xml:space="preserve"> 9, 2304: pp. 1-18. Retrieved from: </w:t>
      </w:r>
      <w:r>
        <w:t xml:space="preserve">https://doi.org/10.3390/su9122304 </w:t>
      </w:r>
    </w:p>
    <w:p w:rsidR="005C3F63" w:rsidRDefault="006536E7">
      <w:pPr>
        <w:pStyle w:val="aff"/>
        <w:jc w:val="both"/>
        <w:rPr>
          <w:lang w:val="cs-CZ"/>
        </w:rPr>
      </w:pPr>
      <w:r>
        <w:rPr>
          <w:lang w:val="cs-CZ"/>
        </w:rPr>
        <w:t xml:space="preserve">Pakšiová, R. (2018). Správa o platbách orgánom verejnej moci ako súčasť zverejňovaných informácií niektorých podnikov z pohľadu právnej úpravy na Slovensku v kontexte smerníc EÚ. </w:t>
      </w:r>
      <w:r>
        <w:rPr>
          <w:i/>
          <w:iCs/>
          <w:lang w:val="cs-CZ"/>
        </w:rPr>
        <w:t>Účtovníctvo – audítorstvo – daňovníctvo : v teórií a praxi</w:t>
      </w:r>
      <w:r>
        <w:rPr>
          <w:lang w:val="cs-CZ"/>
        </w:rPr>
        <w:t xml:space="preserve">, 26, pp. 52-59. </w:t>
      </w:r>
    </w:p>
    <w:p w:rsidR="005C3F63" w:rsidRDefault="006536E7">
      <w:pPr>
        <w:pStyle w:val="aff"/>
        <w:jc w:val="both"/>
      </w:pPr>
      <w:r>
        <w:t>Samelak, J. (2013). Zintegrowane Sprawozdanie Przedsi˛ebiorstwa Społecznie Odpowiedzialnego (Integrated Report of Socially Responisible Company). Warszawa: Wydawnictwo Uniwersytetu Ekonomicznego w Poznaniu.</w:t>
      </w:r>
    </w:p>
    <w:p w:rsidR="005C3F63" w:rsidRDefault="006536E7">
      <w:pPr>
        <w:pStyle w:val="aff"/>
        <w:jc w:val="both"/>
        <w:rPr>
          <w:lang w:val="cs-CZ"/>
        </w:rPr>
      </w:pPr>
      <w:r>
        <w:rPr>
          <w:lang w:val="cs-CZ"/>
        </w:rPr>
        <w:t xml:space="preserve">Smernica Európskeho parlamentu a Rady 2013/34/EÚ o ročných účtovných závierkach, konsolidovaných účtovných závierkach a súvisiacich správach určitých druhov podnikov, ktorou sa mení smernica Európskeho parlamentu a Rady 2006/43/EÚ a zrušujú sa smernice Rady 78/660/EHS a 83/349/EHS v znení neskorších predpisov. </w:t>
      </w:r>
    </w:p>
    <w:p w:rsidR="005C3F63" w:rsidRDefault="006536E7">
      <w:pPr>
        <w:pStyle w:val="aff"/>
        <w:jc w:val="both"/>
        <w:rPr>
          <w:lang w:val="cs-CZ"/>
        </w:rPr>
      </w:pPr>
      <w:r>
        <w:rPr>
          <w:lang w:val="cs-CZ"/>
        </w:rPr>
        <w:t>Smernica Európskeho parlamentu a Rady 2014/95/EÚ z 22. októbra 2014, ktorou sa mení smernica 2013/34/EÚ pokiaľ ide o zverejňovanie nefinančných informácií týkajúcich sa rozmanitosti niektorými veľkými podnikmi a skupinami.</w:t>
      </w:r>
    </w:p>
    <w:p w:rsidR="005C3F63" w:rsidRDefault="006536E7">
      <w:pPr>
        <w:pStyle w:val="aff"/>
        <w:jc w:val="both"/>
        <w:rPr>
          <w:lang w:bidi="en-US"/>
        </w:rPr>
      </w:pPr>
      <w:r>
        <w:t xml:space="preserve">Tumpach, M., Gedeon, M. (2019). Navrhované zvýšenie limitov pre povinný štatutárny audit ako reakcia na gold-plating. </w:t>
      </w:r>
      <w:r>
        <w:rPr>
          <w:i/>
          <w:iCs/>
        </w:rPr>
        <w:t>Účtovníctvo – audítorstvo – daňovníctvo : v teórií a praxi</w:t>
      </w:r>
      <w:r>
        <w:t>,</w:t>
      </w:r>
      <w:r>
        <w:rPr>
          <w:rFonts w:ascii="Arial" w:eastAsia="Times New Roman" w:hAnsi="Arial" w:cs="Arial"/>
          <w:bCs/>
          <w:color w:val="212529"/>
          <w:kern w:val="0"/>
          <w:sz w:val="22"/>
          <w:szCs w:val="22"/>
          <w:lang w:eastAsia="en-US" w:bidi="en-US"/>
        </w:rPr>
        <w:t xml:space="preserve"> </w:t>
      </w:r>
      <w:r>
        <w:rPr>
          <w:bCs/>
          <w:lang w:bidi="en-US"/>
        </w:rPr>
        <w:t>27</w:t>
      </w:r>
      <w:r>
        <w:rPr>
          <w:lang w:bidi="en-US"/>
        </w:rPr>
        <w:t>(7-8), pp. 45-49.</w:t>
      </w:r>
    </w:p>
    <w:p w:rsidR="005C3F63" w:rsidRDefault="006536E7">
      <w:pPr>
        <w:pStyle w:val="aff"/>
        <w:jc w:val="both"/>
      </w:pPr>
      <w:r>
        <w:t>Zákon č. 431/2002 Z. z. o účtovníctve v znení neskorších predpisov.</w:t>
      </w:r>
    </w:p>
    <w:p w:rsidR="005C3F63" w:rsidRDefault="006536E7">
      <w:pPr>
        <w:pStyle w:val="aff"/>
        <w:jc w:val="both"/>
      </w:pPr>
      <w:r>
        <w:t>Zákon č. 429/2002 Z. z. o burze cenných papierov v znení neskorších predpisov.</w:t>
      </w:r>
    </w:p>
    <w:p w:rsidR="005C3F63" w:rsidRDefault="006536E7">
      <w:pPr>
        <w:pStyle w:val="aff"/>
        <w:jc w:val="both"/>
        <w:rPr>
          <w:lang w:val="cs-CZ"/>
        </w:rPr>
      </w:pPr>
      <w:r>
        <w:rPr>
          <w:lang w:val="cs-CZ"/>
        </w:rPr>
        <w:t>Zákon č. 363/2019 Z. z. zo dňa 15. októbra 2019, kterým sa mení a dopĺňa zákon č. 431/2002 Z. z. o účtovníctve v znení neskorších predpisov.</w:t>
      </w:r>
    </w:p>
    <w:p w:rsidR="005C3F63" w:rsidRDefault="006536E7">
      <w:pPr>
        <w:pStyle w:val="aff"/>
        <w:jc w:val="both"/>
        <w:rPr>
          <w:lang w:val="cs-CZ"/>
        </w:rPr>
      </w:pPr>
      <w:r>
        <w:rPr>
          <w:lang w:val="cs-CZ"/>
        </w:rPr>
        <w:t xml:space="preserve">Zákon č. 198/2020 Z. z. z 9. júla 2020, ktorým sa menia a dopĺňajú niektoré zákony v súvislosti so zlepšovaním podnikateľského prostredia zasiahnutým opatreniami na zamedzenie šírenia nebezpečnej nákazlivej ľudskej choroby Covid-19. </w:t>
      </w:r>
    </w:p>
    <w:p w:rsidR="005C3F63" w:rsidRDefault="006536E7">
      <w:pPr>
        <w:pStyle w:val="aff"/>
        <w:jc w:val="both"/>
      </w:pPr>
      <w:r>
        <w:lastRenderedPageBreak/>
        <w:t>Zákon č. 429/2002 Z. z. o burze cenných papierov v znení neskorších predpisov.</w:t>
      </w:r>
    </w:p>
    <w:p w:rsidR="005C3F63" w:rsidRDefault="006536E7">
      <w:pPr>
        <w:pStyle w:val="aff"/>
        <w:jc w:val="both"/>
        <w:rPr>
          <w:lang w:val="cs-CZ"/>
        </w:rPr>
      </w:pPr>
      <w:r>
        <w:rPr>
          <w:lang w:val="cs-CZ"/>
        </w:rPr>
        <w:t>Zákon č. 363/2019 Z. z. zo dňa 15. októbra 2019, kterým sa mení a dopĺňa zákon č. 431/2002 Z. z. o účtovníctve v znení neskorších predpisov.</w:t>
      </w:r>
    </w:p>
    <w:p w:rsidR="005C3F63" w:rsidRDefault="006536E7">
      <w:pPr>
        <w:pStyle w:val="aff"/>
        <w:jc w:val="both"/>
        <w:rPr>
          <w:lang w:val="cs-CZ"/>
        </w:rPr>
      </w:pPr>
      <w:r>
        <w:rPr>
          <w:lang w:val="cs-CZ"/>
        </w:rPr>
        <w:t xml:space="preserve">Zákon č. 198/2020 Z. z. z 9. júla 2020, ktorým sa menia a dopĺňajú niektoré zákony v súvislosti so zlepšovaním podnikateľského prostredia zasiahnutým opatreniami na zamedzenie šírenia nebezpečnej nákazlivej ľudskej choroby Covid-19. </w:t>
      </w:r>
    </w:p>
    <w:p w:rsidR="005C3F63" w:rsidRDefault="005C3F63">
      <w:pPr>
        <w:pStyle w:val="aff"/>
        <w:jc w:val="both"/>
        <w:rPr>
          <w:lang w:val="cs-CZ"/>
        </w:rPr>
      </w:pPr>
    </w:p>
    <w:p w:rsidR="005C3F63" w:rsidRDefault="005C3F63">
      <w:pPr>
        <w:pStyle w:val="aff"/>
        <w:rPr>
          <w:lang w:val="cs-CZ"/>
        </w:rPr>
      </w:pPr>
    </w:p>
    <w:p w:rsidR="005C3F63" w:rsidRDefault="005C3F63">
      <w:pPr>
        <w:pStyle w:val="aff"/>
        <w:rPr>
          <w:lang w:val="cs-CZ"/>
        </w:rPr>
      </w:pPr>
    </w:p>
    <w:p w:rsidR="005C3F63" w:rsidRDefault="005C3F63">
      <w:pPr>
        <w:pStyle w:val="BibItem"/>
        <w:numPr>
          <w:ilvl w:val="0"/>
          <w:numId w:val="0"/>
        </w:numPr>
        <w:rPr>
          <w:rFonts w:ascii="Verdana" w:hAnsi="Verdana"/>
          <w:sz w:val="20"/>
          <w:szCs w:val="20"/>
          <w:lang w:val="cs-CZ"/>
        </w:rPr>
      </w:pPr>
    </w:p>
    <w:p w:rsidR="005C3F63" w:rsidRDefault="005C3F63">
      <w:pPr>
        <w:autoSpaceDE w:val="0"/>
        <w:autoSpaceDN w:val="0"/>
        <w:adjustRightInd w:val="0"/>
        <w:jc w:val="left"/>
        <w:rPr>
          <w:rFonts w:ascii="TimesNewRomanPSMT" w:eastAsia="Calibri" w:hAnsi="TimesNewRomanPSMT" w:cs="TimesNewRomanPSMT"/>
          <w:color w:val="000000"/>
          <w:sz w:val="13"/>
          <w:szCs w:val="13"/>
          <w:lang w:val="sk-SK" w:eastAsia="sk-SK" w:bidi="ar-SA"/>
        </w:rPr>
      </w:pPr>
    </w:p>
    <w:p w:rsidR="005C3F63" w:rsidRDefault="005C3F63">
      <w:pPr>
        <w:pStyle w:val="BibItem"/>
        <w:numPr>
          <w:ilvl w:val="0"/>
          <w:numId w:val="0"/>
        </w:numPr>
        <w:rPr>
          <w:rFonts w:ascii="Verdana" w:hAnsi="Verdana"/>
          <w:sz w:val="20"/>
          <w:szCs w:val="20"/>
        </w:rPr>
      </w:pPr>
    </w:p>
    <w:p w:rsidR="005C3F63" w:rsidRDefault="006536E7">
      <w:bookmarkStart w:id="556" w:name="_Toc47951532"/>
      <w:r>
        <w:br w:type="page"/>
      </w:r>
    </w:p>
    <w:p w:rsidR="005C3F63" w:rsidRDefault="006536E7">
      <w:pPr>
        <w:pStyle w:val="1"/>
      </w:pPr>
      <w:r>
        <w:lastRenderedPageBreak/>
        <w:t xml:space="preserve">Reducing </w:t>
      </w:r>
      <w:r>
        <w:rPr>
          <w:lang w:val="sk-SK"/>
        </w:rPr>
        <w:t>E</w:t>
      </w:r>
      <w:r>
        <w:t xml:space="preserve">conomic </w:t>
      </w:r>
      <w:r>
        <w:rPr>
          <w:lang w:val="sk-SK"/>
        </w:rPr>
        <w:t>I</w:t>
      </w:r>
      <w:r>
        <w:t xml:space="preserve">mpact </w:t>
      </w:r>
      <w:r>
        <w:rPr>
          <w:lang w:val="sk-SK"/>
        </w:rPr>
        <w:t>of</w:t>
      </w:r>
      <w:r>
        <w:t xml:space="preserve"> </w:t>
      </w:r>
      <w:r>
        <w:rPr>
          <w:lang w:val="sk-SK"/>
        </w:rPr>
        <w:t>COVID-19</w:t>
      </w:r>
      <w:r>
        <w:t xml:space="preserve"> </w:t>
      </w:r>
      <w:r>
        <w:rPr>
          <w:lang w:val="sk-SK"/>
        </w:rPr>
        <w:t>P</w:t>
      </w:r>
      <w:r>
        <w:t xml:space="preserve">andemic from </w:t>
      </w:r>
      <w:r>
        <w:rPr>
          <w:lang w:val="sk-SK"/>
        </w:rPr>
        <w:t>A</w:t>
      </w:r>
      <w:r>
        <w:t xml:space="preserve">ccounting </w:t>
      </w:r>
      <w:r>
        <w:rPr>
          <w:lang w:val="sk-SK"/>
        </w:rPr>
        <w:t>E</w:t>
      </w:r>
      <w:r>
        <w:t xml:space="preserve">ntity </w:t>
      </w:r>
      <w:r>
        <w:rPr>
          <w:lang w:val="sk-SK"/>
        </w:rPr>
        <w:t>P</w:t>
      </w:r>
      <w:r>
        <w:t>erspective</w:t>
      </w:r>
      <w:bookmarkEnd w:id="556"/>
    </w:p>
    <w:p w:rsidR="005C3F63" w:rsidRDefault="006536E7">
      <w:pPr>
        <w:pStyle w:val="Autor"/>
        <w:rPr>
          <w:rStyle w:val="AutorChar"/>
          <w:rFonts w:eastAsia="Calibri"/>
          <w:b/>
        </w:rPr>
      </w:pPr>
      <w:bookmarkStart w:id="557" w:name="_Toc47448199"/>
      <w:bookmarkStart w:id="558" w:name="_Toc47443567"/>
      <w:bookmarkStart w:id="559" w:name="_Toc47447927"/>
      <w:bookmarkStart w:id="560" w:name="_Toc47444600"/>
      <w:bookmarkStart w:id="561" w:name="_Toc47444283"/>
      <w:bookmarkStart w:id="562" w:name="_Toc47448063"/>
      <w:bookmarkStart w:id="563" w:name="_Toc47448321"/>
      <w:bookmarkStart w:id="564" w:name="_Toc47948798"/>
      <w:bookmarkStart w:id="565" w:name="_Toc47446708"/>
      <w:bookmarkStart w:id="566" w:name="_Toc47444441"/>
      <w:bookmarkStart w:id="567" w:name="_Toc47448842"/>
      <w:bookmarkStart w:id="568" w:name="_Toc47948737"/>
      <w:bookmarkStart w:id="569" w:name="_Toc47446106"/>
      <w:bookmarkStart w:id="570" w:name="_Toc47449317"/>
      <w:bookmarkStart w:id="571" w:name="_Toc47448616"/>
      <w:bookmarkStart w:id="572" w:name="_Toc47451158"/>
      <w:bookmarkStart w:id="573" w:name="_Toc47447162"/>
      <w:bookmarkStart w:id="574" w:name="_Toc47442672"/>
      <w:bookmarkStart w:id="575" w:name="_Toc47443668"/>
      <w:bookmarkStart w:id="576" w:name="_Toc47445731"/>
      <w:bookmarkStart w:id="577" w:name="_Toc47445954"/>
      <w:bookmarkStart w:id="578" w:name="_Toc47446366"/>
      <w:bookmarkStart w:id="579" w:name="_Toc47441679"/>
      <w:bookmarkStart w:id="580" w:name="_Toc47444132"/>
      <w:bookmarkStart w:id="581" w:name="_Toc47443434"/>
      <w:bookmarkStart w:id="582" w:name="_Toc47948996"/>
      <w:bookmarkStart w:id="583" w:name="_Toc47448117"/>
      <w:bookmarkStart w:id="584" w:name="_Toc47448561"/>
      <w:bookmarkStart w:id="585" w:name="_Toc47447981"/>
      <w:bookmarkStart w:id="586" w:name="_Toc47951533"/>
      <w:bookmarkStart w:id="587" w:name="_Toc47949310"/>
      <w:bookmarkStart w:id="588" w:name="_Toc47951468"/>
      <w:bookmarkStart w:id="589" w:name="_Toc47951375"/>
      <w:r>
        <w:rPr>
          <w:rStyle w:val="AutorChar"/>
          <w:rFonts w:eastAsia="Calibri"/>
          <w:b/>
        </w:rPr>
        <w:t>Katarína Máziková</w:t>
      </w:r>
      <w:r>
        <w:rPr>
          <w:rStyle w:val="AutorChar"/>
          <w:rFonts w:eastAsia="Calibri"/>
          <w:b/>
          <w:vertAlign w:val="superscript"/>
        </w:rPr>
        <w:t>1</w:t>
      </w:r>
      <w:r>
        <w:rPr>
          <w:rStyle w:val="AutorChar"/>
          <w:rFonts w:eastAsia="Calibri"/>
          <w:b/>
        </w:rPr>
        <w:t>, Renáta Antalová</w:t>
      </w:r>
      <w:r>
        <w:rPr>
          <w:rStyle w:val="AutorChar"/>
          <w:rFonts w:eastAsia="Calibri"/>
          <w:b/>
          <w:vertAlign w:val="superscript"/>
        </w:rPr>
        <w:t>2</w:t>
      </w:r>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r>
        <w:rPr>
          <w:rStyle w:val="AutorChar"/>
          <w:rFonts w:eastAsia="Calibri"/>
          <w:b/>
        </w:rPr>
        <w:t xml:space="preserve"> </w:t>
      </w:r>
    </w:p>
    <w:p w:rsidR="005C3F63" w:rsidRDefault="006536E7">
      <w:pPr>
        <w:jc w:val="center"/>
        <w:rPr>
          <w:rFonts w:ascii="Verdana" w:hAnsi="Verdana"/>
          <w:sz w:val="18"/>
          <w:szCs w:val="18"/>
        </w:rPr>
      </w:pPr>
      <w:r>
        <w:rPr>
          <w:rFonts w:ascii="Verdana" w:hAnsi="Verdana"/>
          <w:sz w:val="20"/>
          <w:szCs w:val="20"/>
          <w:vertAlign w:val="superscript"/>
        </w:rPr>
        <w:t>1</w:t>
      </w:r>
      <w:bookmarkStart w:id="590" w:name="_Hlk45829938"/>
      <w:r>
        <w:rPr>
          <w:rFonts w:ascii="Verdana" w:hAnsi="Verdana"/>
          <w:sz w:val="18"/>
          <w:szCs w:val="18"/>
        </w:rPr>
        <w:t>University of Economics in Bratislava</w:t>
      </w:r>
      <w:r>
        <w:rPr>
          <w:rFonts w:ascii="Verdana" w:hAnsi="Verdana"/>
          <w:sz w:val="18"/>
          <w:szCs w:val="18"/>
        </w:rPr>
        <w:br/>
        <w:t>                     Faculty of Economic Informatic, Department of Accounting and Auditing</w:t>
      </w:r>
      <w:r>
        <w:rPr>
          <w:rFonts w:ascii="Verdana" w:hAnsi="Verdana"/>
          <w:sz w:val="18"/>
          <w:szCs w:val="18"/>
        </w:rPr>
        <w:br/>
        <w:t>                       Dolnozemská cesta 1, 852 35 Bratislava, Slovak Republic</w:t>
      </w:r>
    </w:p>
    <w:p w:rsidR="005C3F63" w:rsidRDefault="006536E7">
      <w:pPr>
        <w:jc w:val="center"/>
        <w:rPr>
          <w:rFonts w:ascii="Verdana" w:hAnsi="Verdana"/>
          <w:sz w:val="18"/>
          <w:szCs w:val="18"/>
          <w:lang w:val="de-DE"/>
        </w:rPr>
      </w:pPr>
      <w:r>
        <w:rPr>
          <w:rFonts w:ascii="Verdana" w:hAnsi="Verdana"/>
          <w:sz w:val="18"/>
          <w:szCs w:val="18"/>
          <w:lang w:val="de-DE"/>
        </w:rPr>
        <w:t xml:space="preserve">E-mail: katarina.mazikova@euba.sk, </w:t>
      </w:r>
    </w:p>
    <w:bookmarkEnd w:id="590"/>
    <w:p w:rsidR="005C3F63" w:rsidRDefault="005C3F63">
      <w:pPr>
        <w:jc w:val="center"/>
        <w:rPr>
          <w:rFonts w:ascii="Verdana" w:hAnsi="Verdana"/>
          <w:sz w:val="18"/>
          <w:szCs w:val="18"/>
          <w:lang w:val="de-DE"/>
        </w:rPr>
      </w:pPr>
    </w:p>
    <w:p w:rsidR="005C3F63" w:rsidRDefault="006536E7">
      <w:pPr>
        <w:jc w:val="center"/>
        <w:rPr>
          <w:rFonts w:ascii="Verdana" w:hAnsi="Verdana"/>
          <w:sz w:val="18"/>
          <w:szCs w:val="18"/>
        </w:rPr>
      </w:pPr>
      <w:r>
        <w:rPr>
          <w:rFonts w:ascii="Verdana" w:hAnsi="Verdana"/>
          <w:sz w:val="18"/>
          <w:szCs w:val="18"/>
          <w:vertAlign w:val="superscript"/>
        </w:rPr>
        <w:t xml:space="preserve">2 </w:t>
      </w:r>
      <w:r>
        <w:rPr>
          <w:rFonts w:ascii="Verdana" w:hAnsi="Verdana"/>
          <w:sz w:val="18"/>
          <w:szCs w:val="18"/>
        </w:rPr>
        <w:t>University of Economics in Bratislava</w:t>
      </w:r>
      <w:r>
        <w:rPr>
          <w:rFonts w:ascii="Verdana" w:hAnsi="Verdana"/>
          <w:sz w:val="18"/>
          <w:szCs w:val="18"/>
        </w:rPr>
        <w:br/>
        <w:t>                     Faculty of Economic Informatic, Department of Accounting and Auditing</w:t>
      </w:r>
      <w:r>
        <w:rPr>
          <w:rFonts w:ascii="Verdana" w:hAnsi="Verdana"/>
          <w:sz w:val="18"/>
          <w:szCs w:val="18"/>
        </w:rPr>
        <w:br/>
        <w:t>                       Dolnozemská cesta 1, 852 35 Bratislava, Slovak Republic</w:t>
      </w:r>
    </w:p>
    <w:p w:rsidR="005C3F63" w:rsidRDefault="006536E7">
      <w:pPr>
        <w:jc w:val="center"/>
        <w:rPr>
          <w:rFonts w:ascii="Verdana" w:hAnsi="Verdana"/>
          <w:sz w:val="18"/>
          <w:szCs w:val="18"/>
          <w:lang w:val="de-DE"/>
        </w:rPr>
      </w:pPr>
      <w:r>
        <w:rPr>
          <w:rFonts w:ascii="Verdana" w:hAnsi="Verdana"/>
          <w:sz w:val="18"/>
          <w:szCs w:val="18"/>
          <w:lang w:val="de-DE"/>
        </w:rPr>
        <w:t>E-mail: renata.antalova@euba.sk</w:t>
      </w:r>
    </w:p>
    <w:p w:rsidR="005C3F63" w:rsidRDefault="005C3F63">
      <w:pPr>
        <w:jc w:val="center"/>
        <w:rPr>
          <w:rFonts w:ascii="Verdana" w:hAnsi="Verdana"/>
          <w:sz w:val="18"/>
          <w:szCs w:val="18"/>
          <w:lang w:val="de-DE"/>
        </w:rPr>
      </w:pPr>
    </w:p>
    <w:p w:rsidR="005C3F63" w:rsidRDefault="005C3F63">
      <w:pPr>
        <w:rPr>
          <w:rFonts w:ascii="Verdana" w:hAnsi="Verdana"/>
          <w:sz w:val="22"/>
          <w:lang w:val="de-DE"/>
        </w:rPr>
      </w:pPr>
    </w:p>
    <w:p w:rsidR="005C3F63" w:rsidRDefault="006536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alibri"/>
          <w:i/>
          <w:iCs/>
          <w:color w:val="000000"/>
          <w:sz w:val="20"/>
          <w:szCs w:val="20"/>
          <w:shd w:val="clear" w:color="auto" w:fill="FFFFFF"/>
          <w:lang w:val="en"/>
        </w:rPr>
      </w:pPr>
      <w:r>
        <w:rPr>
          <w:rFonts w:ascii="Verdana" w:hAnsi="Verdana"/>
          <w:b/>
          <w:i/>
          <w:sz w:val="20"/>
          <w:szCs w:val="20"/>
          <w:lang w:val="sk-SK"/>
        </w:rPr>
        <w:t>Abstract:</w:t>
      </w:r>
      <w:r>
        <w:rPr>
          <w:rFonts w:ascii="Verdana" w:hAnsi="Verdana"/>
          <w:b/>
          <w:i/>
          <w:color w:val="0070C0"/>
          <w:sz w:val="20"/>
          <w:szCs w:val="20"/>
          <w:lang w:val="sk-SK"/>
        </w:rPr>
        <w:t xml:space="preserve"> </w:t>
      </w:r>
      <w:bookmarkStart w:id="591" w:name="_Hlk46319059"/>
      <w:r>
        <w:rPr>
          <w:rFonts w:ascii="Verdana" w:hAnsi="Verdana" w:cs="Calibri"/>
          <w:i/>
          <w:iCs/>
          <w:color w:val="000000"/>
          <w:sz w:val="20"/>
          <w:szCs w:val="20"/>
          <w:shd w:val="clear" w:color="auto" w:fill="FFFFFF"/>
          <w:lang w:val="en"/>
        </w:rPr>
        <w:t>The coronavirus crisis loads huge challenges on businesses. It can be assumed that many companies will suffer significant losses in the current accounting period, which can easily end in liquidation of these companies. It is unpredictable how long this crisis will last. The aim of the paper was to propose solutions for various types of immediate economic and social assistance for accounting entities affected by the pandemic and to examine from an accounting point of view the possibility of preparing the entities themselves for similar crises in the future from an accounting point of view.</w:t>
      </w:r>
    </w:p>
    <w:p w:rsidR="005C3F63" w:rsidRDefault="005C3F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Verdana" w:hAnsi="Verdana" w:cs="Courier New"/>
          <w:i/>
          <w:color w:val="222222"/>
          <w:sz w:val="20"/>
          <w:szCs w:val="20"/>
          <w:lang w:val="sk-SK" w:eastAsia="sk-SK" w:bidi="ar-SA"/>
        </w:rPr>
      </w:pPr>
    </w:p>
    <w:bookmarkEnd w:id="591"/>
    <w:p w:rsidR="005C3F63" w:rsidRDefault="006536E7">
      <w:pPr>
        <w:spacing w:after="120"/>
        <w:rPr>
          <w:rFonts w:ascii="Verdana" w:hAnsi="Verdana" w:cs="Courier New"/>
          <w:i/>
          <w:color w:val="222222"/>
          <w:sz w:val="20"/>
          <w:szCs w:val="20"/>
          <w:lang w:eastAsia="sk-SK" w:bidi="ar-SA"/>
        </w:rPr>
      </w:pPr>
      <w:r>
        <w:rPr>
          <w:rFonts w:ascii="Verdana" w:hAnsi="Verdana"/>
          <w:b/>
          <w:i/>
          <w:sz w:val="20"/>
          <w:szCs w:val="20"/>
          <w:lang w:val="sk-SK"/>
        </w:rPr>
        <w:t>Keywords:</w:t>
      </w:r>
      <w:r>
        <w:rPr>
          <w:rFonts w:ascii="Verdana" w:hAnsi="Verdana" w:cs="Courier New"/>
          <w:i/>
          <w:color w:val="222222"/>
          <w:sz w:val="20"/>
          <w:szCs w:val="20"/>
          <w:lang w:val="en" w:eastAsia="sk-SK" w:bidi="ar-SA"/>
        </w:rPr>
        <w:t xml:space="preserve"> </w:t>
      </w:r>
      <w:r>
        <w:rPr>
          <w:rFonts w:ascii="Verdana" w:hAnsi="Verdana" w:cs="Courier New"/>
          <w:i/>
          <w:color w:val="222222"/>
          <w:sz w:val="20"/>
          <w:szCs w:val="20"/>
          <w:lang w:eastAsia="sk-SK" w:bidi="ar-SA"/>
        </w:rPr>
        <w:t>c</w:t>
      </w:r>
      <w:r>
        <w:rPr>
          <w:rFonts w:ascii="Verdana" w:hAnsi="Verdana" w:cs="Courier New"/>
          <w:i/>
          <w:color w:val="222222"/>
          <w:sz w:val="20"/>
          <w:szCs w:val="20"/>
          <w:lang w:val="en" w:eastAsia="sk-SK" w:bidi="ar-SA"/>
        </w:rPr>
        <w:t>oronavirus crisis</w:t>
      </w:r>
      <w:r>
        <w:rPr>
          <w:rFonts w:ascii="Verdana" w:hAnsi="Verdana"/>
          <w:i/>
          <w:sz w:val="20"/>
          <w:szCs w:val="20"/>
          <w:lang w:val="sk-SK"/>
        </w:rPr>
        <w:t xml:space="preserve">, </w:t>
      </w:r>
      <w:r>
        <w:rPr>
          <w:rFonts w:ascii="Arial" w:hAnsi="Arial" w:cs="Arial"/>
          <w:color w:val="171717"/>
          <w:sz w:val="21"/>
          <w:szCs w:val="21"/>
          <w:shd w:val="clear" w:color="auto" w:fill="FFFFFF"/>
        </w:rPr>
        <w:t> </w:t>
      </w:r>
      <w:hyperlink r:id="rId189" w:tooltip="Preklad slova " w:history="1">
        <w:r>
          <w:rPr>
            <w:rFonts w:ascii="Verdana" w:hAnsi="Verdana" w:cs="Courier New"/>
            <w:i/>
            <w:color w:val="222222"/>
            <w:sz w:val="20"/>
            <w:szCs w:val="20"/>
            <w:lang w:val="en" w:eastAsia="sk-SK" w:bidi="ar-SA"/>
          </w:rPr>
          <w:t>accounting entity</w:t>
        </w:r>
      </w:hyperlink>
      <w:r>
        <w:rPr>
          <w:rFonts w:ascii="Verdana" w:hAnsi="Verdana" w:cs="Courier New"/>
          <w:i/>
          <w:color w:val="222222"/>
          <w:sz w:val="20"/>
          <w:szCs w:val="20"/>
          <w:lang w:val="en" w:eastAsia="sk-SK" w:bidi="ar-SA"/>
        </w:rPr>
        <w:t xml:space="preserve">, fund, </w:t>
      </w:r>
      <w:r>
        <w:rPr>
          <w:rFonts w:ascii="Verdana" w:hAnsi="Verdana" w:cs="Courier New"/>
          <w:i/>
          <w:color w:val="222222"/>
          <w:sz w:val="20"/>
          <w:szCs w:val="20"/>
          <w:lang w:eastAsia="sk-SK" w:bidi="ar-SA"/>
        </w:rPr>
        <w:t>provisions</w:t>
      </w:r>
    </w:p>
    <w:p w:rsidR="005C3F63" w:rsidRDefault="006536E7">
      <w:pPr>
        <w:pStyle w:val="04-Anotacijostekstas"/>
        <w:spacing w:before="0" w:after="120"/>
        <w:ind w:left="0" w:right="-284"/>
        <w:jc w:val="left"/>
        <w:rPr>
          <w:rFonts w:ascii="Verdana" w:hAnsi="Verdana"/>
          <w:i/>
          <w:lang w:val="sk-SK"/>
        </w:rPr>
      </w:pPr>
      <w:r>
        <w:rPr>
          <w:rFonts w:ascii="Verdana" w:hAnsi="Verdana"/>
          <w:i/>
          <w:lang w:val="sk-SK"/>
        </w:rPr>
        <w:t>JEL codes: M 40, M 41</w:t>
      </w:r>
    </w:p>
    <w:p w:rsidR="005C3F63" w:rsidRDefault="006536E7">
      <w:pPr>
        <w:pStyle w:val="1"/>
        <w:spacing w:before="0"/>
        <w:jc w:val="both"/>
        <w:rPr>
          <w:sz w:val="22"/>
          <w:szCs w:val="22"/>
          <w:lang w:val="sk-SK"/>
        </w:rPr>
      </w:pPr>
      <w:r>
        <w:rPr>
          <w:rStyle w:val="KapitolaChar"/>
          <w:b/>
          <w:lang w:val="sk-SK"/>
        </w:rPr>
        <w:t xml:space="preserve">1 </w:t>
      </w:r>
      <w:r>
        <w:rPr>
          <w:rStyle w:val="KapitolaChar"/>
          <w:b/>
          <w:lang w:val="cs-CZ"/>
        </w:rPr>
        <w:t xml:space="preserve">Úvod </w:t>
      </w:r>
      <w:r>
        <w:rPr>
          <w:rStyle w:val="KapitolaChar"/>
          <w:b/>
          <w:lang w:val="sk-SK"/>
        </w:rPr>
        <w:t>/ Introduction</w:t>
      </w:r>
    </w:p>
    <w:p w:rsidR="005C3F63" w:rsidRDefault="006536E7">
      <w:pPr>
        <w:shd w:val="clear" w:color="auto" w:fill="FFFFFF"/>
        <w:spacing w:after="120"/>
        <w:rPr>
          <w:rFonts w:ascii="Verdana" w:hAnsi="Verdana" w:cs="Arial"/>
          <w:sz w:val="20"/>
          <w:szCs w:val="20"/>
          <w:lang w:val="sk-SK" w:eastAsia="sk-SK" w:bidi="ar-SA"/>
        </w:rPr>
      </w:pPr>
      <w:r>
        <w:rPr>
          <w:rFonts w:ascii="Verdana" w:hAnsi="Verdana" w:cs="Arial"/>
          <w:sz w:val="20"/>
          <w:szCs w:val="20"/>
          <w:lang w:val="sk-SK" w:eastAsia="sk-SK" w:bidi="ar-SA"/>
        </w:rPr>
        <w:t xml:space="preserve">V súčasnosti podnikateľské subjekty zaznamenali množstvo problémov v súvislosti s pandémiou koronavírusu, ktorá sa stala celosvetovým problémom. Každá krajina sa snaží po ekonomickej stránke s týmto problémom vysporiadať v závislosti od výkonnosti svojej ekonomiky a možností vyplývajúcich z členstva v hospodársko-politických zoskupeniach. </w:t>
      </w:r>
    </w:p>
    <w:p w:rsidR="005C3F63" w:rsidRDefault="006536E7">
      <w:pPr>
        <w:shd w:val="clear" w:color="auto" w:fill="FFFFFF"/>
        <w:textAlignment w:val="baseline"/>
        <w:rPr>
          <w:rFonts w:ascii="Segoe UI" w:hAnsi="Segoe UI" w:cs="Segoe UI"/>
          <w:color w:val="000000"/>
          <w:sz w:val="23"/>
          <w:szCs w:val="23"/>
          <w:lang w:val="sk-SK" w:eastAsia="sk-SK" w:bidi="ar-SA"/>
        </w:rPr>
      </w:pPr>
      <w:r>
        <w:rPr>
          <w:rFonts w:ascii="Verdana" w:hAnsi="Verdana" w:cs="Arial"/>
          <w:sz w:val="20"/>
          <w:szCs w:val="20"/>
          <w:lang w:val="sk-SK" w:eastAsia="sk-SK" w:bidi="ar-SA"/>
        </w:rPr>
        <w:t>V rámci Európskej únie má najviac zdrojov a najprepracovanejší systém opatrení v boji s koronakrízou Nemecko ako štvrtá najvýkonnejšia ekonomika sveta. Po skúsenostiach z obdobia recesie z roku 2008 zostavilo Nemecko v čase koronakrízy najväčší balík finančnej pomoci svojim spolkovým krajinám v histórii. Na základe neho predpokladá stabilizovanie hospodárstva, mobilizáciu finančných prostriedkov pre firmy, živnostníkov i zamestnancov. „Ochranný štít pre Nemecko" v súvislosti s pandémiou počíta aj so zosilnením systému zdravotníctva. Opatrenia štátu sa týkajú ekonomickej a sociálnej oblasti</w:t>
      </w:r>
      <w:r>
        <w:rPr>
          <w:rFonts w:ascii="Segoe UI" w:hAnsi="Segoe UI" w:cs="Segoe UI"/>
          <w:color w:val="201F1E"/>
          <w:sz w:val="23"/>
          <w:szCs w:val="23"/>
          <w:lang w:val="sk-SK" w:eastAsia="sk-SK" w:bidi="ar-SA"/>
        </w:rPr>
        <w:t xml:space="preserve"> </w:t>
      </w:r>
      <w:r>
        <w:rPr>
          <w:rFonts w:ascii="Segoe UI" w:hAnsi="Segoe UI" w:cs="Segoe UI"/>
          <w:color w:val="00B050"/>
          <w:sz w:val="23"/>
          <w:szCs w:val="23"/>
          <w:lang w:val="sk-SK" w:eastAsia="sk-SK" w:bidi="ar-SA"/>
        </w:rPr>
        <w:t>(</w:t>
      </w:r>
      <w:r>
        <w:rPr>
          <w:rFonts w:ascii="Segoe UI" w:hAnsi="Segoe UI" w:cs="Segoe UI"/>
          <w:color w:val="000000"/>
          <w:sz w:val="23"/>
          <w:szCs w:val="23"/>
          <w:lang w:val="sk-SK" w:eastAsia="sk-SK" w:bidi="ar-SA"/>
        </w:rPr>
        <w:t>Caliendo – Fedorets - Preuss, et al., 2018).</w:t>
      </w:r>
    </w:p>
    <w:p w:rsidR="005C3F63" w:rsidRDefault="006536E7">
      <w:pPr>
        <w:shd w:val="clear" w:color="auto" w:fill="FFFFFF"/>
        <w:spacing w:after="120"/>
        <w:rPr>
          <w:rFonts w:ascii="Verdana" w:hAnsi="Verdana" w:cs="Arial"/>
          <w:color w:val="000000"/>
          <w:sz w:val="20"/>
          <w:szCs w:val="20"/>
          <w:lang w:val="sk-SK" w:eastAsia="sk-SK" w:bidi="ar-SA"/>
        </w:rPr>
      </w:pPr>
      <w:r>
        <w:rPr>
          <w:rFonts w:ascii="Verdana" w:hAnsi="Verdana" w:cs="Arial"/>
          <w:color w:val="000000"/>
          <w:sz w:val="20"/>
          <w:szCs w:val="20"/>
          <w:lang w:val="sk-SK" w:eastAsia="sk-SK" w:bidi="ar-SA"/>
        </w:rPr>
        <w:t xml:space="preserve">Okamžitá pomoc (50 miliárd eur) v </w:t>
      </w:r>
      <w:r>
        <w:rPr>
          <w:rFonts w:ascii="Verdana" w:hAnsi="Verdana" w:cs="Arial"/>
          <w:b/>
          <w:color w:val="000000"/>
          <w:sz w:val="20"/>
          <w:szCs w:val="20"/>
          <w:lang w:val="sk-SK" w:eastAsia="sk-SK" w:bidi="ar-SA"/>
        </w:rPr>
        <w:t>ekonomickej oblasti</w:t>
      </w:r>
      <w:r>
        <w:rPr>
          <w:rFonts w:ascii="Verdana" w:hAnsi="Verdana" w:cs="Arial"/>
          <w:color w:val="000000"/>
          <w:sz w:val="20"/>
          <w:szCs w:val="20"/>
          <w:lang w:val="sk-SK" w:eastAsia="sk-SK" w:bidi="ar-SA"/>
        </w:rPr>
        <w:t xml:space="preserve"> je adresovaná malým prevádzkam na dobu troch mesiacov, zamestnávajúcich maximálne desať zamestnancov, príspevkom na úhradu nákladov spojených s nájmom. Vláda sa vytvorením fondu stabilizácie hospodárstva (500 miliárd eur) zaviazala spoločnosti podporovať v oblasti získavania cudzích zdrojov, a to formou garancií, ručení, refinancovaní už uzavretých programov v rámci KfW - Kreditnej banky pre obnovu, prípadne upevnením vlastných zdrojov podnikov vstupom štátu do nich (822 miliárd eur). Do ekonomickej oblasti možno zaradiť aj opatrenia týkajúce sa daní. Ako podpora spotreby bola znížená základná sadzba dane z pridanej hodnoty o tri percentá a znížená sadzba dane o dve percentá, predbežne od 1.7.2020 do 31.12.2020. Zamestnávatelia môžu svojim zamestnancom vyplatiť v roku 2020 bonusy a prémie za ich prácu do presne stanovenej výšky nezdanené. Povinnosti subjektov voči štátu z titulu daní sa odkladajú, resp. zmierňujú, naopak plnenie štátu voči týmto subjektom by malo byť urýchlené (BMF-Monatsbericht, 2020).</w:t>
      </w:r>
    </w:p>
    <w:p w:rsidR="005C3F63" w:rsidRDefault="006536E7">
      <w:pPr>
        <w:shd w:val="clear" w:color="auto" w:fill="FFFFFF"/>
        <w:spacing w:after="120"/>
        <w:rPr>
          <w:rFonts w:ascii="Verdana" w:hAnsi="Verdana" w:cs="Arial"/>
          <w:color w:val="000000"/>
          <w:sz w:val="20"/>
          <w:szCs w:val="20"/>
          <w:lang w:val="sk-SK" w:eastAsia="sk-SK" w:bidi="ar-SA"/>
        </w:rPr>
      </w:pPr>
      <w:r>
        <w:rPr>
          <w:rFonts w:ascii="Verdana" w:hAnsi="Verdana" w:cs="Arial"/>
          <w:color w:val="000000"/>
          <w:sz w:val="20"/>
          <w:szCs w:val="20"/>
          <w:lang w:val="sk-SK" w:eastAsia="sk-SK" w:bidi="ar-SA"/>
        </w:rPr>
        <w:lastRenderedPageBreak/>
        <w:t>V súvislosti s opatreniami štátu počas krízy v </w:t>
      </w:r>
      <w:r>
        <w:rPr>
          <w:rFonts w:ascii="Verdana" w:hAnsi="Verdana" w:cs="Arial"/>
          <w:b/>
          <w:color w:val="000000"/>
          <w:sz w:val="20"/>
          <w:szCs w:val="20"/>
          <w:lang w:val="sk-SK" w:eastAsia="sk-SK" w:bidi="ar-SA"/>
        </w:rPr>
        <w:t>sociálnej oblasti</w:t>
      </w:r>
      <w:r>
        <w:rPr>
          <w:rFonts w:ascii="Verdana" w:hAnsi="Verdana" w:cs="Arial"/>
          <w:color w:val="000000"/>
          <w:sz w:val="20"/>
          <w:szCs w:val="20"/>
          <w:lang w:val="sk-SK" w:eastAsia="sk-SK" w:bidi="ar-SA"/>
        </w:rPr>
        <w:t xml:space="preserve"> je často uvádzaný pojem Kurzarbeit. Vo všeobecnosti umožňuje dočasné zníženie normálneho pracovného času i odmeny za prácu z dôvodu hospodárskych prekážok v práci. Význam redukcie dĺžky normálneho pracovného času spočíva v dočasnej redukcii mzdových nákladov pre zamestnávateľa so súčasným zachovaním pracovných miest, pričom podnikom, ktoré spĺňajú stanovené kritériá sa táto pomoc môže poskytnúť spätne od 1.3.2020. Zamestnancom sa vypláca v závislosti od toho, či sú bezdetní alebo majú deti percentuálny podiel z čistej mzdy. Výška tohoto podielu sa zvyšuje od 60 % až do 87 % čistej mzdy v  stanovených časových intervaloch až po dobu 12 mesiacov. Po dobu 6 mesiacov je zabezpečená ochrana nájomcov bytov, ďalej náhrada straty príjmov pre rodičov, ktorí v dôsledku uzatvorenia škôl a škôlok ostali s deťmi doma (7,5 miliardy) (BMF-Monatsbericht, 2020).</w:t>
      </w:r>
    </w:p>
    <w:p w:rsidR="005C3F63" w:rsidRDefault="006536E7">
      <w:pPr>
        <w:shd w:val="clear" w:color="auto" w:fill="FFFFFF"/>
        <w:spacing w:after="120"/>
        <w:rPr>
          <w:rFonts w:ascii="Verdana" w:hAnsi="Verdana" w:cs="Arial"/>
          <w:color w:val="000000"/>
          <w:sz w:val="20"/>
          <w:szCs w:val="20"/>
          <w:lang w:val="sk-SK" w:eastAsia="sk-SK" w:bidi="ar-SA"/>
        </w:rPr>
      </w:pPr>
      <w:r>
        <w:rPr>
          <w:rFonts w:ascii="Verdana" w:hAnsi="Verdana" w:cs="Arial"/>
          <w:color w:val="000000"/>
          <w:sz w:val="20"/>
          <w:szCs w:val="20"/>
          <w:lang w:val="sk-SK" w:eastAsia="sk-SK" w:bidi="ar-SA"/>
        </w:rPr>
        <w:t>K podobným pomocným opatreniam sa zaviazali pristúpiť aj vlády ďalších členských štátov Európskej únie. Napríklad Rakúsko sa v rámci 38 miliardového „ochranného štítu" zaviazalo obzvlášť postihnutým podnikom poskytnúť, v období troch po sebe idúcich mesiacov, príspevky na úhradu fixných nákladov, resp. náhradu za tovar podliehajúci skaze. Výška príspevku je odstupňovaná v závislosti od percenta poklesu obratu až do výšky 75 % oprávnených fixných nákladov (</w:t>
      </w:r>
      <w:r>
        <w:rPr>
          <w:rFonts w:ascii="Verdana" w:hAnsi="Verdana"/>
          <w:color w:val="000000"/>
          <w:sz w:val="20"/>
          <w:szCs w:val="20"/>
          <w:lang w:val="sk-SK"/>
        </w:rPr>
        <w:t xml:space="preserve">Dias -  Joyce - </w:t>
      </w:r>
      <w:hyperlink r:id="rId190" w:tgtFrame="_blank" w:tooltip="Find more records by this author" w:history="1">
        <w:r>
          <w:rPr>
            <w:rFonts w:ascii="Verdana" w:hAnsi="Verdana"/>
            <w:color w:val="000000"/>
            <w:sz w:val="20"/>
            <w:szCs w:val="20"/>
            <w:lang w:val="sk-SK"/>
          </w:rPr>
          <w:t>Postel-Vinay</w:t>
        </w:r>
      </w:hyperlink>
      <w:r>
        <w:rPr>
          <w:rFonts w:ascii="Verdana" w:hAnsi="Verdana"/>
          <w:color w:val="000000"/>
          <w:sz w:val="20"/>
          <w:szCs w:val="20"/>
          <w:lang w:val="sk-SK"/>
        </w:rPr>
        <w:t xml:space="preserve"> – Xu, 2020).</w:t>
      </w:r>
    </w:p>
    <w:p w:rsidR="005C3F63" w:rsidRDefault="006536E7">
      <w:pPr>
        <w:shd w:val="clear" w:color="auto" w:fill="FFFFFF"/>
        <w:spacing w:after="120"/>
        <w:rPr>
          <w:rFonts w:ascii="Verdana" w:hAnsi="Verdana" w:cs="Arial"/>
          <w:color w:val="000000"/>
          <w:sz w:val="20"/>
          <w:szCs w:val="20"/>
          <w:lang w:val="sk-SK" w:eastAsia="sk-SK" w:bidi="ar-SA"/>
        </w:rPr>
      </w:pPr>
      <w:r>
        <w:rPr>
          <w:rFonts w:ascii="Verdana" w:hAnsi="Verdana" w:cs="Arial"/>
          <w:color w:val="000000"/>
          <w:sz w:val="20"/>
          <w:szCs w:val="20"/>
          <w:lang w:val="sk-SK" w:eastAsia="sk-SK" w:bidi="ar-SA"/>
        </w:rPr>
        <w:t>Na Slovensku bolo v období karantény potrebné zmeniť a upraviť čerpanie nemocenskej dávky a ošetrovného. V oblasti daní, sociálnych a zdravotných odvodov sa riešilo zjednodušenie administratívnych úkonov a odklad povinných úhrad na zlepšenie peňažných tokov účtovných jednotiek. Ako nástroj na udržanie pracovných miest  sa zaviedol príspevok na mzdu zamestnanca tým zamestnávateľom, ktorí museli svoje prevádzky zatvoriť na základe rozhodnutia štátu, ďalej príspevok na náhradu straty príjmu zo samostatnej zárobkovej činnosti, atď. V apríli 2020 bol vládou schválený aj inštitút tzv. Kurzarbeit.</w:t>
      </w:r>
    </w:p>
    <w:p w:rsidR="005C3F63" w:rsidRDefault="006536E7">
      <w:pPr>
        <w:shd w:val="clear" w:color="auto" w:fill="FFFFFF"/>
        <w:spacing w:after="120"/>
        <w:rPr>
          <w:rFonts w:ascii="Verdana" w:hAnsi="Verdana" w:cs="Arial"/>
          <w:color w:val="000000"/>
          <w:sz w:val="20"/>
          <w:szCs w:val="20"/>
          <w:lang w:val="sk-SK" w:eastAsia="sk-SK" w:bidi="ar-SA"/>
        </w:rPr>
      </w:pPr>
      <w:r>
        <w:rPr>
          <w:rFonts w:ascii="Verdana" w:hAnsi="Verdana" w:cs="Arial"/>
          <w:color w:val="000000"/>
          <w:sz w:val="20"/>
          <w:szCs w:val="20"/>
          <w:lang w:val="sk-SK" w:eastAsia="sk-SK" w:bidi="ar-SA"/>
        </w:rPr>
        <w:t>Na osobitnom zasadnutí Európskej rady 17. - 21. júla 2020 sa lídri EÚ dohodli na ozdravnom balíku a rozpočte sedemročnom rozpočte 2021 - 2027, ktorý pomôže Európsku úniu znovu vybudovať po pandémii a podporí investície do ekologických a digitálnych prechodov vo výške 1,824 bilióna eur. Balík tvorí viacročný finančný rámec (VFR) v hodnote 1 074 miliárd EUR a fond na oživenie hospodárstva (NGEU) v sume 750 miliárd eur, z čoho 390 miliárd eur má byť z grantov a 360 miliárd eur z pôžičiek. (ER, 2020).</w:t>
      </w:r>
    </w:p>
    <w:p w:rsidR="005C3F63" w:rsidRDefault="006536E7">
      <w:pPr>
        <w:shd w:val="clear" w:color="auto" w:fill="FFFFFF"/>
        <w:spacing w:after="120"/>
        <w:rPr>
          <w:rFonts w:ascii="Verdana" w:hAnsi="Verdana" w:cs="Arial"/>
          <w:color w:val="000000"/>
          <w:sz w:val="20"/>
          <w:szCs w:val="20"/>
          <w:lang w:val="sk-SK" w:eastAsia="sk-SK" w:bidi="ar-SA"/>
        </w:rPr>
      </w:pPr>
      <w:r>
        <w:rPr>
          <w:rFonts w:ascii="Verdana" w:hAnsi="Verdana" w:cs="Arial"/>
          <w:color w:val="000000"/>
          <w:sz w:val="20"/>
          <w:szCs w:val="20"/>
          <w:lang w:val="sk-SK" w:eastAsia="sk-SK" w:bidi="ar-SA"/>
        </w:rPr>
        <w:t>Slovensko bude mať k dispozícii z doterajšieho programového obdobia nevyčerpaných osem miliárd eur, z balíka fondu obnovy 7,5 miliardy eur a zo sedemročného rozpočtu EÚ na roky 2021 - 2027 dostane 18,6 miliardy eur. Z fondu obnovy ešte môže Slovensko čerpať pôžičky do výšky 6,8 miliardy eur a vlastné spolufinancovanie projektov je naplánované vo výške 2,9 miliardy eur. (TS, 2020)</w:t>
      </w:r>
    </w:p>
    <w:p w:rsidR="005C3F63" w:rsidRDefault="006536E7">
      <w:pPr>
        <w:shd w:val="clear" w:color="auto" w:fill="FFFFFF"/>
        <w:spacing w:after="120"/>
        <w:rPr>
          <w:rFonts w:ascii="Verdana" w:hAnsi="Verdana" w:cs="Arial"/>
          <w:color w:val="000000"/>
          <w:sz w:val="20"/>
          <w:szCs w:val="20"/>
          <w:lang w:val="sk-SK" w:eastAsia="sk-SK" w:bidi="ar-SA"/>
        </w:rPr>
      </w:pPr>
      <w:r>
        <w:rPr>
          <w:rFonts w:ascii="Verdana" w:hAnsi="Verdana" w:cs="Arial"/>
          <w:color w:val="000000"/>
          <w:sz w:val="20"/>
          <w:szCs w:val="20"/>
          <w:lang w:val="sk-SK" w:eastAsia="sk-SK" w:bidi="ar-SA"/>
        </w:rPr>
        <w:t xml:space="preserve">Opatrenia vlád jednotlivých štátov Európskej únie na podporu vlastných národných ekonomík oslabených koronakrízou vyčíslené v miliardách eur a prostriedky schválené vo fonde na oživenie hospodárstva vo výške ďalších miliárd eur sa môžu nateraz javiť ako dostatočné. </w:t>
      </w:r>
    </w:p>
    <w:p w:rsidR="005C3F63" w:rsidRDefault="006536E7">
      <w:pPr>
        <w:shd w:val="clear" w:color="auto" w:fill="FFFFFF"/>
        <w:spacing w:after="120"/>
        <w:rPr>
          <w:rFonts w:ascii="Verdana" w:hAnsi="Verdana" w:cs="Arial"/>
          <w:color w:val="000000"/>
          <w:sz w:val="20"/>
          <w:szCs w:val="20"/>
          <w:lang w:val="sk-SK" w:eastAsia="sk-SK" w:bidi="ar-SA"/>
        </w:rPr>
      </w:pPr>
      <w:r>
        <w:rPr>
          <w:rFonts w:ascii="Verdana" w:hAnsi="Verdana" w:cs="Arial"/>
          <w:color w:val="000000"/>
          <w:sz w:val="20"/>
          <w:szCs w:val="20"/>
          <w:lang w:val="sk-SK" w:eastAsia="sk-SK" w:bidi="ar-SA"/>
        </w:rPr>
        <w:t xml:space="preserve">Cieľom príspevku bolo navrhnúť riešenia pre rôzne druhy okamžitej ekonomickej i sociálnej pomoci štátu subjektom postihnutým v období pandémie, zvýrazniť obrovský objem prostriedkov, ktoré sa budú vynakladať na oživenie ekonomiky a preskúmať z účtovného hľadiska možnosti prípravy samotných účtovných jednotiek na podobné krízy v budúcnosti, za predpokladu legislatívnej podpory štátu. </w:t>
      </w:r>
    </w:p>
    <w:p w:rsidR="005C3F63" w:rsidRDefault="006536E7">
      <w:pPr>
        <w:spacing w:after="120"/>
        <w:jc w:val="left"/>
        <w:rPr>
          <w:rFonts w:ascii="Verdana" w:hAnsi="Verdana" w:cs="Arial"/>
          <w:bCs/>
          <w:color w:val="000000"/>
          <w:kern w:val="32"/>
          <w:sz w:val="18"/>
          <w:szCs w:val="18"/>
          <w:lang w:val="sk-SK" w:eastAsia="cs-CZ" w:bidi="ar-SA"/>
        </w:rPr>
      </w:pPr>
      <w:r>
        <w:rPr>
          <w:rStyle w:val="KapitolaChar"/>
          <w:color w:val="000000"/>
          <w:lang w:val="cs-CZ"/>
        </w:rPr>
        <w:t>2 Metodológia a zdrojové údaje</w:t>
      </w:r>
      <w:r>
        <w:rPr>
          <w:rStyle w:val="KapitolaChar"/>
          <w:color w:val="000000"/>
          <w:lang w:val="sk-SK"/>
        </w:rPr>
        <w:t xml:space="preserve"> / Methodology and Data</w:t>
      </w:r>
    </w:p>
    <w:p w:rsidR="005C3F63" w:rsidRDefault="006536E7">
      <w:pPr>
        <w:spacing w:after="120"/>
        <w:rPr>
          <w:rFonts w:ascii="Verdana" w:hAnsi="Verdana" w:cs="Arial"/>
          <w:color w:val="000000"/>
          <w:sz w:val="20"/>
          <w:szCs w:val="20"/>
          <w:lang w:val="sk-SK" w:eastAsia="sk-SK" w:bidi="ar-SA"/>
        </w:rPr>
      </w:pPr>
      <w:r>
        <w:rPr>
          <w:rFonts w:ascii="Verdana" w:hAnsi="Verdana" w:cs="Arial"/>
          <w:color w:val="000000"/>
          <w:sz w:val="20"/>
          <w:szCs w:val="20"/>
          <w:lang w:val="sk-SK" w:eastAsia="sk-SK" w:bidi="ar-SA"/>
        </w:rPr>
        <w:t xml:space="preserve">Z vedeckých metód sme použili najmä metódu analýzy a komparácie, a to pri štúdiu dopadov koronakrízy na rôzne subjekty, najmä v postavení zamestnávateľov i zamestnancov ale aj skúmaní reálnej pomoci vybraných štátov najmä vlastnému podnikateľskému sektoru. Východiskom boli opatrenia nemeckej a rakúskej vlády, vzhľadom na najväčší rozsah pomoci a pozitívne skúsenosti uvedených štátov s </w:t>
      </w:r>
      <w:r>
        <w:rPr>
          <w:rFonts w:ascii="Verdana" w:hAnsi="Verdana" w:cs="Arial"/>
          <w:color w:val="000000"/>
          <w:sz w:val="20"/>
          <w:szCs w:val="20"/>
          <w:lang w:val="sk-SK" w:eastAsia="sk-SK" w:bidi="ar-SA"/>
        </w:rPr>
        <w:lastRenderedPageBreak/>
        <w:t>podobnými formami pomoci z minulosti. Medzi najvýznamnejšie považujeme opatrenia na udržanie pracovných miest.</w:t>
      </w:r>
    </w:p>
    <w:p w:rsidR="005C3F63" w:rsidRDefault="006536E7">
      <w:pPr>
        <w:spacing w:after="120"/>
        <w:rPr>
          <w:rFonts w:ascii="Verdana" w:hAnsi="Verdana" w:cs="Arial"/>
          <w:color w:val="000000"/>
          <w:sz w:val="20"/>
          <w:szCs w:val="20"/>
          <w:lang w:val="sk-SK" w:eastAsia="sk-SK"/>
        </w:rPr>
      </w:pPr>
      <w:bookmarkStart w:id="592" w:name="_Hlk46435662"/>
      <w:r>
        <w:rPr>
          <w:rFonts w:ascii="Verdana" w:hAnsi="Verdana" w:cs="Arial"/>
          <w:color w:val="000000"/>
          <w:sz w:val="20"/>
          <w:szCs w:val="20"/>
          <w:lang w:val="sk-SK" w:eastAsia="sk-SK"/>
        </w:rPr>
        <w:t>Pri skúmaní súčasného stavu</w:t>
      </w:r>
      <w:bookmarkEnd w:id="592"/>
      <w:r>
        <w:rPr>
          <w:rFonts w:ascii="Verdana" w:hAnsi="Verdana" w:cs="Arial"/>
          <w:color w:val="000000"/>
          <w:sz w:val="20"/>
          <w:szCs w:val="20"/>
          <w:lang w:val="sk-SK" w:eastAsia="sk-SK"/>
        </w:rPr>
        <w:t xml:space="preserve"> riešenej problematiky, ale hlavne aj z pohľadu  prípravy účtovných jednotiek na už očakávané možné </w:t>
      </w:r>
      <w:r>
        <w:rPr>
          <w:rFonts w:ascii="Verdana" w:hAnsi="Verdana" w:cs="Arial"/>
          <w:color w:val="000000"/>
          <w:sz w:val="20"/>
          <w:szCs w:val="20"/>
          <w:lang w:val="sk-SK" w:eastAsia="sk-SK" w:bidi="ar-SA"/>
        </w:rPr>
        <w:t>„</w:t>
      </w:r>
      <w:r>
        <w:rPr>
          <w:rFonts w:ascii="Verdana" w:hAnsi="Verdana" w:cs="Arial"/>
          <w:color w:val="000000"/>
          <w:sz w:val="20"/>
          <w:szCs w:val="20"/>
          <w:lang w:val="sk-SK" w:eastAsia="sk-SK"/>
        </w:rPr>
        <w:t>pandémie” sme vychádzali z právnych predpisov upravujúcich danú problematiku a odborných článkov, ktoré s danou témou súvisia.</w:t>
      </w:r>
    </w:p>
    <w:p w:rsidR="005C3F63" w:rsidRDefault="006536E7">
      <w:pPr>
        <w:pStyle w:val="Kapitola"/>
        <w:spacing w:before="0"/>
        <w:rPr>
          <w:color w:val="000000"/>
          <w:lang w:val="sk-SK"/>
        </w:rPr>
      </w:pPr>
      <w:r>
        <w:rPr>
          <w:color w:val="000000"/>
          <w:szCs w:val="22"/>
          <w:lang w:val="cs-CZ"/>
        </w:rPr>
        <w:t xml:space="preserve">3 Výsledky a diskusia </w:t>
      </w:r>
      <w:r>
        <w:rPr>
          <w:color w:val="000000"/>
          <w:szCs w:val="22"/>
          <w:lang w:val="sk-SK"/>
        </w:rPr>
        <w:t>/ Results and Discussion</w:t>
      </w:r>
    </w:p>
    <w:p w:rsidR="005C3F63" w:rsidRDefault="006536E7">
      <w:pPr>
        <w:shd w:val="clear" w:color="auto" w:fill="FFFFFF"/>
        <w:spacing w:after="120"/>
        <w:rPr>
          <w:rFonts w:ascii="Verdana" w:hAnsi="Verdana" w:cs="Arial"/>
          <w:color w:val="000000"/>
          <w:sz w:val="20"/>
          <w:szCs w:val="20"/>
          <w:lang w:val="sk-SK" w:eastAsia="sk-SK" w:bidi="ar-SA"/>
        </w:rPr>
      </w:pPr>
      <w:r>
        <w:rPr>
          <w:rFonts w:ascii="Verdana" w:hAnsi="Verdana" w:cs="Arial"/>
          <w:color w:val="000000"/>
          <w:sz w:val="20"/>
          <w:szCs w:val="20"/>
          <w:lang w:val="sk-SK" w:eastAsia="sk-SK" w:bidi="ar-SA"/>
        </w:rPr>
        <w:t>Dnes už vieme, že je potrebné sa na základe získaných skúseností pripraviť aj v oblasti podnikateľskej činnosti, ako jednej  z najvýznamnejších súčastí ekonomiky našej krajiny na prípadné ďalšie podobné riziká (Pakšiová – Kubaščíková, 2014).  V súvislosti s pandémiou koronavírusu sa otvorilo množstvo problémov, ktoré sa v účtovných jednotkách týkali vysporiadania  pohľadávok a záväzkov, nakoľko sa činnosť väčšiny podnikov výrazne obmedzila. Najväčší problém ale vidíme v najdôležitejšej súčasti každého procesu, a tou je ľudský faktor. Mnohé obmedzenia boli v prvom rade zamerané  na znižovanie resp. nevyplácanie miezd zamestnancov a ich následné prepúšťanie. Otázkou teda je ako sa pripraviť (Juhászová – Užík, 2014) aj keď si uvedomujeme, že na druhej strane mnohé podnikateľské subjekty dnes bojujú s obrovskými finančnými problémami a snahou  „preži</w:t>
      </w:r>
      <w:bookmarkStart w:id="593" w:name="_Hlk46573470"/>
      <w:r>
        <w:rPr>
          <w:rFonts w:ascii="Verdana" w:hAnsi="Verdana" w:cs="Arial"/>
          <w:color w:val="000000"/>
          <w:sz w:val="20"/>
          <w:szCs w:val="20"/>
          <w:lang w:val="sk-SK" w:eastAsia="sk-SK" w:bidi="ar-SA"/>
        </w:rPr>
        <w:t>ť”</w:t>
      </w:r>
      <w:bookmarkEnd w:id="593"/>
      <w:r>
        <w:rPr>
          <w:rFonts w:ascii="Verdana" w:hAnsi="Verdana" w:cs="Arial"/>
          <w:color w:val="000000"/>
          <w:sz w:val="20"/>
          <w:szCs w:val="20"/>
          <w:lang w:val="sk-SK" w:eastAsia="sk-SK" w:bidi="ar-SA"/>
        </w:rPr>
        <w:t xml:space="preserve"> toto ťažké obdobie. Musíme si uvedomiť, že taká rozsiahla finančná podpora jednak zo strany štátu a jednak zo zdrojov Európskej únie aká je k dispozícii v súčasnosti, nemusí byť k dispozícii v budúcnosti.</w:t>
      </w:r>
    </w:p>
    <w:p w:rsidR="005C3F63" w:rsidRDefault="006536E7">
      <w:pPr>
        <w:shd w:val="clear" w:color="auto" w:fill="FFFFFF"/>
        <w:spacing w:before="120" w:after="120"/>
        <w:rPr>
          <w:rFonts w:ascii="Verdana" w:hAnsi="Verdana" w:cs="Arial"/>
          <w:color w:val="000000"/>
          <w:sz w:val="20"/>
          <w:szCs w:val="20"/>
          <w:lang w:val="sk-SK" w:eastAsia="sk-SK" w:bidi="ar-SA"/>
        </w:rPr>
      </w:pPr>
      <w:r>
        <w:rPr>
          <w:rFonts w:ascii="Verdana" w:hAnsi="Verdana" w:cs="Arial"/>
          <w:color w:val="000000"/>
          <w:sz w:val="20"/>
          <w:szCs w:val="20"/>
          <w:lang w:val="sk-SK" w:eastAsia="sk-SK" w:bidi="ar-SA"/>
        </w:rPr>
        <w:t xml:space="preserve">Podľa nášho názoru by bolo vhodné aby sa účtovné jednotky, akonáhle sa budú schopné vrátiť  k pôvodnej podnikateľskej činnosti,  pripravili na možné,  v budúcnosti </w:t>
      </w:r>
      <w:bookmarkStart w:id="594" w:name="_Hlk46594497"/>
      <w:r>
        <w:rPr>
          <w:rFonts w:ascii="Verdana" w:hAnsi="Verdana" w:cs="Arial"/>
          <w:color w:val="000000"/>
          <w:sz w:val="20"/>
          <w:szCs w:val="20"/>
          <w:lang w:val="sk-SK" w:eastAsia="sk-SK" w:bidi="ar-SA"/>
        </w:rPr>
        <w:t>„</w:t>
      </w:r>
      <w:bookmarkEnd w:id="594"/>
      <w:r>
        <w:rPr>
          <w:rFonts w:ascii="Verdana" w:hAnsi="Verdana" w:cs="Arial"/>
          <w:color w:val="000000"/>
          <w:sz w:val="20"/>
          <w:szCs w:val="20"/>
          <w:lang w:val="sk-SK" w:eastAsia="sk-SK" w:bidi="ar-SA"/>
        </w:rPr>
        <w:t>očakávané riziká a straty</w:t>
      </w:r>
      <w:bookmarkStart w:id="595" w:name="_Hlk46594257"/>
      <w:r>
        <w:rPr>
          <w:rFonts w:ascii="Verdana" w:hAnsi="Verdana" w:cs="Arial"/>
          <w:color w:val="000000"/>
          <w:sz w:val="20"/>
          <w:szCs w:val="20"/>
          <w:lang w:val="sk-SK" w:eastAsia="sk-SK" w:bidi="ar-SA"/>
        </w:rPr>
        <w:t>”</w:t>
      </w:r>
      <w:bookmarkEnd w:id="595"/>
      <w:r>
        <w:rPr>
          <w:rFonts w:ascii="Verdana" w:hAnsi="Verdana" w:cs="Arial"/>
          <w:color w:val="000000"/>
          <w:sz w:val="20"/>
          <w:szCs w:val="20"/>
          <w:lang w:val="sk-SK" w:eastAsia="sk-SK" w:bidi="ar-SA"/>
        </w:rPr>
        <w:t xml:space="preserve"> v súvislosti so šírením ochorenia v globálnom, či lokálnom rozsahu. </w:t>
      </w:r>
    </w:p>
    <w:p w:rsidR="005C3F63" w:rsidRDefault="006536E7">
      <w:pPr>
        <w:shd w:val="clear" w:color="auto" w:fill="FFFFFF"/>
        <w:spacing w:before="120" w:after="120"/>
        <w:rPr>
          <w:rFonts w:ascii="Verdana" w:hAnsi="Verdana" w:cs="Arial"/>
          <w:color w:val="000000"/>
          <w:sz w:val="20"/>
          <w:szCs w:val="20"/>
          <w:lang w:val="sk-SK" w:eastAsia="sk-SK" w:bidi="ar-SA"/>
        </w:rPr>
      </w:pPr>
      <w:r>
        <w:rPr>
          <w:rFonts w:ascii="Verdana" w:hAnsi="Verdana" w:cs="Arial"/>
          <w:color w:val="000000"/>
          <w:sz w:val="20"/>
          <w:szCs w:val="20"/>
          <w:lang w:val="sk-SK" w:eastAsia="sk-SK" w:bidi="ar-SA"/>
        </w:rPr>
        <w:t>Keďže opatrnosť – ako rozumný odhad krokov, ktoré majú zabrániť prenášaniu rizík a strát do budúcnosti, je v účtovníctve podstatou základnej všeobecne uznávanej účtovnej zásady – zásady opatrnosti (Šlosárová et al.,2011) a podľa § 19 ods. 1 postupov účtovania pre podnikateľov sa na základe zásady opatrnosti na riziká a straty tvoria rezervy, jednou z možností, by bola pre účtovné jednotky tvorba rezervy.  Pri tvorbe a použití rezerv na očakávané riziká v súvislosti s „pandémiou” je potrebné vziať do úvahy nasledujúce východiská:</w:t>
      </w:r>
    </w:p>
    <w:p w:rsidR="005C3F63" w:rsidRDefault="006536E7">
      <w:pPr>
        <w:pStyle w:val="Default"/>
        <w:jc w:val="both"/>
        <w:rPr>
          <w:rFonts w:ascii="Verdana" w:eastAsia="Times New Roman" w:hAnsi="Verdana" w:cs="Arial"/>
          <w:sz w:val="20"/>
          <w:szCs w:val="20"/>
        </w:rPr>
      </w:pPr>
      <w:r>
        <w:rPr>
          <w:rFonts w:ascii="Verdana" w:eastAsia="Times New Roman" w:hAnsi="Verdana" w:cs="Arial"/>
          <w:bCs/>
          <w:kern w:val="32"/>
          <w:sz w:val="20"/>
          <w:szCs w:val="20"/>
        </w:rPr>
        <w:t>Rezervy sú podľa § 26 ods. 5 zákona o účtovníctve definované ako záväzky s neistým časovým vymedzením alebo výškou. Pre rezervy je charakteristické, že vecný obsah, teda účel ich tvorby a použitia je známy (nesmú sa vytvárať bezúčelové rezervy), časové vymedzenie môže byť isté alebo neisté a výška môže byť istá (ocení sa menovitou hodnotou záväzku) alebo neistá (</w:t>
      </w:r>
      <w:bookmarkStart w:id="596" w:name="_Hlk46588272"/>
      <w:r>
        <w:rPr>
          <w:rFonts w:ascii="Verdana" w:eastAsia="Times New Roman" w:hAnsi="Verdana" w:cs="Arial"/>
          <w:bCs/>
          <w:kern w:val="32"/>
          <w:sz w:val="20"/>
          <w:szCs w:val="20"/>
        </w:rPr>
        <w:t>stanoví sa odhadom</w:t>
      </w:r>
      <w:bookmarkEnd w:id="596"/>
      <w:r>
        <w:rPr>
          <w:rFonts w:ascii="Verdana" w:eastAsia="Times New Roman" w:hAnsi="Verdana" w:cs="Arial"/>
          <w:bCs/>
          <w:kern w:val="32"/>
          <w:sz w:val="20"/>
          <w:szCs w:val="20"/>
        </w:rPr>
        <w:t xml:space="preserve">). Pri stanovení výšky rezervy odhadom môže účtovná jednotka vychádzať z uzatvorených zmlúv, rozpočtov, prepočtov, skúseností a poistno-matematických metód (napr. pri tvorbe rezerv na vyplácanie odchodného) a hodnota týchto rezerv sa upravuje na ich hodnotu v čase účtovania a vykazovania. Oceňovanie rezerv v účtovníctve a v účtovnej závierke na základe dostupných informácií odhadom neznamená zníženie vierohodnosti uvádzaných súm (Podmanická, 2014), </w:t>
      </w:r>
      <w:r>
        <w:rPr>
          <w:rFonts w:ascii="Verdana" w:eastAsia="Times New Roman" w:hAnsi="Verdana" w:cs="Arial"/>
          <w:sz w:val="20"/>
          <w:szCs w:val="20"/>
        </w:rPr>
        <w:t xml:space="preserve">avšak ak účtovná jednotka zistí nové skutočnosti musí upraviť pôvodne odhadované sumy. </w:t>
      </w:r>
      <w:r>
        <w:rPr>
          <w:rFonts w:ascii="Verdana" w:eastAsia="Times New Roman" w:hAnsi="Verdana" w:cs="Arial"/>
          <w:bCs/>
          <w:kern w:val="32"/>
          <w:sz w:val="20"/>
          <w:szCs w:val="20"/>
        </w:rPr>
        <w:t xml:space="preserve">Výška rezervy sa môže posúdiť a stanoviť individuálne alebo paušálne, ak sa rezerva viaže k veľkému množstvu nákladov rovnakého druhu. Slovenská právna úprava účtovníctva rozlišuje z časového hľadiska rezervy krátkodobé a dlhodobé. </w:t>
      </w:r>
      <w:r>
        <w:rPr>
          <w:rFonts w:ascii="Verdana" w:eastAsia="Times New Roman" w:hAnsi="Verdana" w:cs="Arial"/>
          <w:sz w:val="20"/>
          <w:szCs w:val="20"/>
        </w:rPr>
        <w:t>(Sklenka – Šlosárová – Hornická – Blahušiaková, 2016).</w:t>
      </w:r>
    </w:p>
    <w:p w:rsidR="005C3F63" w:rsidRDefault="005C3F63">
      <w:pPr>
        <w:pStyle w:val="Default"/>
        <w:jc w:val="both"/>
        <w:rPr>
          <w:rFonts w:ascii="Verdana" w:eastAsia="Times New Roman" w:hAnsi="Verdana" w:cs="Arial"/>
          <w:bCs/>
          <w:kern w:val="32"/>
          <w:sz w:val="20"/>
          <w:szCs w:val="20"/>
        </w:rPr>
      </w:pPr>
    </w:p>
    <w:p w:rsidR="005C3F63" w:rsidRDefault="006536E7">
      <w:pPr>
        <w:shd w:val="clear" w:color="auto" w:fill="FFFFFF"/>
        <w:rPr>
          <w:rFonts w:ascii="Verdana" w:hAnsi="Verdana" w:cs="Arial"/>
          <w:color w:val="000000"/>
          <w:sz w:val="20"/>
          <w:szCs w:val="20"/>
          <w:lang w:val="sk-SK" w:eastAsia="sk-SK" w:bidi="ar-SA"/>
        </w:rPr>
      </w:pPr>
      <w:bookmarkStart w:id="597" w:name="_Hlk46603345"/>
      <w:r>
        <w:rPr>
          <w:rFonts w:ascii="Verdana" w:hAnsi="Verdana" w:cs="Arial"/>
          <w:color w:val="000000"/>
          <w:sz w:val="20"/>
          <w:szCs w:val="20"/>
          <w:lang w:val="sk-SK" w:eastAsia="sk-SK" w:bidi="ar-SA"/>
        </w:rPr>
        <w:t>Postupy účtovania pre podnikateľov v § 19</w:t>
      </w:r>
      <w:bookmarkEnd w:id="597"/>
      <w:r>
        <w:rPr>
          <w:rFonts w:ascii="Verdana" w:hAnsi="Verdana" w:cs="Arial"/>
          <w:color w:val="000000"/>
          <w:sz w:val="20"/>
          <w:szCs w:val="20"/>
          <w:lang w:val="sk-SK" w:eastAsia="sk-SK" w:bidi="ar-SA"/>
        </w:rPr>
        <w:t xml:space="preserve"> ods. 7 konkretizujú v bodoch a) až x)  vecný obsah tvorby rezerv (účel), ktorý vyplýva:</w:t>
      </w:r>
    </w:p>
    <w:p w:rsidR="005C3F63" w:rsidRDefault="006536E7">
      <w:pPr>
        <w:pStyle w:val="Default"/>
        <w:numPr>
          <w:ilvl w:val="0"/>
          <w:numId w:val="23"/>
        </w:numPr>
        <w:ind w:left="284" w:hanging="284"/>
        <w:jc w:val="both"/>
        <w:rPr>
          <w:rFonts w:ascii="Verdana" w:eastAsia="Times New Roman" w:hAnsi="Verdana" w:cs="Arial"/>
          <w:bCs/>
          <w:kern w:val="32"/>
          <w:sz w:val="20"/>
          <w:szCs w:val="20"/>
        </w:rPr>
      </w:pPr>
      <w:r>
        <w:rPr>
          <w:rFonts w:ascii="Verdana" w:eastAsia="Times New Roman" w:hAnsi="Verdana" w:cs="Arial"/>
          <w:bCs/>
          <w:kern w:val="32"/>
          <w:sz w:val="20"/>
          <w:szCs w:val="20"/>
        </w:rPr>
        <w:t>z povinností stanovených všeobecne záväznými právnymi predpismi alebo </w:t>
      </w:r>
    </w:p>
    <w:p w:rsidR="005C3F63" w:rsidRDefault="006536E7">
      <w:pPr>
        <w:pStyle w:val="Default"/>
        <w:numPr>
          <w:ilvl w:val="0"/>
          <w:numId w:val="23"/>
        </w:numPr>
        <w:ind w:left="284" w:hanging="284"/>
        <w:jc w:val="both"/>
        <w:rPr>
          <w:rFonts w:ascii="Verdana" w:eastAsia="Times New Roman" w:hAnsi="Verdana" w:cs="Arial"/>
          <w:bCs/>
          <w:kern w:val="32"/>
          <w:sz w:val="20"/>
          <w:szCs w:val="20"/>
        </w:rPr>
      </w:pPr>
      <w:r>
        <w:rPr>
          <w:rFonts w:ascii="Verdana" w:eastAsia="Times New Roman" w:hAnsi="Verdana" w:cs="Arial"/>
          <w:bCs/>
          <w:kern w:val="32"/>
          <w:sz w:val="20"/>
          <w:szCs w:val="20"/>
        </w:rPr>
        <w:t>z uzavretých zmlúv alebo</w:t>
      </w:r>
    </w:p>
    <w:p w:rsidR="005C3F63" w:rsidRDefault="006536E7">
      <w:pPr>
        <w:pStyle w:val="Default"/>
        <w:numPr>
          <w:ilvl w:val="0"/>
          <w:numId w:val="23"/>
        </w:numPr>
        <w:ind w:left="284" w:hanging="284"/>
        <w:jc w:val="both"/>
        <w:rPr>
          <w:rFonts w:ascii="Verdana" w:eastAsia="Times New Roman" w:hAnsi="Verdana" w:cs="Arial"/>
          <w:bCs/>
          <w:kern w:val="32"/>
          <w:sz w:val="20"/>
          <w:szCs w:val="20"/>
        </w:rPr>
      </w:pPr>
      <w:r>
        <w:rPr>
          <w:rFonts w:ascii="Verdana" w:hAnsi="Verdana" w:cs="Arial"/>
          <w:bCs/>
          <w:kern w:val="32"/>
          <w:sz w:val="20"/>
          <w:szCs w:val="20"/>
        </w:rPr>
        <w:t>z </w:t>
      </w:r>
      <w:r>
        <w:rPr>
          <w:rFonts w:ascii="Verdana" w:hAnsi="Verdana" w:cs="Arial"/>
          <w:sz w:val="20"/>
          <w:szCs w:val="20"/>
        </w:rPr>
        <w:t>dobrovoľného rozhodnutia účtovnej jednotky.</w:t>
      </w:r>
    </w:p>
    <w:p w:rsidR="005C3F63" w:rsidRDefault="006536E7">
      <w:pPr>
        <w:pStyle w:val="Default"/>
        <w:jc w:val="both"/>
        <w:rPr>
          <w:rFonts w:ascii="Verdana" w:eastAsia="Times New Roman" w:hAnsi="Verdana" w:cs="Arial"/>
          <w:bCs/>
          <w:kern w:val="32"/>
          <w:sz w:val="20"/>
          <w:szCs w:val="20"/>
        </w:rPr>
      </w:pPr>
      <w:r>
        <w:rPr>
          <w:rFonts w:ascii="Verdana" w:eastAsia="Times New Roman" w:hAnsi="Verdana" w:cs="Arial"/>
          <w:bCs/>
          <w:kern w:val="32"/>
          <w:sz w:val="20"/>
          <w:szCs w:val="20"/>
        </w:rPr>
        <w:t>Rezervy vymedzené postupmi</w:t>
      </w:r>
      <w:r>
        <w:rPr>
          <w:rFonts w:ascii="Verdana" w:hAnsi="Verdana" w:cs="Arial"/>
          <w:sz w:val="20"/>
          <w:szCs w:val="20"/>
        </w:rPr>
        <w:t xml:space="preserve"> účtovania pre podnikateľov v § 19, </w:t>
      </w:r>
      <w:r>
        <w:rPr>
          <w:rFonts w:ascii="Verdana" w:eastAsia="Times New Roman" w:hAnsi="Verdana" w:cs="Arial"/>
          <w:bCs/>
          <w:kern w:val="32"/>
          <w:sz w:val="20"/>
          <w:szCs w:val="20"/>
        </w:rPr>
        <w:t xml:space="preserve">podľa účelu na ktorý sa tvoria, </w:t>
      </w:r>
      <w:r>
        <w:rPr>
          <w:rFonts w:ascii="Verdana" w:hAnsi="Verdana" w:cs="Arial"/>
          <w:sz w:val="20"/>
          <w:szCs w:val="20"/>
        </w:rPr>
        <w:t>možno rozlíšiť aj podľa toho, či sa pri ich účtovaní uplatňuje súvahový alebo výsledkový princíp.</w:t>
      </w:r>
    </w:p>
    <w:p w:rsidR="005C3F63" w:rsidRDefault="006536E7">
      <w:pPr>
        <w:shd w:val="clear" w:color="auto" w:fill="FFFFFF"/>
        <w:spacing w:before="120" w:after="120"/>
        <w:rPr>
          <w:rFonts w:ascii="Verdana" w:hAnsi="Verdana" w:cs="Arial"/>
          <w:bCs/>
          <w:color w:val="000000"/>
          <w:kern w:val="32"/>
          <w:sz w:val="20"/>
          <w:szCs w:val="20"/>
          <w:lang w:val="sk-SK"/>
        </w:rPr>
      </w:pPr>
      <w:r>
        <w:rPr>
          <w:rFonts w:ascii="Verdana" w:hAnsi="Verdana" w:cs="Arial"/>
          <w:color w:val="000000"/>
          <w:sz w:val="20"/>
          <w:szCs w:val="20"/>
          <w:lang w:val="sk-SK" w:eastAsia="sk-SK" w:bidi="ar-SA"/>
        </w:rPr>
        <w:lastRenderedPageBreak/>
        <w:t>Súčasný zákon o dani z príjmov v § 20 ods. 9 uznáva tvorbu rezervy účtovanú ako náklad za</w:t>
      </w:r>
      <w:r>
        <w:rPr>
          <w:rFonts w:ascii="Verdana" w:hAnsi="Verdana" w:cs="Arial"/>
          <w:bCs/>
          <w:color w:val="000000"/>
          <w:kern w:val="32"/>
          <w:sz w:val="20"/>
          <w:szCs w:val="20"/>
          <w:lang w:val="sk-SK"/>
        </w:rPr>
        <w:t xml:space="preserve"> daňový výdavok v bodoch a) až f). Ďalej daňovo uznáva náklady na ktoré sa viaže čerpanie rezervy v § 19, hoci jej tvorbu ako daňový výdavok neuznáva. </w:t>
      </w:r>
    </w:p>
    <w:p w:rsidR="005C3F63" w:rsidRDefault="006536E7">
      <w:pPr>
        <w:pStyle w:val="Default"/>
        <w:spacing w:after="120"/>
        <w:jc w:val="both"/>
        <w:rPr>
          <w:rFonts w:ascii="Verdana" w:eastAsia="Times New Roman" w:hAnsi="Verdana" w:cs="Arial"/>
          <w:bCs/>
          <w:kern w:val="32"/>
          <w:sz w:val="20"/>
          <w:szCs w:val="20"/>
        </w:rPr>
      </w:pPr>
      <w:r>
        <w:rPr>
          <w:rFonts w:ascii="Verdana" w:eastAsia="Times New Roman" w:hAnsi="Verdana" w:cs="Arial"/>
          <w:bCs/>
          <w:kern w:val="32"/>
          <w:sz w:val="20"/>
          <w:szCs w:val="20"/>
        </w:rPr>
        <w:t>Pretože účtovná jednotka nesmie tvoriť a ani účtovať o žiadnej rezerve v rozpore s ustanoveniami zákona o účtovníctve a postupov účtovania, navrhujeme aby bola možnosť tvorby rezervy na účel vysporiadania záväzkov počas pandémie  zakotvená v legislatíve. Dlhodobá rezerva by sa podľa nášho názoru mala vytvoriť vo výške trojnásobku priemerných mesačných prevádzkových nákladov vyčíslených z vnútroorganizačného účtovníctva. Rezerva by mala byť vytvorená na ťarchu nákladov, ktoré by mali byť aj daňovo uznaným  výdavkom. Do účtového rozvrhu by si mohla účtovná jednotka vložiť nový účet napr. 454 - Rezerva na zabezpečenie.</w:t>
      </w:r>
    </w:p>
    <w:p w:rsidR="005C3F63" w:rsidRDefault="006536E7">
      <w:pPr>
        <w:pStyle w:val="Default"/>
        <w:jc w:val="both"/>
        <w:rPr>
          <w:rFonts w:ascii="Verdana" w:eastAsia="Times New Roman" w:hAnsi="Verdana" w:cs="Arial"/>
          <w:bCs/>
          <w:kern w:val="32"/>
          <w:sz w:val="20"/>
          <w:szCs w:val="20"/>
        </w:rPr>
      </w:pPr>
      <w:r>
        <w:rPr>
          <w:rFonts w:ascii="Verdana" w:eastAsia="Times New Roman" w:hAnsi="Verdana" w:cs="Arial"/>
          <w:bCs/>
          <w:kern w:val="32"/>
          <w:sz w:val="20"/>
          <w:szCs w:val="20"/>
        </w:rPr>
        <w:t>Z vlastných zdrojov by bolo vhodné použiť novovytvorený fond zo zisku, ktorý by sa tvoril vo výške stanoveného percenta z účtovného zisku a čerpal by sa v období krízového obdobia, napr. pandémie. Účtovná jednotka by si do účtového rozvrhu mohla doplniť účet napr. 424 - Zabezpečovací  fond. Bolo by potrebné mať výšku fondu resp. rezervy  krytú aj  peňažnými prostriedkami. Dividendy by sa vyplácali až po doplnení fondu resp. vytvorenej rezervy.</w:t>
      </w:r>
    </w:p>
    <w:p w:rsidR="005C3F63" w:rsidRDefault="006536E7">
      <w:pPr>
        <w:pStyle w:val="Kapitola"/>
        <w:rPr>
          <w:color w:val="000000"/>
          <w:lang w:val="sk-SK"/>
        </w:rPr>
      </w:pPr>
      <w:r>
        <w:rPr>
          <w:color w:val="000000"/>
          <w:lang w:val="cs-CZ"/>
        </w:rPr>
        <w:t xml:space="preserve">Záver </w:t>
      </w:r>
      <w:r>
        <w:rPr>
          <w:color w:val="000000"/>
          <w:lang w:val="sk-SK"/>
        </w:rPr>
        <w:t>/ Conclusions</w:t>
      </w:r>
    </w:p>
    <w:p w:rsidR="005C3F63" w:rsidRDefault="006536E7">
      <w:pPr>
        <w:pStyle w:val="Kapitola"/>
        <w:jc w:val="both"/>
        <w:rPr>
          <w:b w:val="0"/>
          <w:color w:val="000000"/>
          <w:sz w:val="20"/>
          <w:szCs w:val="20"/>
          <w:lang w:val="cs-CZ"/>
        </w:rPr>
      </w:pPr>
      <w:r>
        <w:rPr>
          <w:b w:val="0"/>
          <w:color w:val="000000"/>
          <w:sz w:val="20"/>
          <w:szCs w:val="20"/>
          <w:lang w:val="cs-CZ"/>
        </w:rPr>
        <w:t>V príspevku sme chceli poukázať na súčasné problémy, ktoré vznikli v súvislosti s pandémiou Covid – 19. Spomínaná problematika sa týka veľkého počtu krajín, ale každá krajina má vytvorené iné podmienky ako sa s touto vážnou problematikou vysporiadať, na čo sme sa snažili aj v príspevku poukázať. Uvádzame pomoc Európskej únie svojim členom ako aj pomoc dvoch vyspelých krajín osobitne Nemecka a Rakúska svojim podnikateľským subjektom. Musíme si uvedomiť, že pomoc je poskytnutá hlavne štátom, bankami, ale aj inými inštitúciami v dvoch oblastiach a to v ekonomickej oblasti a v sociálnej oblasti. V príspevku sme sa zaoberali skúmaním na možnosť opakujúcej sa pandémie, ale z pohľadu účtovnej jednotky. Je potrebná príprava aj účtovných a daňových predpisov, ktoré by mali pomôcť prekonať vážnu situáciu pre podnikateľské subjekty a to hlavne so zameraním na zamestnancov. Zvyšovanie nezamestnanosti len súčasnú ekonomickú situáciu zhoršuje, aj keď je predpoklad, že po čase podnikateľské subjekty budú hladať nových zamestnancov na základe výberových konaní, preškolení, čím im v súvislosti s hľadaním nových zamestnancov môžu stúpať náklady. Bolo by preto možno výhodnejšie aj keď za iných podmienok viac u nás využiť „KURZARBEIT</w:t>
      </w:r>
      <w:r>
        <w:rPr>
          <w:color w:val="000000"/>
          <w:sz w:val="20"/>
          <w:szCs w:val="20"/>
          <w:lang w:val="sk-SK" w:eastAsia="sk-SK"/>
        </w:rPr>
        <w:t>”</w:t>
      </w:r>
      <w:r>
        <w:rPr>
          <w:b w:val="0"/>
          <w:color w:val="000000"/>
          <w:sz w:val="20"/>
          <w:szCs w:val="20"/>
          <w:lang w:val="cs-CZ"/>
        </w:rPr>
        <w:t>. Navrhujeme, aby štát z daňového hľadiska podporil účtovné jednotky pri tvorbe dlhodobej rezervy ako daňovo uznaný náklad na už „očakávanú pandémiu“.  Podnikatelia by mali uprednostniť aj tvorbu vlastných zdrojov – fondu zo zisku, ktorý by sa čerpal v období pandémie.Bolo by vhodné doplniť prípadné novelizácie či už v oblasti účtovníctva, daní alebo pracovno právnych vzťahov a odvodových povinností, uzákoniť ich k 1.1. a nie počas účtovného kalendárneho obdobia.</w:t>
      </w:r>
    </w:p>
    <w:p w:rsidR="005C3F63" w:rsidRDefault="006536E7">
      <w:pPr>
        <w:pStyle w:val="Kapitola"/>
        <w:rPr>
          <w:color w:val="000000"/>
          <w:lang w:val="sk-SK"/>
        </w:rPr>
      </w:pPr>
      <w:r>
        <w:rPr>
          <w:color w:val="000000"/>
          <w:lang w:val="cs-CZ"/>
        </w:rPr>
        <w:t>Literárne zdroje a iné odkazy</w:t>
      </w:r>
      <w:r>
        <w:rPr>
          <w:color w:val="000000"/>
          <w:lang w:val="sk-SK"/>
        </w:rPr>
        <w:t xml:space="preserve"> / References</w:t>
      </w:r>
    </w:p>
    <w:p w:rsidR="005C3F63" w:rsidRDefault="006536E7">
      <w:pPr>
        <w:pStyle w:val="1"/>
        <w:shd w:val="clear" w:color="auto" w:fill="FFFFFF"/>
        <w:spacing w:before="0" w:after="0"/>
        <w:jc w:val="both"/>
        <w:rPr>
          <w:rFonts w:eastAsia="MS Mincho"/>
          <w:b w:val="0"/>
          <w:bCs w:val="0"/>
          <w:color w:val="000000"/>
          <w:kern w:val="2"/>
          <w:sz w:val="20"/>
          <w:szCs w:val="20"/>
          <w:lang w:eastAsia="ja-JP"/>
        </w:rPr>
      </w:pPr>
      <w:r>
        <w:rPr>
          <w:rFonts w:eastAsia="MS Mincho"/>
          <w:b w:val="0"/>
          <w:bCs w:val="0"/>
          <w:color w:val="000000"/>
          <w:kern w:val="2"/>
          <w:sz w:val="20"/>
          <w:szCs w:val="20"/>
          <w:lang w:eastAsia="ja-JP"/>
        </w:rPr>
        <w:t>BMF-Monatsbericht (2020). Schlaglicht Corona-Hilfen: Mit al</w:t>
      </w:r>
      <w:r>
        <w:rPr>
          <w:rFonts w:eastAsia="MS Mincho"/>
          <w:b w:val="0"/>
          <w:bCs w:val="0"/>
          <w:color w:val="000000"/>
          <w:kern w:val="2"/>
          <w:sz w:val="20"/>
          <w:szCs w:val="20"/>
          <w:lang w:eastAsia="ja-JP"/>
        </w:rPr>
        <w:softHyphen/>
        <w:t>ler Kraft ge</w:t>
      </w:r>
      <w:r>
        <w:rPr>
          <w:rFonts w:eastAsia="MS Mincho"/>
          <w:b w:val="0"/>
          <w:bCs w:val="0"/>
          <w:color w:val="000000"/>
          <w:kern w:val="2"/>
          <w:sz w:val="20"/>
          <w:szCs w:val="20"/>
          <w:lang w:eastAsia="ja-JP"/>
        </w:rPr>
        <w:softHyphen/>
        <w:t>gen die Co</w:t>
      </w:r>
      <w:r>
        <w:rPr>
          <w:rFonts w:eastAsia="MS Mincho"/>
          <w:b w:val="0"/>
          <w:bCs w:val="0"/>
          <w:color w:val="000000"/>
          <w:kern w:val="2"/>
          <w:sz w:val="20"/>
          <w:szCs w:val="20"/>
          <w:lang w:eastAsia="ja-JP"/>
        </w:rPr>
        <w:softHyphen/>
        <w:t>ro</w:t>
      </w:r>
      <w:r>
        <w:rPr>
          <w:rFonts w:eastAsia="MS Mincho"/>
          <w:b w:val="0"/>
          <w:bCs w:val="0"/>
          <w:color w:val="000000"/>
          <w:kern w:val="2"/>
          <w:sz w:val="20"/>
          <w:szCs w:val="20"/>
          <w:lang w:eastAsia="ja-JP"/>
        </w:rPr>
        <w:softHyphen/>
        <w:t>na-Kri</w:t>
      </w:r>
      <w:r>
        <w:rPr>
          <w:rFonts w:eastAsia="MS Mincho"/>
          <w:b w:val="0"/>
          <w:bCs w:val="0"/>
          <w:color w:val="000000"/>
          <w:kern w:val="2"/>
          <w:sz w:val="20"/>
          <w:szCs w:val="20"/>
          <w:lang w:eastAsia="ja-JP"/>
        </w:rPr>
        <w:softHyphen/>
        <w:t>se - Schutz</w:t>
      </w:r>
      <w:r>
        <w:rPr>
          <w:rFonts w:eastAsia="MS Mincho"/>
          <w:b w:val="0"/>
          <w:bCs w:val="0"/>
          <w:color w:val="000000"/>
          <w:kern w:val="2"/>
          <w:sz w:val="20"/>
          <w:szCs w:val="20"/>
          <w:lang w:eastAsia="ja-JP"/>
        </w:rPr>
        <w:softHyphen/>
        <w:t>schild für Deutsch</w:t>
      </w:r>
      <w:r>
        <w:rPr>
          <w:rFonts w:eastAsia="MS Mincho"/>
          <w:b w:val="0"/>
          <w:bCs w:val="0"/>
          <w:color w:val="000000"/>
          <w:kern w:val="2"/>
          <w:sz w:val="20"/>
          <w:szCs w:val="20"/>
          <w:lang w:eastAsia="ja-JP"/>
        </w:rPr>
        <w:softHyphen/>
        <w:t>land. Retrieved from:</w:t>
      </w:r>
      <w:bookmarkStart w:id="598" w:name="_Hlk46581397"/>
      <w:r>
        <w:rPr>
          <w:rFonts w:eastAsia="MS Mincho"/>
          <w:b w:val="0"/>
          <w:bCs w:val="0"/>
          <w:color w:val="000000"/>
          <w:kern w:val="2"/>
          <w:sz w:val="20"/>
          <w:szCs w:val="20"/>
          <w:lang w:eastAsia="ja-JP"/>
        </w:rPr>
        <w:t xml:space="preserve"> </w:t>
      </w:r>
      <w:bookmarkEnd w:id="598"/>
      <w:r>
        <w:rPr>
          <w:rFonts w:eastAsia="MS Mincho"/>
          <w:b w:val="0"/>
          <w:bCs w:val="0"/>
          <w:color w:val="000000"/>
          <w:kern w:val="2"/>
          <w:sz w:val="20"/>
          <w:szCs w:val="20"/>
          <w:lang w:eastAsia="ja-JP"/>
        </w:rPr>
        <w:fldChar w:fldCharType="begin"/>
      </w:r>
      <w:r>
        <w:rPr>
          <w:rFonts w:eastAsia="MS Mincho"/>
          <w:b w:val="0"/>
          <w:bCs w:val="0"/>
          <w:color w:val="000000"/>
          <w:kern w:val="2"/>
          <w:sz w:val="20"/>
          <w:szCs w:val="20"/>
          <w:lang w:eastAsia="ja-JP"/>
        </w:rPr>
        <w:instrText xml:space="preserve"> HYPERLINK "https://www.bundesfinanzministerium.de/Monatsberichte/2020/04/Inhalte/Kapitel-2b-Schlaglicht/2b-Mit-aller-Kraft-gegen-Corona-Krise.html" </w:instrText>
      </w:r>
      <w:r>
        <w:rPr>
          <w:rFonts w:eastAsia="MS Mincho"/>
          <w:b w:val="0"/>
          <w:bCs w:val="0"/>
          <w:color w:val="000000"/>
          <w:kern w:val="2"/>
          <w:sz w:val="20"/>
          <w:szCs w:val="20"/>
          <w:lang w:eastAsia="ja-JP"/>
        </w:rPr>
        <w:fldChar w:fldCharType="separate"/>
      </w:r>
      <w:r>
        <w:rPr>
          <w:rFonts w:eastAsia="MS Mincho"/>
          <w:b w:val="0"/>
          <w:bCs w:val="0"/>
          <w:color w:val="000000"/>
          <w:kern w:val="2"/>
          <w:sz w:val="20"/>
          <w:szCs w:val="20"/>
          <w:lang w:eastAsia="ja-JP"/>
        </w:rPr>
        <w:t>https://www.bundesfinanzministerium.de</w:t>
      </w:r>
      <w:bookmarkStart w:id="599" w:name="_Hlt46581353"/>
      <w:bookmarkStart w:id="600" w:name="_Hlt46581354"/>
      <w:bookmarkStart w:id="601" w:name="_Hlt46581369"/>
      <w:bookmarkStart w:id="602" w:name="_Hlt46581370"/>
      <w:bookmarkStart w:id="603" w:name="_Hlt46581355"/>
      <w:bookmarkEnd w:id="599"/>
      <w:bookmarkEnd w:id="600"/>
      <w:bookmarkEnd w:id="601"/>
      <w:bookmarkEnd w:id="602"/>
      <w:bookmarkEnd w:id="603"/>
      <w:r>
        <w:rPr>
          <w:rFonts w:eastAsia="MS Mincho"/>
          <w:b w:val="0"/>
          <w:bCs w:val="0"/>
          <w:color w:val="000000"/>
          <w:kern w:val="2"/>
          <w:sz w:val="20"/>
          <w:szCs w:val="20"/>
          <w:lang w:eastAsia="ja-JP"/>
        </w:rPr>
        <w:t>/Monatsberichte/2020/04/Inhalte/Kapitel-2b-Schlaglicht/2b-Mit-aller-Kraft-gegen-Corona-Krise.html</w:t>
      </w:r>
      <w:r>
        <w:rPr>
          <w:rFonts w:eastAsia="MS Mincho"/>
          <w:b w:val="0"/>
          <w:bCs w:val="0"/>
          <w:color w:val="000000"/>
          <w:kern w:val="2"/>
          <w:sz w:val="20"/>
          <w:szCs w:val="20"/>
          <w:lang w:eastAsia="ja-JP"/>
        </w:rPr>
        <w:fldChar w:fldCharType="end"/>
      </w:r>
    </w:p>
    <w:p w:rsidR="005C3F63" w:rsidRDefault="006536E7">
      <w:pPr>
        <w:shd w:val="clear" w:color="auto" w:fill="FFFFFF"/>
        <w:outlineLvl w:val="0"/>
        <w:rPr>
          <w:rFonts w:ascii="Verdana" w:eastAsia="MS Mincho" w:hAnsi="Verdana"/>
          <w:color w:val="000000"/>
          <w:kern w:val="2"/>
          <w:sz w:val="20"/>
          <w:szCs w:val="20"/>
          <w:shd w:val="clear" w:color="auto" w:fill="FFFFFF"/>
          <w:lang w:eastAsia="ja-JP" w:bidi="ar-SA"/>
        </w:rPr>
      </w:pPr>
      <w:r>
        <w:rPr>
          <w:rFonts w:ascii="Verdana" w:eastAsia="MS Mincho" w:hAnsi="Verdana"/>
          <w:color w:val="000000"/>
          <w:kern w:val="2"/>
          <w:sz w:val="20"/>
          <w:szCs w:val="20"/>
          <w:lang w:eastAsia="ja-JP" w:bidi="ar-SA"/>
        </w:rPr>
        <w:t xml:space="preserve">ER (2020). Závery Európskej rady, 17. – 21. júla 2020. </w:t>
      </w:r>
      <w:r>
        <w:rPr>
          <w:rFonts w:ascii="Verdana" w:eastAsia="MS Mincho" w:hAnsi="Verdana"/>
          <w:color w:val="000000"/>
          <w:kern w:val="2"/>
          <w:sz w:val="20"/>
          <w:szCs w:val="20"/>
          <w:shd w:val="clear" w:color="auto" w:fill="FFFFFF"/>
          <w:lang w:eastAsia="ja-JP" w:bidi="ar-SA"/>
        </w:rPr>
        <w:t xml:space="preserve">Retrieved from: </w:t>
      </w:r>
      <w:hyperlink r:id="rId191" w:history="1">
        <w:r>
          <w:rPr>
            <w:rFonts w:ascii="Verdana" w:eastAsia="MS Mincho" w:hAnsi="Verdana"/>
            <w:color w:val="000000"/>
            <w:kern w:val="2"/>
            <w:sz w:val="20"/>
            <w:szCs w:val="20"/>
            <w:shd w:val="clear" w:color="auto" w:fill="FFFFFF"/>
            <w:lang w:eastAsia="ja-JP" w:bidi="ar-SA"/>
          </w:rPr>
          <w:t>https://www.consilium.europa.eu/media/45135/210720-euco-final-conclusions-sk.pdf</w:t>
        </w:r>
      </w:hyperlink>
    </w:p>
    <w:p w:rsidR="005C3F63" w:rsidRDefault="006536E7">
      <w:pPr>
        <w:shd w:val="clear" w:color="auto" w:fill="FFFFFF"/>
        <w:outlineLvl w:val="0"/>
        <w:rPr>
          <w:rFonts w:ascii="Verdana" w:eastAsia="MS Mincho" w:hAnsi="Verdana"/>
          <w:color w:val="000000"/>
          <w:kern w:val="2"/>
          <w:sz w:val="20"/>
          <w:szCs w:val="20"/>
          <w:shd w:val="clear" w:color="auto" w:fill="FFFFFF"/>
          <w:lang w:eastAsia="ja-JP" w:bidi="ar-SA"/>
        </w:rPr>
      </w:pPr>
      <w:r>
        <w:rPr>
          <w:color w:val="000000"/>
          <w:shd w:val="clear" w:color="auto" w:fill="FFFFFF"/>
        </w:rPr>
        <w:t xml:space="preserve">Juhászová, Z. - Užík, J. (2014). Zákutia úpravy účtovníctva na Slovensku. In Marketing manažment, obchod a sociálne aspekty podnikania. Medzinárodná vedecká konferencia. Marketing manažment, obchod a sociálne aspekty podnikania : zborník recenzovaných príspevkov z 2. ročníka medzinárodnej vedeckej konferencie : Košice, 23. - 24. október 2014 [elektronický zdroj]. - Bratislava : Vydavateľstvo EKONÓM, s. 181-185 </w:t>
      </w:r>
    </w:p>
    <w:p w:rsidR="005C3F63" w:rsidRDefault="006536E7">
      <w:pPr>
        <w:shd w:val="clear" w:color="auto" w:fill="FFFFFF"/>
        <w:outlineLvl w:val="0"/>
        <w:rPr>
          <w:rFonts w:ascii="Verdana" w:hAnsi="Verdana"/>
          <w:bCs/>
          <w:color w:val="000000"/>
          <w:sz w:val="20"/>
          <w:szCs w:val="20"/>
        </w:rPr>
      </w:pPr>
      <w:r>
        <w:rPr>
          <w:rFonts w:ascii="Verdana" w:hAnsi="Verdana"/>
          <w:color w:val="000000"/>
          <w:sz w:val="20"/>
          <w:szCs w:val="20"/>
        </w:rPr>
        <w:lastRenderedPageBreak/>
        <w:t xml:space="preserve">Opatrenie Ministerstva financií Slovenskej republiky č. 23 054/2002-92, ktorým sa </w:t>
      </w:r>
      <w:r>
        <w:rPr>
          <w:rFonts w:ascii="Verdana" w:hAnsi="Verdana"/>
          <w:bCs/>
          <w:color w:val="000000"/>
          <w:sz w:val="20"/>
          <w:szCs w:val="20"/>
        </w:rPr>
        <w:t>ustanovujú podrobnosti o postupoch účtovania a rámcovej účtovej osnove pre podnikateľov účtujúcich v sústave podvojného účtovníctva.</w:t>
      </w:r>
    </w:p>
    <w:p w:rsidR="005C3F63" w:rsidRDefault="006536E7">
      <w:pPr>
        <w:shd w:val="clear" w:color="auto" w:fill="FFFFFF"/>
        <w:outlineLvl w:val="0"/>
        <w:rPr>
          <w:rFonts w:ascii="Verdana" w:hAnsi="Verdana"/>
          <w:bCs/>
          <w:color w:val="000000"/>
          <w:sz w:val="20"/>
          <w:szCs w:val="20"/>
        </w:rPr>
      </w:pPr>
      <w:r>
        <w:rPr>
          <w:color w:val="000000"/>
          <w:shd w:val="clear" w:color="auto" w:fill="FFFFFF"/>
        </w:rPr>
        <w:t xml:space="preserve">Pakšiová, R. - Kubaščíková, Z. (2014). Risks of company´s non-realised profits distribution. In Managing and Modelling of Financial Risks. international scientific conference. Managing and Modelling of Financial Risks: 7th International Scientific Conference: 8th-9th September 2014 Ostrava, Czech Republic : proceedings. - Ostrava : VŠB - Technical University of Ostrava, p. 598-605. </w:t>
      </w:r>
    </w:p>
    <w:p w:rsidR="005C3F63" w:rsidRDefault="006536E7">
      <w:pPr>
        <w:shd w:val="clear" w:color="auto" w:fill="FFFFFF"/>
        <w:outlineLvl w:val="0"/>
        <w:rPr>
          <w:rFonts w:ascii="Verdana" w:hAnsi="Verdana"/>
          <w:color w:val="000000"/>
          <w:sz w:val="20"/>
          <w:szCs w:val="20"/>
        </w:rPr>
      </w:pPr>
      <w:r>
        <w:rPr>
          <w:color w:val="000000"/>
          <w:shd w:val="clear" w:color="auto" w:fill="FFFFFF"/>
        </w:rPr>
        <w:t>Podmanická, M. (2014). Verný a pravdivý obraz a legislatívne požiadavky na jeho dosiahnutie vo svetle súčasných vývojových tendencií finančného účtovníctva. In Účetnictví a auditing v procesu světové harmonizace. Mezinárodní vědecká konference. </w:t>
      </w:r>
      <w:r>
        <w:rPr>
          <w:i/>
          <w:iCs/>
          <w:color w:val="000000"/>
          <w:shd w:val="clear" w:color="auto" w:fill="FFFFFF"/>
        </w:rPr>
        <w:t>Účetnictví a auditing v procesu světové harmonizace : sborník zo [14.] mezinárodní vědecké konference : Brno, 3. - 5. září 2014</w:t>
      </w:r>
      <w:r>
        <w:rPr>
          <w:color w:val="000000"/>
          <w:shd w:val="clear" w:color="auto" w:fill="FFFFFF"/>
        </w:rPr>
        <w:t>. - Praha : Vysoká škola ekonomická v Praze, Nakladatelství Oeconomica</w:t>
      </w:r>
    </w:p>
    <w:p w:rsidR="005C3F63" w:rsidRDefault="006536E7">
      <w:pPr>
        <w:shd w:val="clear" w:color="auto" w:fill="FFFFFF"/>
        <w:outlineLvl w:val="0"/>
        <w:rPr>
          <w:rFonts w:ascii="Verdana" w:hAnsi="Verdana"/>
          <w:color w:val="000000"/>
          <w:sz w:val="20"/>
          <w:szCs w:val="20"/>
        </w:rPr>
      </w:pPr>
      <w:r>
        <w:rPr>
          <w:rFonts w:ascii="Verdana" w:hAnsi="Verdana"/>
          <w:color w:val="000000"/>
          <w:sz w:val="20"/>
          <w:szCs w:val="20"/>
        </w:rPr>
        <w:t>Sklenka, M. – Šlosárová, A. – Hornická, R. – Blahušiaková, M. (2016). Účtovníctvo podnikateľských subjektov II, 1st ed. Bratislava: Wolters Kluwer.</w:t>
      </w:r>
    </w:p>
    <w:p w:rsidR="005C3F63" w:rsidRDefault="006536E7">
      <w:pPr>
        <w:shd w:val="clear" w:color="auto" w:fill="FFFFFF"/>
        <w:outlineLvl w:val="0"/>
        <w:rPr>
          <w:rFonts w:ascii="Verdana" w:hAnsi="Verdana"/>
          <w:color w:val="000000"/>
          <w:sz w:val="20"/>
          <w:szCs w:val="20"/>
        </w:rPr>
      </w:pPr>
      <w:r>
        <w:rPr>
          <w:rFonts w:ascii="Verdana" w:hAnsi="Verdana"/>
          <w:color w:val="000000"/>
          <w:sz w:val="20"/>
          <w:szCs w:val="20"/>
        </w:rPr>
        <w:t>Šlosárová, A. et al. (2011). Účtovníctvo, 1st ed. Bratislava: Iura Edition.</w:t>
      </w:r>
    </w:p>
    <w:p w:rsidR="005C3F63" w:rsidRDefault="00085067">
      <w:pPr>
        <w:shd w:val="clear" w:color="auto" w:fill="FFFFFF"/>
        <w:outlineLvl w:val="0"/>
        <w:rPr>
          <w:rFonts w:ascii="Verdana" w:hAnsi="Verdana"/>
          <w:color w:val="000000"/>
          <w:sz w:val="20"/>
          <w:szCs w:val="20"/>
        </w:rPr>
      </w:pPr>
      <w:hyperlink r:id="rId192" w:tgtFrame="_blank" w:tooltip="Find more records by this author" w:history="1">
        <w:r w:rsidR="006536E7">
          <w:rPr>
            <w:rFonts w:ascii="Verdana" w:hAnsi="Verdana"/>
            <w:color w:val="000000"/>
            <w:sz w:val="20"/>
            <w:szCs w:val="20"/>
          </w:rPr>
          <w:t>Dias, MC</w:t>
        </w:r>
      </w:hyperlink>
      <w:r w:rsidR="006536E7">
        <w:rPr>
          <w:rFonts w:ascii="Verdana" w:hAnsi="Verdana"/>
          <w:color w:val="000000"/>
          <w:sz w:val="20"/>
          <w:szCs w:val="20"/>
        </w:rPr>
        <w:t>. -  </w:t>
      </w:r>
      <w:hyperlink r:id="rId193" w:tgtFrame="_blank" w:tooltip="Find more records by this author" w:history="1">
        <w:r w:rsidR="006536E7">
          <w:rPr>
            <w:rFonts w:ascii="Verdana" w:hAnsi="Verdana"/>
            <w:color w:val="000000"/>
            <w:sz w:val="20"/>
            <w:szCs w:val="20"/>
          </w:rPr>
          <w:t>Joyce, R</w:t>
        </w:r>
      </w:hyperlink>
      <w:r w:rsidR="006536E7">
        <w:rPr>
          <w:rFonts w:ascii="Verdana" w:hAnsi="Verdana"/>
          <w:color w:val="000000"/>
          <w:sz w:val="20"/>
          <w:szCs w:val="20"/>
        </w:rPr>
        <w:t xml:space="preserve">. - </w:t>
      </w:r>
      <w:hyperlink r:id="rId194" w:tgtFrame="_blank" w:tooltip="Find more records by this author" w:history="1">
        <w:r w:rsidR="006536E7">
          <w:rPr>
            <w:rFonts w:ascii="Verdana" w:hAnsi="Verdana"/>
            <w:color w:val="000000"/>
            <w:sz w:val="20"/>
            <w:szCs w:val="20"/>
          </w:rPr>
          <w:t>Postel-Vinay, F</w:t>
        </w:r>
      </w:hyperlink>
      <w:r w:rsidR="006536E7">
        <w:rPr>
          <w:rFonts w:ascii="Verdana" w:hAnsi="Verdana"/>
          <w:color w:val="000000"/>
          <w:sz w:val="20"/>
          <w:szCs w:val="20"/>
        </w:rPr>
        <w:t>. - ; </w:t>
      </w:r>
      <w:hyperlink r:id="rId195" w:tgtFrame="_blank" w:tooltip="Find more records by this author" w:history="1">
        <w:r w:rsidR="006536E7">
          <w:rPr>
            <w:rFonts w:ascii="Verdana" w:hAnsi="Verdana"/>
            <w:color w:val="000000"/>
            <w:sz w:val="20"/>
            <w:szCs w:val="20"/>
          </w:rPr>
          <w:t>Xu, XW</w:t>
        </w:r>
      </w:hyperlink>
      <w:r w:rsidR="006536E7">
        <w:rPr>
          <w:rFonts w:ascii="Verdana" w:hAnsi="Verdana"/>
          <w:color w:val="000000"/>
          <w:sz w:val="20"/>
          <w:szCs w:val="20"/>
        </w:rPr>
        <w:t xml:space="preserve">. (2020). The Challenges for Labour Market Policy during the COVID-19 Pandemic. FISCAL STUDIES, volume: 41,Issue: 2,Pages: 371-382 </w:t>
      </w:r>
    </w:p>
    <w:p w:rsidR="005C3F63" w:rsidRDefault="006536E7">
      <w:pPr>
        <w:shd w:val="clear" w:color="auto" w:fill="FFFFFF"/>
        <w:outlineLvl w:val="0"/>
        <w:rPr>
          <w:rFonts w:ascii="Verdana" w:hAnsi="Verdana"/>
          <w:color w:val="000000"/>
          <w:sz w:val="20"/>
          <w:szCs w:val="20"/>
        </w:rPr>
      </w:pPr>
      <w:r>
        <w:rPr>
          <w:rFonts w:ascii="Verdana" w:hAnsi="Verdana"/>
          <w:color w:val="000000"/>
          <w:sz w:val="20"/>
          <w:szCs w:val="20"/>
        </w:rPr>
        <w:t xml:space="preserve">Caliendo, M. - Fedorets, A. -  Preuss, M. et al. (2018). </w:t>
      </w:r>
      <w:hyperlink r:id="rId196" w:tgtFrame="_blank" w:history="1">
        <w:r>
          <w:rPr>
            <w:rFonts w:ascii="Verdana" w:hAnsi="Verdana"/>
            <w:color w:val="000000"/>
            <w:sz w:val="20"/>
            <w:szCs w:val="20"/>
          </w:rPr>
          <w:t>The short-run employment effects of the German minimum wage reform</w:t>
        </w:r>
      </w:hyperlink>
      <w:r>
        <w:rPr>
          <w:rFonts w:ascii="Verdana" w:hAnsi="Verdana"/>
          <w:color w:val="000000"/>
          <w:sz w:val="20"/>
          <w:szCs w:val="20"/>
        </w:rPr>
        <w:t>. LABOUR ECONOMICS </w:t>
      </w:r>
      <w:r>
        <w:rPr>
          <w:rFonts w:ascii="Arial" w:hAnsi="Arial" w:cs="Arial"/>
          <w:color w:val="000000"/>
          <w:sz w:val="20"/>
          <w:szCs w:val="20"/>
        </w:rPr>
        <w:t>‏</w:t>
      </w:r>
      <w:r>
        <w:rPr>
          <w:rFonts w:ascii="Verdana" w:hAnsi="Verdana" w:cs="Verdana"/>
          <w:color w:val="000000"/>
          <w:sz w:val="20"/>
          <w:szCs w:val="20"/>
        </w:rPr>
        <w:t>  </w:t>
      </w:r>
      <w:r>
        <w:rPr>
          <w:rFonts w:ascii="Verdana" w:hAnsi="Verdana"/>
          <w:color w:val="000000"/>
          <w:sz w:val="20"/>
          <w:szCs w:val="20"/>
        </w:rPr>
        <w:t xml:space="preserve">Volume: </w:t>
      </w:r>
      <w:r>
        <w:rPr>
          <w:rFonts w:ascii="Arial" w:hAnsi="Arial" w:cs="Arial"/>
          <w:color w:val="000000"/>
          <w:sz w:val="20"/>
          <w:szCs w:val="20"/>
        </w:rPr>
        <w:t>‏</w:t>
      </w:r>
      <w:r>
        <w:rPr>
          <w:rFonts w:ascii="Verdana" w:hAnsi="Verdana" w:cs="Verdana"/>
          <w:color w:val="000000"/>
          <w:sz w:val="20"/>
          <w:szCs w:val="20"/>
        </w:rPr>
        <w:t> </w:t>
      </w:r>
      <w:r>
        <w:rPr>
          <w:rFonts w:ascii="Verdana" w:hAnsi="Verdana"/>
          <w:color w:val="000000"/>
          <w:sz w:val="20"/>
          <w:szCs w:val="20"/>
        </w:rPr>
        <w:t>53</w:t>
      </w:r>
      <w:r>
        <w:rPr>
          <w:rFonts w:ascii="Verdana" w:hAnsi="Verdana" w:cs="Verdana"/>
          <w:color w:val="000000"/>
          <w:sz w:val="20"/>
          <w:szCs w:val="20"/>
        </w:rPr>
        <w:t> </w:t>
      </w:r>
      <w:r>
        <w:rPr>
          <w:rFonts w:ascii="Verdana" w:hAnsi="Verdana"/>
          <w:color w:val="000000"/>
          <w:sz w:val="20"/>
          <w:szCs w:val="20"/>
        </w:rPr>
        <w:t xml:space="preserve">  Pages: </w:t>
      </w:r>
      <w:r>
        <w:rPr>
          <w:rFonts w:ascii="Arial" w:hAnsi="Arial" w:cs="Arial"/>
          <w:color w:val="000000"/>
          <w:sz w:val="20"/>
          <w:szCs w:val="20"/>
        </w:rPr>
        <w:t>‏</w:t>
      </w:r>
      <w:r>
        <w:rPr>
          <w:rFonts w:ascii="Verdana" w:hAnsi="Verdana" w:cs="Verdana"/>
          <w:color w:val="000000"/>
          <w:sz w:val="20"/>
          <w:szCs w:val="20"/>
        </w:rPr>
        <w:t> </w:t>
      </w:r>
      <w:r>
        <w:rPr>
          <w:rFonts w:ascii="Verdana" w:hAnsi="Verdana"/>
          <w:color w:val="000000"/>
          <w:sz w:val="20"/>
          <w:szCs w:val="20"/>
        </w:rPr>
        <w:t>46-62</w:t>
      </w:r>
      <w:r>
        <w:rPr>
          <w:rFonts w:ascii="Verdana" w:hAnsi="Verdana" w:cs="Verdana"/>
          <w:color w:val="000000"/>
          <w:sz w:val="20"/>
          <w:szCs w:val="20"/>
        </w:rPr>
        <w:t> </w:t>
      </w:r>
      <w:r>
        <w:rPr>
          <w:rFonts w:ascii="Verdana" w:hAnsi="Verdana"/>
          <w:color w:val="000000"/>
          <w:sz w:val="20"/>
          <w:szCs w:val="20"/>
        </w:rPr>
        <w:t xml:space="preserve">   </w:t>
      </w:r>
    </w:p>
    <w:p w:rsidR="005C3F63" w:rsidRDefault="006536E7">
      <w:pPr>
        <w:shd w:val="clear" w:color="auto" w:fill="FFFFFF"/>
        <w:outlineLvl w:val="0"/>
        <w:rPr>
          <w:rFonts w:ascii="Verdana" w:eastAsia="MS Mincho" w:hAnsi="Verdana"/>
          <w:color w:val="000000"/>
          <w:kern w:val="2"/>
          <w:sz w:val="20"/>
          <w:szCs w:val="20"/>
          <w:lang w:eastAsia="ja-JP" w:bidi="ar-SA"/>
        </w:rPr>
      </w:pPr>
      <w:r>
        <w:rPr>
          <w:rFonts w:ascii="Verdana" w:eastAsia="MS Mincho" w:hAnsi="Verdana"/>
          <w:color w:val="000000"/>
          <w:kern w:val="2"/>
          <w:sz w:val="20"/>
          <w:szCs w:val="20"/>
          <w:lang w:eastAsia="ja-JP" w:bidi="ar-SA"/>
        </w:rPr>
        <w:t xml:space="preserve">TS (2020). I. Matovič: V nasledujúcich rokoch bude mať Slovensko z EÚ viac ako 40 mld. Eur. Retrieved from: </w:t>
      </w:r>
      <w:hyperlink r:id="rId197" w:history="1">
        <w:r>
          <w:rPr>
            <w:rFonts w:ascii="Verdana" w:eastAsia="MS Mincho" w:hAnsi="Verdana"/>
            <w:color w:val="000000"/>
            <w:kern w:val="2"/>
            <w:sz w:val="20"/>
            <w:szCs w:val="20"/>
            <w:lang w:eastAsia="ja-JP" w:bidi="ar-SA"/>
          </w:rPr>
          <w:t>https://www.vlada.gov.sk//i-matovic-v-nasledujucich-rokoch-bude-mat-slovensko-z-eu-viac-ako-40-mld-eur/</w:t>
        </w:r>
      </w:hyperlink>
    </w:p>
    <w:p w:rsidR="005C3F63" w:rsidRDefault="006536E7">
      <w:pPr>
        <w:pStyle w:val="Default"/>
        <w:rPr>
          <w:rFonts w:ascii="Verdana" w:eastAsia="MS Mincho" w:hAnsi="Verdana"/>
          <w:kern w:val="2"/>
          <w:sz w:val="20"/>
          <w:szCs w:val="20"/>
          <w:shd w:val="clear" w:color="auto" w:fill="FFFFFF"/>
          <w:lang w:val="en-US" w:eastAsia="ja-JP"/>
        </w:rPr>
      </w:pPr>
      <w:bookmarkStart w:id="604" w:name="_Hlk46595512"/>
      <w:r>
        <w:rPr>
          <w:rFonts w:ascii="Verdana" w:eastAsia="MS Mincho" w:hAnsi="Verdana"/>
          <w:kern w:val="2"/>
          <w:sz w:val="20"/>
          <w:szCs w:val="20"/>
          <w:shd w:val="clear" w:color="auto" w:fill="FFFFFF"/>
          <w:lang w:val="en-US" w:eastAsia="ja-JP"/>
        </w:rPr>
        <w:t>Zákon č. 431/2002 Z.z. o účtovníctve v znení neskorších predpisov.</w:t>
      </w:r>
    </w:p>
    <w:bookmarkEnd w:id="604"/>
    <w:p w:rsidR="005C3F63" w:rsidRDefault="006536E7">
      <w:pPr>
        <w:pStyle w:val="Default"/>
        <w:rPr>
          <w:rFonts w:ascii="Verdana" w:eastAsia="MS Mincho" w:hAnsi="Verdana"/>
          <w:kern w:val="2"/>
          <w:sz w:val="20"/>
          <w:szCs w:val="20"/>
          <w:shd w:val="clear" w:color="auto" w:fill="FFFFFF"/>
          <w:lang w:val="en-US" w:eastAsia="ja-JP"/>
        </w:rPr>
      </w:pPr>
      <w:r>
        <w:rPr>
          <w:rFonts w:ascii="Verdana" w:eastAsia="MS Mincho" w:hAnsi="Verdana"/>
          <w:kern w:val="2"/>
          <w:sz w:val="20"/>
          <w:szCs w:val="20"/>
          <w:shd w:val="clear" w:color="auto" w:fill="FFFFFF"/>
          <w:lang w:val="en-US" w:eastAsia="ja-JP"/>
        </w:rPr>
        <w:t>Zákon č. 595/2003 Z.z. o dani z príjmov v znení neskorších predpisov.</w:t>
      </w:r>
    </w:p>
    <w:p w:rsidR="005C3F63" w:rsidRDefault="006536E7">
      <w:pPr>
        <w:jc w:val="left"/>
        <w:rPr>
          <w:rFonts w:ascii="Verdana" w:eastAsia="MS Mincho" w:hAnsi="Verdana" w:cs="Calibri"/>
          <w:kern w:val="2"/>
          <w:sz w:val="20"/>
          <w:szCs w:val="20"/>
          <w:shd w:val="clear" w:color="auto" w:fill="FFFFFF"/>
          <w:lang w:eastAsia="ja-JP" w:bidi="ar-SA"/>
        </w:rPr>
      </w:pPr>
      <w:r>
        <w:rPr>
          <w:rFonts w:ascii="Verdana" w:eastAsia="MS Mincho" w:hAnsi="Verdana"/>
          <w:kern w:val="2"/>
          <w:sz w:val="20"/>
          <w:szCs w:val="20"/>
          <w:shd w:val="clear" w:color="auto" w:fill="FFFFFF"/>
          <w:lang w:eastAsia="ja-JP"/>
        </w:rPr>
        <w:br w:type="page"/>
      </w:r>
    </w:p>
    <w:p w:rsidR="005C3F63" w:rsidRDefault="006536E7">
      <w:pPr>
        <w:pStyle w:val="1"/>
      </w:pPr>
      <w:bookmarkStart w:id="605" w:name="_Toc47951534"/>
      <w:r>
        <w:lastRenderedPageBreak/>
        <w:t xml:space="preserve">Changes in </w:t>
      </w:r>
      <w:r>
        <w:rPr>
          <w:lang w:val="sk-SK"/>
        </w:rPr>
        <w:t>L</w:t>
      </w:r>
      <w:r>
        <w:t xml:space="preserve">abor </w:t>
      </w:r>
      <w:r>
        <w:rPr>
          <w:lang w:val="sk-SK"/>
        </w:rPr>
        <w:t>L</w:t>
      </w:r>
      <w:r>
        <w:t xml:space="preserve">aw and their </w:t>
      </w:r>
      <w:r>
        <w:rPr>
          <w:lang w:val="sk-SK"/>
        </w:rPr>
        <w:t>I</w:t>
      </w:r>
      <w:r>
        <w:t xml:space="preserve">mpact on </w:t>
      </w:r>
      <w:r>
        <w:rPr>
          <w:lang w:val="sk-SK"/>
        </w:rPr>
        <w:t>Bu</w:t>
      </w:r>
      <w:r>
        <w:t xml:space="preserve">siness </w:t>
      </w:r>
      <w:r>
        <w:rPr>
          <w:lang w:val="sk-SK"/>
        </w:rPr>
        <w:t>E</w:t>
      </w:r>
      <w:r>
        <w:t>nvironment in the Slovak Republic</w:t>
      </w:r>
      <w:bookmarkEnd w:id="605"/>
    </w:p>
    <w:p w:rsidR="005C3F63" w:rsidRDefault="006536E7">
      <w:pPr>
        <w:pStyle w:val="Autor"/>
      </w:pPr>
      <w:bookmarkStart w:id="606" w:name="_Toc47440097"/>
      <w:bookmarkStart w:id="607" w:name="_Toc47448065"/>
      <w:bookmarkStart w:id="608" w:name="_Toc47440869"/>
      <w:bookmarkStart w:id="609" w:name="_Toc47435441"/>
      <w:bookmarkStart w:id="610" w:name="_Toc47444602"/>
      <w:bookmarkStart w:id="611" w:name="_Toc47442676"/>
      <w:bookmarkStart w:id="612" w:name="_Toc47433547"/>
      <w:bookmarkStart w:id="613" w:name="_Toc47447929"/>
      <w:bookmarkStart w:id="614" w:name="_Toc47448119"/>
      <w:bookmarkStart w:id="615" w:name="_Toc47445733"/>
      <w:bookmarkStart w:id="616" w:name="_Toc47439779"/>
      <w:bookmarkStart w:id="617" w:name="_Toc47443437"/>
      <w:bookmarkStart w:id="618" w:name="_Toc47444285"/>
      <w:bookmarkStart w:id="619" w:name="_Toc47443569"/>
      <w:bookmarkStart w:id="620" w:name="_Toc47443670"/>
      <w:bookmarkStart w:id="621" w:name="_Toc47445956"/>
      <w:bookmarkStart w:id="622" w:name="_Toc47446368"/>
      <w:bookmarkStart w:id="623" w:name="_Toc47448323"/>
      <w:bookmarkStart w:id="624" w:name="_Toc47441616"/>
      <w:bookmarkStart w:id="625" w:name="_Toc47444443"/>
      <w:bookmarkStart w:id="626" w:name="_Toc47449319"/>
      <w:bookmarkStart w:id="627" w:name="_Toc47948739"/>
      <w:bookmarkStart w:id="628" w:name="_Toc47951377"/>
      <w:bookmarkStart w:id="629" w:name="_Toc47951535"/>
      <w:bookmarkStart w:id="630" w:name="_Toc47948800"/>
      <w:bookmarkStart w:id="631" w:name="_Toc47451160"/>
      <w:bookmarkStart w:id="632" w:name="_Toc47948998"/>
      <w:bookmarkStart w:id="633" w:name="_Toc47438969"/>
      <w:bookmarkStart w:id="634" w:name="_Toc47441196"/>
      <w:bookmarkStart w:id="635" w:name="_Toc47444134"/>
      <w:bookmarkStart w:id="636" w:name="_Toc47949312"/>
      <w:bookmarkStart w:id="637" w:name="_Toc47951470"/>
      <w:bookmarkStart w:id="638" w:name="_Toc47447164"/>
      <w:bookmarkStart w:id="639" w:name="_Toc47441683"/>
      <w:bookmarkStart w:id="640" w:name="_Toc47447983"/>
      <w:bookmarkStart w:id="641" w:name="_Toc47448844"/>
      <w:bookmarkStart w:id="642" w:name="_Toc47448618"/>
      <w:bookmarkStart w:id="643" w:name="_Toc47441496"/>
      <w:bookmarkStart w:id="644" w:name="_Toc47446710"/>
      <w:bookmarkStart w:id="645" w:name="_Toc47448201"/>
      <w:bookmarkStart w:id="646" w:name="_Toc47446108"/>
      <w:bookmarkStart w:id="647" w:name="_Toc47448563"/>
      <w:r>
        <w:rPr>
          <w:rStyle w:val="AutorChar"/>
          <w:b/>
        </w:rPr>
        <w:t>Jitka Meluchová</w:t>
      </w:r>
      <w:r>
        <w:rPr>
          <w:rStyle w:val="AutorChar"/>
          <w:b/>
          <w:vertAlign w:val="superscript"/>
        </w:rPr>
        <w:t>1</w:t>
      </w:r>
      <w:r>
        <w:rPr>
          <w:rStyle w:val="AutorChar"/>
          <w:b/>
        </w:rPr>
        <w:t>, Martina Mateášová</w:t>
      </w:r>
      <w:r>
        <w:rPr>
          <w:rStyle w:val="AutorChar"/>
          <w:b/>
          <w:vertAlign w:val="superscript"/>
        </w:rPr>
        <w:t>2</w:t>
      </w:r>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p>
    <w:p w:rsidR="005C3F63" w:rsidRDefault="006536E7">
      <w:pPr>
        <w:jc w:val="center"/>
        <w:rPr>
          <w:rFonts w:ascii="Verdana" w:hAnsi="Verdana"/>
          <w:sz w:val="18"/>
          <w:szCs w:val="18"/>
        </w:rPr>
      </w:pPr>
      <w:r>
        <w:rPr>
          <w:rFonts w:ascii="Verdana" w:hAnsi="Verdana"/>
          <w:sz w:val="18"/>
          <w:szCs w:val="18"/>
          <w:vertAlign w:val="superscript"/>
          <w:lang w:val="sk-SK"/>
        </w:rPr>
        <w:t>1</w:t>
      </w:r>
      <w:r>
        <w:rPr>
          <w:rFonts w:ascii="Verdana" w:hAnsi="Verdana"/>
          <w:sz w:val="18"/>
          <w:szCs w:val="18"/>
        </w:rPr>
        <w:t>University of Economics in Bratislava</w:t>
      </w:r>
    </w:p>
    <w:p w:rsidR="005C3F63" w:rsidRDefault="006536E7">
      <w:pPr>
        <w:jc w:val="center"/>
        <w:rPr>
          <w:rFonts w:ascii="Verdana" w:hAnsi="Verdana"/>
          <w:sz w:val="18"/>
          <w:szCs w:val="18"/>
        </w:rPr>
      </w:pPr>
      <w:r>
        <w:rPr>
          <w:rFonts w:ascii="Verdana" w:hAnsi="Verdana"/>
          <w:sz w:val="18"/>
          <w:szCs w:val="18"/>
        </w:rPr>
        <w:t>Department of Accounting and Auditing</w:t>
      </w:r>
    </w:p>
    <w:p w:rsidR="005C3F63" w:rsidRDefault="006536E7">
      <w:pPr>
        <w:jc w:val="center"/>
        <w:rPr>
          <w:rFonts w:ascii="Verdana" w:hAnsi="Verdana"/>
          <w:sz w:val="18"/>
          <w:szCs w:val="18"/>
        </w:rPr>
      </w:pPr>
      <w:r>
        <w:rPr>
          <w:rFonts w:ascii="Verdana" w:hAnsi="Verdana"/>
          <w:sz w:val="18"/>
          <w:szCs w:val="18"/>
        </w:rPr>
        <w:t>Dolnozemska cesta 1/b, 852 35 Bratislava, Slovakia</w:t>
      </w:r>
    </w:p>
    <w:p w:rsidR="005C3F63" w:rsidRDefault="006536E7">
      <w:pPr>
        <w:jc w:val="center"/>
        <w:rPr>
          <w:rFonts w:ascii="Verdana" w:hAnsi="Verdana"/>
          <w:sz w:val="18"/>
          <w:szCs w:val="18"/>
          <w:lang w:val="sk-SK"/>
        </w:rPr>
      </w:pPr>
      <w:r>
        <w:rPr>
          <w:rFonts w:ascii="Verdana" w:hAnsi="Verdana"/>
          <w:sz w:val="18"/>
          <w:szCs w:val="18"/>
          <w:lang w:val="de-AT"/>
        </w:rPr>
        <w:t>E-mail: jitka.meluchova@euba.sk</w:t>
      </w:r>
    </w:p>
    <w:p w:rsidR="005C3F63" w:rsidRDefault="005C3F63">
      <w:pPr>
        <w:jc w:val="center"/>
        <w:rPr>
          <w:rFonts w:ascii="Verdana" w:hAnsi="Verdana"/>
          <w:sz w:val="18"/>
          <w:szCs w:val="18"/>
          <w:lang w:val="sk-SK"/>
        </w:rPr>
      </w:pPr>
    </w:p>
    <w:p w:rsidR="005C3F63" w:rsidRDefault="006536E7">
      <w:pPr>
        <w:jc w:val="center"/>
        <w:rPr>
          <w:rFonts w:ascii="Verdana" w:hAnsi="Verdana"/>
          <w:sz w:val="18"/>
          <w:szCs w:val="18"/>
        </w:rPr>
      </w:pPr>
      <w:r>
        <w:rPr>
          <w:rFonts w:ascii="Verdana" w:hAnsi="Verdana"/>
          <w:sz w:val="18"/>
          <w:szCs w:val="18"/>
          <w:vertAlign w:val="superscript"/>
          <w:lang w:val="sk-SK"/>
        </w:rPr>
        <w:t>2</w:t>
      </w:r>
      <w:r>
        <w:rPr>
          <w:rFonts w:ascii="Verdana" w:hAnsi="Verdana"/>
          <w:sz w:val="18"/>
          <w:szCs w:val="18"/>
        </w:rPr>
        <w:t>University of Economics in Bratislava</w:t>
      </w:r>
    </w:p>
    <w:p w:rsidR="005C3F63" w:rsidRDefault="006536E7">
      <w:pPr>
        <w:jc w:val="center"/>
        <w:rPr>
          <w:rFonts w:ascii="Verdana" w:hAnsi="Verdana"/>
          <w:sz w:val="18"/>
          <w:szCs w:val="18"/>
        </w:rPr>
      </w:pPr>
      <w:r>
        <w:rPr>
          <w:rFonts w:ascii="Verdana" w:hAnsi="Verdana"/>
          <w:sz w:val="18"/>
          <w:szCs w:val="18"/>
        </w:rPr>
        <w:t>Department of Accounting and Auditing</w:t>
      </w:r>
    </w:p>
    <w:p w:rsidR="005C3F63" w:rsidRDefault="006536E7">
      <w:pPr>
        <w:jc w:val="center"/>
        <w:rPr>
          <w:rFonts w:ascii="Verdana" w:hAnsi="Verdana"/>
          <w:sz w:val="18"/>
          <w:szCs w:val="18"/>
        </w:rPr>
      </w:pPr>
      <w:r>
        <w:rPr>
          <w:rFonts w:ascii="Verdana" w:hAnsi="Verdana"/>
          <w:sz w:val="18"/>
          <w:szCs w:val="18"/>
        </w:rPr>
        <w:t>Dolnozemska cesta 1/b, 852 35 Bratislava, Slovakia</w:t>
      </w:r>
    </w:p>
    <w:p w:rsidR="005C3F63" w:rsidRDefault="006536E7">
      <w:pPr>
        <w:jc w:val="center"/>
        <w:rPr>
          <w:rFonts w:ascii="Verdana" w:hAnsi="Verdana"/>
          <w:sz w:val="18"/>
          <w:szCs w:val="18"/>
          <w:lang w:val="sk-SK"/>
        </w:rPr>
      </w:pPr>
      <w:r>
        <w:rPr>
          <w:rFonts w:ascii="Verdana" w:hAnsi="Verdana"/>
          <w:sz w:val="18"/>
          <w:szCs w:val="18"/>
          <w:lang w:val="en-GB"/>
        </w:rPr>
        <w:t>E-mail: martina.mateasova@euba.sk</w:t>
      </w:r>
    </w:p>
    <w:p w:rsidR="005C3F63" w:rsidRDefault="005C3F63">
      <w:pPr>
        <w:rPr>
          <w:rFonts w:ascii="Verdana" w:hAnsi="Verdana"/>
          <w:sz w:val="22"/>
          <w:lang w:val="sk-SK"/>
        </w:rPr>
      </w:pPr>
    </w:p>
    <w:p w:rsidR="005C3F63" w:rsidRDefault="006536E7">
      <w:pPr>
        <w:spacing w:after="120"/>
        <w:rPr>
          <w:rFonts w:ascii="Verdana" w:hAnsi="Verdana"/>
          <w:i/>
          <w:sz w:val="20"/>
          <w:szCs w:val="20"/>
        </w:rPr>
      </w:pPr>
      <w:r>
        <w:rPr>
          <w:rFonts w:ascii="Verdana" w:hAnsi="Verdana"/>
          <w:b/>
          <w:i/>
          <w:sz w:val="20"/>
          <w:szCs w:val="20"/>
          <w:lang w:val="sk-SK"/>
        </w:rPr>
        <w:t xml:space="preserve">Abstract: </w:t>
      </w:r>
      <w:r>
        <w:rPr>
          <w:rFonts w:ascii="Verdana" w:hAnsi="Verdana"/>
          <w:i/>
          <w:sz w:val="20"/>
          <w:szCs w:val="20"/>
        </w:rPr>
        <w:t xml:space="preserve">The changes adopted by Slovakia in relation to COVID-19 concern all areas such as accounting, taxes, personal data protection, labor law, social security and health insurance. Many changes were influenced by European legislation and several adopted by the current government of the Slovak Republic. The paper aims to provide the impact of the most significant changes that affect the business environment in the Slovak Republic in 2020. The paper examines the effect of measures and legislative changes on the implementation of business activities and labor law, which is significantly affected by the pandemic situation in the world. </w:t>
      </w:r>
      <w:r>
        <w:rPr>
          <w:rFonts w:ascii="Verdana" w:hAnsi="Verdana"/>
          <w:sz w:val="20"/>
          <w:szCs w:val="20"/>
        </w:rPr>
        <w:t>The result is an assessment of these changes for the implementation of business in the Slovak Republic and a prediction of further changes.</w:t>
      </w:r>
    </w:p>
    <w:p w:rsidR="005C3F63" w:rsidRDefault="006536E7">
      <w:pPr>
        <w:spacing w:after="120"/>
        <w:rPr>
          <w:rFonts w:ascii="Verdana" w:hAnsi="Verdana"/>
          <w:i/>
          <w:sz w:val="20"/>
          <w:szCs w:val="20"/>
          <w:lang w:val="sk-SK"/>
        </w:rPr>
      </w:pPr>
      <w:r>
        <w:rPr>
          <w:rFonts w:ascii="Verdana" w:hAnsi="Verdana"/>
          <w:b/>
          <w:i/>
          <w:sz w:val="20"/>
          <w:szCs w:val="20"/>
          <w:lang w:val="sk-SK"/>
        </w:rPr>
        <w:t>Keywords:</w:t>
      </w:r>
      <w:r>
        <w:rPr>
          <w:rFonts w:ascii="Verdana" w:hAnsi="Verdana"/>
          <w:i/>
          <w:sz w:val="20"/>
          <w:szCs w:val="20"/>
          <w:lang w:val="sk-SK"/>
        </w:rPr>
        <w:t xml:space="preserve"> business environment, legislative changes, COVID-19, labor law, taxes</w:t>
      </w:r>
    </w:p>
    <w:p w:rsidR="005C3F63" w:rsidRDefault="006536E7">
      <w:pPr>
        <w:pStyle w:val="04-Anotacijostekstas"/>
        <w:spacing w:before="0" w:after="120"/>
        <w:ind w:left="0" w:right="-284"/>
        <w:jc w:val="left"/>
        <w:rPr>
          <w:rFonts w:ascii="Verdana" w:hAnsi="Verdana"/>
          <w:i/>
          <w:lang w:val="sk-SK"/>
        </w:rPr>
      </w:pPr>
      <w:r>
        <w:rPr>
          <w:rFonts w:ascii="Verdana" w:hAnsi="Verdana"/>
          <w:i/>
          <w:lang w:val="sk-SK"/>
        </w:rPr>
        <w:t>JEL codes: M40, M48, M50</w:t>
      </w:r>
    </w:p>
    <w:p w:rsidR="005C3F63" w:rsidRDefault="006536E7">
      <w:pPr>
        <w:pStyle w:val="Kapitola"/>
        <w:rPr>
          <w:lang w:val="sk-SK"/>
        </w:rPr>
      </w:pPr>
      <w:r>
        <w:rPr>
          <w:rStyle w:val="KapitolaChar"/>
          <w:b/>
          <w:bCs/>
          <w:lang w:val="de-DE"/>
        </w:rPr>
        <w:t>1 Úvod</w:t>
      </w:r>
      <w:r>
        <w:rPr>
          <w:rStyle w:val="KapitolaChar"/>
          <w:b/>
          <w:bCs/>
          <w:lang w:val="sk-SK"/>
        </w:rPr>
        <w:t xml:space="preserve"> / Introduction</w:t>
      </w:r>
    </w:p>
    <w:p w:rsidR="005C3F63" w:rsidRDefault="006536E7">
      <w:pPr>
        <w:spacing w:after="120"/>
        <w:rPr>
          <w:rFonts w:ascii="Verdana" w:hAnsi="Verdana"/>
          <w:sz w:val="20"/>
          <w:szCs w:val="20"/>
          <w:lang w:val="sk-SK"/>
        </w:rPr>
      </w:pPr>
      <w:r>
        <w:rPr>
          <w:rFonts w:ascii="Verdana" w:hAnsi="Verdana"/>
          <w:sz w:val="20"/>
          <w:szCs w:val="20"/>
          <w:lang w:val="sk-SK"/>
        </w:rPr>
        <w:t xml:space="preserve">Pandémia spojená so šírením ochorenia COVID-19 spôsobila množstvo zmien, ktorým musia účtovné jednotky - zamestnávatelia čeliť. Zmeny, ktoré Slovensko prijalo v súvislosti s pandemickou situáciou sa týkajú prakticky všetkých oblastí (najmä účtovníctva, daní, ochrany osobných údajov, pracovného práva a sociálneho zabezpečenia). Mnohé zmeny boli ovplyvnené európskou legislatívou a viaceré prijaté súčasnou vládou SR. Podnikateľské prostredie je významne zasiahnuté v oblasti biznisu ako aj zmenami, ktoré vyplynuli z vládnej pomoci, projektu podpory udržania zamestnanosti v čase vyhlásenej mimoriadnej situácie, núdzového stavu alebo výnimočného stavu, alebo vyplynuli z opatrení samotných firiem. Príspevok má za cieľ poskytnúť prehľad najvýznamnejších zmien, ktoré v roku 2020 ovplyvňujú podnikateľské prostredie v SR a skúmať ich vplyv na vykonávanie podnikateľskej činnosti a pracovno-právnu oblasť, ktorá bola a je významne zasiahnutá v súvislosti s pandemickou situáciou vo svete. </w:t>
      </w:r>
    </w:p>
    <w:p w:rsidR="005C3F63" w:rsidRDefault="006536E7">
      <w:pPr>
        <w:spacing w:before="240" w:after="120"/>
        <w:jc w:val="left"/>
        <w:rPr>
          <w:rFonts w:ascii="Verdana" w:hAnsi="Verdana" w:cs="Arial"/>
          <w:bCs/>
          <w:kern w:val="32"/>
          <w:sz w:val="18"/>
          <w:szCs w:val="18"/>
          <w:lang w:val="sk-SK" w:eastAsia="cs-CZ" w:bidi="ar-SA"/>
        </w:rPr>
      </w:pPr>
      <w:r>
        <w:rPr>
          <w:rStyle w:val="KapitolaChar"/>
          <w:lang w:val="sk-SK"/>
        </w:rPr>
        <w:t>2 Metodológia a zdrojové údaje / Methodology and Data</w:t>
      </w:r>
    </w:p>
    <w:p w:rsidR="005C3F63" w:rsidRDefault="006536E7">
      <w:pPr>
        <w:spacing w:after="120"/>
        <w:rPr>
          <w:rFonts w:ascii="Verdana" w:hAnsi="Verdana"/>
          <w:sz w:val="20"/>
          <w:szCs w:val="20"/>
          <w:lang w:val="sk-SK"/>
        </w:rPr>
      </w:pPr>
      <w:r>
        <w:rPr>
          <w:rFonts w:ascii="Verdana" w:hAnsi="Verdana"/>
          <w:sz w:val="20"/>
          <w:szCs w:val="20"/>
          <w:lang w:val="sk-SK"/>
        </w:rPr>
        <w:t xml:space="preserve">Ovplyvňovanie ďalšieho rozvoja podnikateľského prostredia v SR je možné uskutočniť dvoma spôsobmi. Prvým je poskytovanie pomoci formou podporných nástrojov financovaných z prostriedkov verejných zdrojov, a tým druhým je tvorba legislatívne stabilného prostredia s vplyvom na znižovanie administratívneho zaťaženia podnikateľov, vytvárajúceho priaznivé podnikateľské prostredie. Slovensko je v oblasti lepšej regulácie na dobrej ceste, ale sú potrebné ďalšie snahy na zlepšenie procesov realizované na národnej i regionálnej úrovni. Vyplýva to zo záverov </w:t>
      </w:r>
      <w:r>
        <w:rPr>
          <w:rFonts w:ascii="Verdana" w:hAnsi="Verdana"/>
          <w:i/>
          <w:sz w:val="20"/>
          <w:szCs w:val="20"/>
          <w:lang w:val="sk-SK"/>
        </w:rPr>
        <w:t xml:space="preserve">Analýzy hodnotenia regulačnej politiky SR </w:t>
      </w:r>
      <w:r>
        <w:rPr>
          <w:rFonts w:ascii="Verdana" w:hAnsi="Verdana"/>
          <w:sz w:val="20"/>
          <w:szCs w:val="20"/>
          <w:lang w:val="sk-SK"/>
        </w:rPr>
        <w:t>(MH SR, 2020), ktorej oficiálna prezentácia (tzv. Launch event) sa uskutočnila júli 2020 formou videokonferencie. Analýzu vypracovalo v priebehu rokov 2019 až 2020 OECD (OECD, 2020) v spolupráci s Ministerstvom hospodárstva SR (ďalej len MH SR). Na jej tvorbe sa zúčastnili i ďalšie ústredné orgány štátnej správy a inštitúcie relevantné v oblasti regulačnej politiky na Slovensku.</w:t>
      </w:r>
    </w:p>
    <w:p w:rsidR="005C3F63" w:rsidRDefault="006536E7">
      <w:pPr>
        <w:spacing w:after="120"/>
        <w:rPr>
          <w:rFonts w:ascii="Verdana" w:hAnsi="Verdana"/>
          <w:sz w:val="20"/>
          <w:szCs w:val="20"/>
          <w:lang w:val="sk-SK"/>
        </w:rPr>
      </w:pPr>
      <w:r>
        <w:rPr>
          <w:rFonts w:ascii="Verdana" w:hAnsi="Verdana"/>
          <w:i/>
          <w:sz w:val="20"/>
          <w:szCs w:val="20"/>
          <w:lang w:val="sk-SK"/>
        </w:rPr>
        <w:lastRenderedPageBreak/>
        <w:t>Analýza hodnotenia regulačnej politiky SR</w:t>
      </w:r>
      <w:r>
        <w:rPr>
          <w:rFonts w:ascii="Verdana" w:hAnsi="Verdana"/>
          <w:sz w:val="20"/>
          <w:szCs w:val="20"/>
          <w:lang w:val="sk-SK"/>
        </w:rPr>
        <w:t xml:space="preserve"> je jedným z výstupov národného projektu </w:t>
      </w:r>
      <w:r>
        <w:rPr>
          <w:rFonts w:ascii="Verdana" w:hAnsi="Verdana"/>
          <w:i/>
          <w:iCs/>
          <w:sz w:val="20"/>
          <w:szCs w:val="20"/>
          <w:lang w:val="sk-SK"/>
        </w:rPr>
        <w:t>Zlepšovanie podnikateľského prostredia na Slovensku a hodnotenie politík v kompetencii MH SR (MH SR, 2020)</w:t>
      </w:r>
      <w:r>
        <w:rPr>
          <w:rFonts w:ascii="Verdana" w:hAnsi="Verdana"/>
          <w:sz w:val="20"/>
          <w:szCs w:val="20"/>
          <w:lang w:val="sk-SK"/>
        </w:rPr>
        <w:t>, ktorý je financovaný z </w:t>
      </w:r>
      <w:r>
        <w:rPr>
          <w:rFonts w:ascii="Verdana" w:hAnsi="Verdana"/>
          <w:i/>
          <w:sz w:val="20"/>
          <w:szCs w:val="20"/>
          <w:lang w:val="sk-SK"/>
        </w:rPr>
        <w:t>Operačného programu Efektívna verejná správa</w:t>
      </w:r>
      <w:r>
        <w:rPr>
          <w:rFonts w:ascii="Verdana" w:hAnsi="Verdana"/>
          <w:sz w:val="20"/>
          <w:szCs w:val="20"/>
          <w:lang w:val="sk-SK"/>
        </w:rPr>
        <w:t xml:space="preserve"> (OP EVS, 2020). Analýza je členená do 9-tich kapitol, ktoré pokrývajú celú regulačnú oblasť, vrátane zhodnotenia procesu tvorby právnych predpisov, konzultácií s dotknutými subjektmi, ex post hodnotenia regulácií a tiež je zameraná na inovatívne prístupy v SR k tvorbe regulácií na národnej a regionálnej úrovni. OECD v 9 kapitolách vydala celkovo 38 odporúčaní na zlepšenie v jednotlivých oblastiach, z ktorých väčšina je určená vláde SR a niektoré i iným, napr. inšpekčným autoritám. V súvislosti s napĺňaním cieľov lepšej regulácie sú odporúčania OECD vnímané Ministerstvom hospodárstva SR veľmi pozitívne a postupne sú implementované v rámci realizovaných aktivít do národných projektov (Slovak Busines Agency, 2020). Zdrojové dáta pre príspevok sú získané aj z dôvodových správ a zákonov, ktorými sa v roku 2020 upravovalo podnikateľské prostredie na Slovensku, ako výsledok procesu znižovania administratívnej záťaže a aj riešenia situácií spôsobených so šírením ochorenia COVID-19. Na zber údajov bola použitá metóda selekcie a analýzy a pre vyhodnotenie metóda komparácie a syntézy.</w:t>
      </w:r>
    </w:p>
    <w:p w:rsidR="005C3F63" w:rsidRDefault="006536E7">
      <w:pPr>
        <w:pStyle w:val="Kapitola"/>
        <w:rPr>
          <w:lang w:val="sk-SK"/>
        </w:rPr>
      </w:pPr>
      <w:r>
        <w:rPr>
          <w:szCs w:val="22"/>
          <w:lang w:val="sk-SK"/>
        </w:rPr>
        <w:t>3 Výsledky a diskusia / Results and Discussion</w:t>
      </w:r>
    </w:p>
    <w:p w:rsidR="005C3F63" w:rsidRDefault="006536E7">
      <w:pPr>
        <w:spacing w:after="120"/>
        <w:rPr>
          <w:rFonts w:ascii="Verdana" w:hAnsi="Verdana"/>
          <w:sz w:val="20"/>
          <w:szCs w:val="20"/>
          <w:lang w:val="sk-SK"/>
        </w:rPr>
      </w:pPr>
      <w:r>
        <w:rPr>
          <w:rFonts w:ascii="Verdana" w:hAnsi="Verdana"/>
          <w:sz w:val="20"/>
          <w:szCs w:val="20"/>
          <w:lang w:val="sk-SK"/>
        </w:rPr>
        <w:t xml:space="preserve">Posudzovanie vplyvov v rámci projektu lepšej regulácie, ktorú na národnej úrovni koordinuje MH SR, spočíva v systémovom prístupe k posúdeniu pozitívnych a negatívnych dopadov navrhovaných právnych predpisov. </w:t>
      </w:r>
    </w:p>
    <w:p w:rsidR="005C3F63" w:rsidRDefault="006536E7">
      <w:pPr>
        <w:spacing w:after="120"/>
        <w:jc w:val="center"/>
        <w:rPr>
          <w:rFonts w:ascii="Verdana" w:hAnsi="Verdana"/>
          <w:sz w:val="20"/>
          <w:szCs w:val="20"/>
          <w:lang w:val="sk-SK"/>
        </w:rPr>
      </w:pPr>
      <w:r>
        <w:rPr>
          <w:rFonts w:ascii="Verdana" w:hAnsi="Verdana"/>
          <w:b/>
          <w:sz w:val="20"/>
          <w:szCs w:val="20"/>
          <w:lang w:val="sk-SK"/>
        </w:rPr>
        <w:t>Tabuľka 1</w:t>
      </w:r>
      <w:r>
        <w:rPr>
          <w:rFonts w:ascii="Verdana" w:hAnsi="Verdana"/>
          <w:sz w:val="20"/>
          <w:szCs w:val="20"/>
          <w:lang w:val="sk-SK"/>
        </w:rPr>
        <w:t xml:space="preserve"> Postup hodnotenia vplyvov prijímanej regulácie</w:t>
      </w:r>
    </w:p>
    <w:tbl>
      <w:tblPr>
        <w:tblW w:w="9175" w:type="dxa"/>
        <w:jc w:val="center"/>
        <w:tblBorders>
          <w:top w:val="single" w:sz="8" w:space="0" w:color="000000"/>
          <w:bottom w:val="single" w:sz="8" w:space="0" w:color="000000"/>
        </w:tblBorders>
        <w:tblLook w:val="04A0" w:firstRow="1" w:lastRow="0" w:firstColumn="1" w:lastColumn="0" w:noHBand="0" w:noVBand="1"/>
      </w:tblPr>
      <w:tblGrid>
        <w:gridCol w:w="978"/>
        <w:gridCol w:w="8197"/>
      </w:tblGrid>
      <w:tr w:rsidR="005C3F63">
        <w:trPr>
          <w:jc w:val="center"/>
        </w:trPr>
        <w:tc>
          <w:tcPr>
            <w:tcW w:w="978" w:type="dxa"/>
            <w:tcBorders>
              <w:top w:val="single" w:sz="8" w:space="0" w:color="000000"/>
              <w:left w:val="nil"/>
              <w:bottom w:val="double" w:sz="4" w:space="0" w:color="auto"/>
              <w:right w:val="nil"/>
            </w:tcBorders>
          </w:tcPr>
          <w:p w:rsidR="005C3F63" w:rsidRDefault="006536E7">
            <w:pPr>
              <w:jc w:val="left"/>
              <w:rPr>
                <w:rFonts w:ascii="Verdana" w:hAnsi="Verdana"/>
                <w:b/>
                <w:bCs/>
                <w:sz w:val="20"/>
                <w:szCs w:val="20"/>
                <w:lang w:val="sk-SK"/>
              </w:rPr>
            </w:pPr>
            <w:r>
              <w:rPr>
                <w:rFonts w:ascii="Verdana" w:hAnsi="Verdana"/>
                <w:b/>
                <w:bCs/>
                <w:sz w:val="20"/>
                <w:szCs w:val="20"/>
                <w:lang w:val="sk-SK"/>
              </w:rPr>
              <w:t>Krok</w:t>
            </w:r>
          </w:p>
        </w:tc>
        <w:tc>
          <w:tcPr>
            <w:tcW w:w="8197" w:type="dxa"/>
            <w:tcBorders>
              <w:top w:val="single" w:sz="8" w:space="0" w:color="000000"/>
              <w:left w:val="nil"/>
              <w:bottom w:val="double" w:sz="4" w:space="0" w:color="auto"/>
              <w:right w:val="nil"/>
            </w:tcBorders>
          </w:tcPr>
          <w:p w:rsidR="005C3F63" w:rsidRDefault="006536E7">
            <w:pPr>
              <w:jc w:val="left"/>
              <w:rPr>
                <w:rFonts w:ascii="Verdana" w:hAnsi="Verdana"/>
                <w:b/>
                <w:bCs/>
                <w:sz w:val="20"/>
                <w:szCs w:val="20"/>
                <w:lang w:val="sk-SK"/>
              </w:rPr>
            </w:pPr>
            <w:r>
              <w:rPr>
                <w:rFonts w:ascii="Verdana" w:hAnsi="Verdana"/>
                <w:b/>
                <w:sz w:val="20"/>
                <w:szCs w:val="20"/>
                <w:lang w:val="sk-SK"/>
              </w:rPr>
              <w:t>Analýza hodnotenia vplyvov prijímanej regulácie</w:t>
            </w:r>
          </w:p>
        </w:tc>
      </w:tr>
      <w:tr w:rsidR="005C3F63">
        <w:trPr>
          <w:jc w:val="center"/>
        </w:trPr>
        <w:tc>
          <w:tcPr>
            <w:tcW w:w="978" w:type="dxa"/>
            <w:tcBorders>
              <w:top w:val="double" w:sz="4" w:space="0" w:color="auto"/>
              <w:left w:val="nil"/>
              <w:bottom w:val="single" w:sz="4" w:space="0" w:color="auto"/>
              <w:right w:val="nil"/>
            </w:tcBorders>
            <w:shd w:val="clear" w:color="auto" w:fill="FFFFFF"/>
          </w:tcPr>
          <w:p w:rsidR="005C3F63" w:rsidRDefault="006536E7">
            <w:pPr>
              <w:jc w:val="left"/>
              <w:rPr>
                <w:rFonts w:ascii="Verdana" w:hAnsi="Verdana"/>
                <w:bCs/>
                <w:sz w:val="20"/>
                <w:szCs w:val="20"/>
                <w:lang w:val="sk-SK"/>
              </w:rPr>
            </w:pPr>
            <w:r>
              <w:rPr>
                <w:rFonts w:ascii="Verdana" w:hAnsi="Verdana"/>
                <w:bCs/>
                <w:sz w:val="20"/>
                <w:szCs w:val="20"/>
                <w:lang w:val="sk-SK"/>
              </w:rPr>
              <w:t>1.</w:t>
            </w:r>
          </w:p>
        </w:tc>
        <w:tc>
          <w:tcPr>
            <w:tcW w:w="8197" w:type="dxa"/>
            <w:tcBorders>
              <w:top w:val="double" w:sz="4" w:space="0" w:color="auto"/>
              <w:left w:val="nil"/>
              <w:bottom w:val="single" w:sz="4" w:space="0" w:color="auto"/>
              <w:right w:val="nil"/>
            </w:tcBorders>
            <w:shd w:val="clear" w:color="auto" w:fill="FFFFFF"/>
          </w:tcPr>
          <w:p w:rsidR="005C3F63" w:rsidRDefault="006536E7">
            <w:pPr>
              <w:jc w:val="left"/>
              <w:rPr>
                <w:rFonts w:ascii="Verdana" w:hAnsi="Verdana"/>
                <w:bCs/>
                <w:sz w:val="20"/>
                <w:szCs w:val="20"/>
                <w:lang w:val="sk-SK"/>
              </w:rPr>
            </w:pPr>
            <w:r>
              <w:rPr>
                <w:rFonts w:ascii="Verdana" w:hAnsi="Verdana"/>
                <w:sz w:val="20"/>
                <w:szCs w:val="20"/>
                <w:lang w:val="sk-SK"/>
              </w:rPr>
              <w:t>Príprava analýz jednotlivých regulácií ex ante a ex post</w:t>
            </w:r>
          </w:p>
        </w:tc>
      </w:tr>
      <w:tr w:rsidR="005C3F63">
        <w:trPr>
          <w:jc w:val="center"/>
        </w:trPr>
        <w:tc>
          <w:tcPr>
            <w:tcW w:w="978" w:type="dxa"/>
            <w:tcBorders>
              <w:top w:val="single" w:sz="4" w:space="0" w:color="auto"/>
              <w:bottom w:val="single" w:sz="4" w:space="0" w:color="auto"/>
            </w:tcBorders>
            <w:shd w:val="clear" w:color="auto" w:fill="FFFFFF"/>
          </w:tcPr>
          <w:p w:rsidR="005C3F63" w:rsidRDefault="006536E7">
            <w:pPr>
              <w:ind w:right="-89"/>
              <w:jc w:val="left"/>
              <w:rPr>
                <w:rFonts w:ascii="Verdana" w:hAnsi="Verdana"/>
                <w:bCs/>
                <w:sz w:val="20"/>
                <w:szCs w:val="20"/>
                <w:lang w:val="sk-SK"/>
              </w:rPr>
            </w:pPr>
            <w:r>
              <w:rPr>
                <w:rFonts w:ascii="Verdana" w:hAnsi="Verdana"/>
                <w:bCs/>
                <w:sz w:val="20"/>
                <w:szCs w:val="20"/>
                <w:lang w:val="sk-SK"/>
              </w:rPr>
              <w:t>2.</w:t>
            </w:r>
          </w:p>
        </w:tc>
        <w:tc>
          <w:tcPr>
            <w:tcW w:w="8197" w:type="dxa"/>
            <w:tcBorders>
              <w:top w:val="single" w:sz="4" w:space="0" w:color="auto"/>
              <w:bottom w:val="single" w:sz="4" w:space="0" w:color="auto"/>
            </w:tcBorders>
            <w:shd w:val="clear" w:color="auto" w:fill="FFFFFF"/>
          </w:tcPr>
          <w:p w:rsidR="005C3F63" w:rsidRDefault="006536E7">
            <w:pPr>
              <w:ind w:right="-89"/>
              <w:jc w:val="left"/>
              <w:rPr>
                <w:rFonts w:ascii="Verdana" w:hAnsi="Verdana"/>
                <w:bCs/>
                <w:sz w:val="20"/>
                <w:szCs w:val="20"/>
                <w:lang w:val="sk-SK"/>
              </w:rPr>
            </w:pPr>
            <w:r>
              <w:rPr>
                <w:rFonts w:ascii="Verdana" w:hAnsi="Verdana"/>
                <w:sz w:val="20"/>
                <w:szCs w:val="20"/>
                <w:lang w:val="sk-SK"/>
              </w:rPr>
              <w:t>Meranie regulačnej záťaže podnikateľského prostredia</w:t>
            </w:r>
          </w:p>
        </w:tc>
      </w:tr>
      <w:tr w:rsidR="005C3F63">
        <w:trPr>
          <w:jc w:val="center"/>
        </w:trPr>
        <w:tc>
          <w:tcPr>
            <w:tcW w:w="978" w:type="dxa"/>
            <w:tcBorders>
              <w:top w:val="single" w:sz="4" w:space="0" w:color="auto"/>
              <w:left w:val="nil"/>
              <w:bottom w:val="single" w:sz="4" w:space="0" w:color="auto"/>
              <w:right w:val="nil"/>
            </w:tcBorders>
            <w:shd w:val="clear" w:color="auto" w:fill="FFFFFF"/>
          </w:tcPr>
          <w:p w:rsidR="005C3F63" w:rsidRDefault="006536E7">
            <w:pPr>
              <w:jc w:val="left"/>
              <w:rPr>
                <w:rFonts w:ascii="Verdana" w:hAnsi="Verdana"/>
                <w:bCs/>
                <w:sz w:val="20"/>
                <w:szCs w:val="20"/>
                <w:lang w:val="sk-SK"/>
              </w:rPr>
            </w:pPr>
            <w:r>
              <w:rPr>
                <w:rFonts w:ascii="Verdana" w:hAnsi="Verdana"/>
                <w:bCs/>
                <w:sz w:val="20"/>
                <w:szCs w:val="20"/>
                <w:lang w:val="sk-SK"/>
              </w:rPr>
              <w:t>3.</w:t>
            </w:r>
          </w:p>
        </w:tc>
        <w:tc>
          <w:tcPr>
            <w:tcW w:w="8197" w:type="dxa"/>
            <w:tcBorders>
              <w:top w:val="single" w:sz="4" w:space="0" w:color="auto"/>
              <w:left w:val="nil"/>
              <w:bottom w:val="single" w:sz="4" w:space="0" w:color="auto"/>
              <w:right w:val="nil"/>
            </w:tcBorders>
            <w:shd w:val="clear" w:color="auto" w:fill="FFFFFF"/>
          </w:tcPr>
          <w:p w:rsidR="005C3F63" w:rsidRDefault="006536E7">
            <w:pPr>
              <w:jc w:val="left"/>
              <w:rPr>
                <w:rFonts w:ascii="Verdana" w:hAnsi="Verdana"/>
                <w:bCs/>
                <w:sz w:val="20"/>
                <w:szCs w:val="20"/>
                <w:lang w:val="sk-SK"/>
              </w:rPr>
            </w:pPr>
            <w:r>
              <w:rPr>
                <w:rFonts w:ascii="Verdana" w:hAnsi="Verdana"/>
                <w:sz w:val="20"/>
                <w:szCs w:val="20"/>
                <w:lang w:val="sk-SK"/>
              </w:rPr>
              <w:t>Meranie administratívnych nákladov podnikateľského prostredia</w:t>
            </w:r>
          </w:p>
        </w:tc>
      </w:tr>
      <w:tr w:rsidR="005C3F63">
        <w:trPr>
          <w:jc w:val="center"/>
        </w:trPr>
        <w:tc>
          <w:tcPr>
            <w:tcW w:w="978" w:type="dxa"/>
            <w:tcBorders>
              <w:top w:val="single" w:sz="4" w:space="0" w:color="auto"/>
              <w:left w:val="nil"/>
              <w:right w:val="nil"/>
            </w:tcBorders>
            <w:shd w:val="clear" w:color="auto" w:fill="FFFFFF"/>
          </w:tcPr>
          <w:p w:rsidR="005C3F63" w:rsidRDefault="006536E7">
            <w:pPr>
              <w:jc w:val="left"/>
              <w:rPr>
                <w:rFonts w:ascii="Verdana" w:hAnsi="Verdana"/>
                <w:bCs/>
                <w:sz w:val="20"/>
                <w:szCs w:val="20"/>
                <w:lang w:val="sk-SK"/>
              </w:rPr>
            </w:pPr>
            <w:r>
              <w:rPr>
                <w:rFonts w:ascii="Verdana" w:hAnsi="Verdana"/>
                <w:bCs/>
                <w:sz w:val="20"/>
                <w:szCs w:val="20"/>
                <w:lang w:val="sk-SK"/>
              </w:rPr>
              <w:t>4.</w:t>
            </w:r>
          </w:p>
        </w:tc>
        <w:tc>
          <w:tcPr>
            <w:tcW w:w="8197" w:type="dxa"/>
            <w:tcBorders>
              <w:top w:val="single" w:sz="4" w:space="0" w:color="auto"/>
              <w:left w:val="nil"/>
              <w:right w:val="nil"/>
            </w:tcBorders>
            <w:shd w:val="clear" w:color="auto" w:fill="FFFFFF"/>
          </w:tcPr>
          <w:p w:rsidR="005C3F63" w:rsidRDefault="006536E7">
            <w:pPr>
              <w:jc w:val="left"/>
              <w:rPr>
                <w:rFonts w:ascii="Verdana" w:hAnsi="Verdana"/>
                <w:bCs/>
                <w:sz w:val="20"/>
                <w:szCs w:val="20"/>
                <w:lang w:val="sk-SK"/>
              </w:rPr>
            </w:pPr>
            <w:r>
              <w:rPr>
                <w:rFonts w:ascii="Verdana" w:hAnsi="Verdana"/>
                <w:sz w:val="20"/>
                <w:szCs w:val="20"/>
                <w:lang w:val="sk-SK"/>
              </w:rPr>
              <w:t>Príprava návrhov na znižovanie administratívneho zaťaženia podnikateľského prostredia</w:t>
            </w:r>
          </w:p>
        </w:tc>
      </w:tr>
    </w:tbl>
    <w:p w:rsidR="005C3F63" w:rsidRDefault="006536E7">
      <w:pPr>
        <w:spacing w:after="240"/>
        <w:jc w:val="center"/>
        <w:rPr>
          <w:rFonts w:ascii="Verdana" w:hAnsi="Verdana"/>
          <w:sz w:val="18"/>
          <w:szCs w:val="18"/>
          <w:lang w:val="sk-SK"/>
        </w:rPr>
      </w:pPr>
      <w:r>
        <w:rPr>
          <w:rFonts w:ascii="Verdana" w:hAnsi="Verdana"/>
          <w:sz w:val="18"/>
          <w:szCs w:val="18"/>
          <w:lang w:val="sk-SK"/>
        </w:rPr>
        <w:t>Zdroj: Zlepšovanie podnikateľského prostredia (MH SR, 2020)</w:t>
      </w:r>
    </w:p>
    <w:p w:rsidR="005C3F63" w:rsidRDefault="006536E7">
      <w:pPr>
        <w:spacing w:after="120"/>
        <w:rPr>
          <w:rFonts w:ascii="Verdana" w:hAnsi="Verdana"/>
          <w:sz w:val="20"/>
          <w:szCs w:val="20"/>
          <w:lang w:val="sk-SK"/>
        </w:rPr>
      </w:pPr>
      <w:r>
        <w:rPr>
          <w:rFonts w:ascii="Verdana" w:hAnsi="Verdana"/>
          <w:sz w:val="20"/>
          <w:szCs w:val="20"/>
          <w:lang w:val="sk-SK"/>
        </w:rPr>
        <w:t xml:space="preserve">Medzi najvýznamnejšie zmeny patrilo najmä novelizovanie Zákonníka práce, zákona o sociálnom poistení, zákona o sociálnych službách, zákona o BOZP, zákona o dani z príjmov a zákona o ochrane osobných údajov, ktoré reagovali predovšetkým na výnimočnú situáciu kvôli šíreniu ochorenia COVID-19. V rámci sociálneho zabezpečenia (zákon o sociálnom poistení, 2003) sa upravili podmienky nároku na ošetrovné a nemocenské. Upravila sa možnosť splnomocniť vládu SR vydávať v prípade potreby nariadenia vlády, ktorými by počas krízovej situácie COVID-19 a dvoch mesiacov po jej skončení, bolo možné upravovať podmienky nároku na dávku v nezamestnanosti, podmienky výplaty dávky v nezamestnanosti, dĺžku podporného obdobia v nezamestnanosti a výšku samotnej dávky. V rámci pracovného práva (Zákonník práce, 2001) novelizácia priniesla možnosti flexibilnejšieho reagovania zamestnávateľa na dynamické zmeny v ekonomike. Zmeny sa týkali organizácie práce, ochrany zamestnancov v oblasti úpravy pracovného času, v oblasti určenia a čerpania dovolenky. Ďalej sa zmeny týkali prekážok v práci, a to pokiaľ ide o náhradu mzdy pri prekážke v práci na strane zamestnávateľa a pokiaľ ide o ochranu zamestnancov, ktorí mali prekážku v práci na svojej strane. Ďalšou významnou zmenou bolo, že zamestnávateľ získal právo nariadiť zamestnancovi prácu z domácnosti zamestnanca (tzv. home office), za predpokladu, že práca vykonávaná zamestnancom to umožňuje, práca na pracovisku nie je nevyhnutná, prípadne je riziková z dôvodu šírenia prenosnej choroby. Novela Zákonníka práce zmenila možnosti zamestnávateľa týkajúce sa oznamovania pracovných zmien zamestnancom vopred. Rozvrhnutie pracovného času je zamestnávateľ povinný oznámiť zamestnancovi najmenej dva dni vopred a s platnosťou najmenej na týždeň. Zamestnávateľ má aj možnosť dohodnúť sa so zamestnancom podľa potreby na kratšej dobe oznamovania rozvrhnutia pracovného času. Vo všeobecnosti platí, že čerpanie </w:t>
      </w:r>
      <w:r>
        <w:rPr>
          <w:rFonts w:ascii="Verdana" w:hAnsi="Verdana"/>
          <w:sz w:val="20"/>
          <w:szCs w:val="20"/>
          <w:lang w:val="sk-SK"/>
        </w:rPr>
        <w:lastRenderedPageBreak/>
        <w:t xml:space="preserve">dovolenky určuje zamestnávateľ, (podľa Zákonníka práce zamestnávateľ je povinný oznámiť zamestnancovi aspoň 14 dní vopred čerpanie dovolenky). Novela Zákonníka práce túto lehotu skrátila počas trvania mimoriadnej situácie na sedem dní. Pri nevyčerpanej dovolenke za predchádzajúci rok, ktorú si zamestnanec prenáša, mohol zamestnávateľ oznámiť čerpanie minimálne dva dni vopred. V nadväznosti na nové možnosti zamestnávateľa novela Zákonníka práce zaviedla zvýšenú ochranu zamestnancov v čase hrozby koronavírusu tým, že zamestnávateľ je povinný ospravedlniť neprítomnosť zamestnanca v práci pre dôležitú osobnú prekážku v práci, ktorou je karanténa alebo izolácia. Zamestnancovi za tento čas nepatrila náhrada mzdy, ak osobitný predpis neustanovil inak. Zamestnanec, ktorý má dôležitú osobnú prekážku v práci z dôvodu karanténneho opatrenia, izolácie, osobného a celodenného ošetrovania chorého člena rodiny atď. sa posudzuje ako zamestnanec, ktorý je uznaný dočasne za práceneschopného. Novela rieši aj postavenie zamestnanca po návrate do práce po uplynutí krízy. V súvislosti s tým sa upravila nová prekážka v práci na strane zamestnávateľa. Ak zamestnanec nemôže vykonávať prácu celkom alebo z časti pre zastavenie alebo obmedzenie činnosti zamestnávateľa na základe rozhodnutia príslušného orgánu alebo pre zastavenie alebo obmedzenie činnosti zamestnávateľa ako dôsledku vyhlásenia mimoriadnej situácie, núdzového stavu alebo výnimočného stavu, ide o prekážku v práci na strane zamestnávateľa, pri ktorej patrí zamestnancovi náhrada mzdy v sume 80 % jeho priemerného zárobku, najmenej však v sume minimálnej mzdy. Ministerstvo práce, sociálnych vecí a rodiny SR (ďalej len MPSVR SR) spustilo prvú pomoc zamestnancom, zamestnávateľom a SZČO pri znižovaní dopadov koronavírusu, a od apríla 2020 prijímalo žiadosti o príspevky na mzdy zamestnancov od zamestnávateľov, ktorí museli povinne zatvoriť prevádzky. Zamestnávatelia, ktorí museli svoje prevádzky zatvoriť, mohli požiadať o príspevok na mzdu zamestnanca vo výške 80 % jeho priemerného zárobku, najviac vo výške 1 100 eur. Podmienkou bolo udržanie pracovného miesta aj po skončení krízového obdobia. Príspevok sa poskytoval na zamestnanca, ktorému zamestnávateľ nemôže prideľovať prácu z dôvodu prekážky na strane zamestnávateľa. Výška príspevku na náhradu straty príjmov zo zárobkovej činnosti sa poskytovala nadväzne na pokles tržieb. Výška príspevku sa určila podľa poklesu tržieb a každý žiadateľ si zvolil jednu z alternatív spôsobu výpočtu poklesu tržieb. Príspevok sa poskytoval od marca 2020, t.j. odo dňa rozhodnutia </w:t>
      </w:r>
      <w:r>
        <w:rPr>
          <w:rFonts w:ascii="Verdana" w:hAnsi="Verdana"/>
          <w:i/>
          <w:sz w:val="20"/>
          <w:szCs w:val="20"/>
          <w:lang w:val="sk-SK"/>
        </w:rPr>
        <w:t>Úradu verejného zdravotníctva SR</w:t>
      </w:r>
      <w:r>
        <w:rPr>
          <w:rFonts w:ascii="Verdana" w:hAnsi="Verdana"/>
          <w:sz w:val="20"/>
          <w:szCs w:val="20"/>
          <w:lang w:val="sk-SK"/>
        </w:rPr>
        <w:t xml:space="preserve"> o uzatvorení alebo obmedzení prevádzok, do konca kalendárneho mesiaca, v ktorom sa rozhodnutie zruší.</w:t>
      </w:r>
    </w:p>
    <w:p w:rsidR="005C3F63" w:rsidRDefault="006536E7">
      <w:pPr>
        <w:spacing w:after="120"/>
        <w:rPr>
          <w:rFonts w:ascii="Verdana" w:hAnsi="Verdana"/>
          <w:sz w:val="20"/>
          <w:szCs w:val="20"/>
          <w:lang w:val="sk-SK"/>
        </w:rPr>
      </w:pPr>
      <w:r>
        <w:rPr>
          <w:rFonts w:ascii="Verdana" w:hAnsi="Verdana"/>
          <w:sz w:val="20"/>
          <w:szCs w:val="20"/>
          <w:lang w:val="sk-SK"/>
        </w:rPr>
        <w:t>Ďalším zákonom, ktorého cieľom bolo odbremeniť zamestnávateľov v čase krízovej situácie od plnenia povinností, bola oblasť bezpečnosti a ochrany zdravia pri práci (zákon o BOZP, 2006). Zamestnávateľ nie je povinný oboznamovať zamestnanca pri prijatí do zamestnania, pri preradení na iné pracovisko, pri zaradení na inú prácu, pri zavedení novej technológie, nového pracovného prostriedku alebo nového postupu s touto skutočnosťou, ak k tomu došlo počas mimoriadnej situácie, núdzového stavu alebo výnimočného stavu vyhláseného v súvislosti s ochorením COVID-19. Predpokladom je, že túto povinnosť si zamestnávateľ nemôže splniť z objektívnych dôvodov. Nesplnenie tejto povinnosti však nesmie bezprostredne a vážne ohroziť život a zdravie zamestnanca. Túto povinnosť je však zamestnávateľ povinný splniť ihneď, ako to bude možné, najneskôr do jedného mesiaca od odvolania krízovej situácie. Novelou zákona sa ustanovili aj lehoty na účasť na rekondičných pobytoch, na vykonanie lekárskych preventívnych prehliadok, ktoré sú nevyhnutné pre zachovanie platnosti dokladov o odbornej spôsobilosti; lehoty na absolvovanie aktualizačných odborných príprav a lehoty na vykonanie úradných skúšok, odborných prehliadok a kontrol pracovných prostriedkov atď.</w:t>
      </w:r>
    </w:p>
    <w:p w:rsidR="005C3F63" w:rsidRDefault="006536E7">
      <w:pPr>
        <w:spacing w:after="120"/>
        <w:rPr>
          <w:rFonts w:ascii="Verdana" w:hAnsi="Verdana"/>
          <w:sz w:val="20"/>
          <w:szCs w:val="20"/>
          <w:lang w:val="sk-SK"/>
        </w:rPr>
      </w:pPr>
      <w:r>
        <w:rPr>
          <w:rFonts w:ascii="Verdana" w:hAnsi="Verdana"/>
          <w:sz w:val="20"/>
          <w:szCs w:val="20"/>
          <w:lang w:val="sk-SK"/>
        </w:rPr>
        <w:t xml:space="preserve">Súčasná situácia priviedla alebo môže priviesť mnohých zamestnávateľov k spracúvaniu osobných údajov, týkajúcich sa zdravia svojich zamestnancov v súvislosti s COVID-19. Údaje, týkajúce sa zdravia zamestnanca a akékoľvek informácie, z ktorých možno odvodiť informácie o zdravotnom stave zamestnanca, spadajú do osobitnej kategórie tzv. citlivých osobných údajov. Spracúvanie týchto údajov si vyžaduje osobitnú ochranu, keďže ich spracúvanie by mohlo predstavovať významné riziká pre základné práva a slobody dotknutých osôb. Zamestnanec je povinný informovať svojho zamestnávateľa, </w:t>
      </w:r>
      <w:r>
        <w:rPr>
          <w:rFonts w:ascii="Verdana" w:hAnsi="Verdana"/>
          <w:sz w:val="20"/>
          <w:szCs w:val="20"/>
          <w:lang w:val="sk-SK"/>
        </w:rPr>
        <w:lastRenderedPageBreak/>
        <w:t>že sa vrátil zo zahraničia alebo bol v kontakte s osobou, ktorá je alebo môže byť potenciálne nakazená. Zamestnávateľ je povinný posudzovať riziko nákazy na pracovisku, a v prípade potreby vykonať vhodné opatrenia na zabezpečenie ochrany zdravia zamestnancov. Zamestnávatelia môžu prísť do kontaktu aj so zdravotnými údajmi rodinných príslušníkov svojich zamestnancov alebo iných osôb. Tieto informácie sú získavané od inej, ako dotknutej osoby a preto je potrebné zabezpečiť informovanosť aj týchto osôb o podmienkach spracúvania ich osobných údajov. Spracúvané citlivé údaje a údaje poskytované ostatným kolegom je zamestnávateľ povinný zredukovať na nevyhnutnú mieru a zabezpečiť, aby sa so všetkými zozbieranými informáciami zaobchádzalo bezpečne (zákon o ochrane osobných údajov, 2018). Pri home office a využívaní technológií pri práci na diaľku sa môže do konfliktu dostať právo zamestnanca na súkromie so záujmami zamestnávateľa (napr. detekcia straty osobných údajov, vznik bezpečnostných hrozieb, kontrola výkonnosti zamestnanca). S ohľadom na základné princípy GDPR je potrebné, aby si účtovná jednotka nastavila interné systémy a technológie tak, aby sa minimalizovalo množstvo a citlivosť spracúvaných osobných údajov, resp. aby boli dáta získavané a uchovávané cielene. Pri využívaní technológií práce na diaľku, pri ktorých dochádza k spracúvaniu osobných údajov zamestnancov, musia byť zamestnanci oboznámení s účelom, rozsahom a použitím dát. Ak zamestnávateľ nariadi zamestnancovi home office je potrebné zabezpečiť primerané bezpečnostné opatrenia (organizačné a technické), ktoré zaručia dôvernosť, integritu a dostupnosť spracúvaných osobných údajov a to definovaním účelu a právneho základu spracúvania osobných údajov vo forme napr. súhlasu s takýmto spracovaním. Ďalšou možnosťou môže byť vydanie resp. aktualizácia interných predpisov v oblasti používania elektronických zariadení a systémov. Účtovná jednotka - zamestnávateľ je tak schopná nastaviť spôsob používania zariadenia zamestnancom aj na súkromné účely. Ak zamestnávateľ zvolí akúkoľvek formu monitorovania resp. kontroly zamestnancov prostredníctvom nimi využívaných zariadení a systémov, musí zabezpečiť neprekročenie právneho rámca spracúvania osobných údajov v duchu zásady primeranosti, nevyhnutnosti a minimalizácie spracúvaných osobných údajov a musí zamestnanca o takomto monitoringu primerane informovať (zákon o ochrane osobných údajov, 2018).</w:t>
      </w:r>
    </w:p>
    <w:p w:rsidR="005C3F63" w:rsidRDefault="006536E7">
      <w:pPr>
        <w:rPr>
          <w:rFonts w:ascii="Verdana" w:hAnsi="Verdana"/>
          <w:sz w:val="20"/>
          <w:szCs w:val="20"/>
          <w:lang w:val="sk-SK"/>
        </w:rPr>
      </w:pPr>
      <w:r>
        <w:rPr>
          <w:rFonts w:ascii="Verdana" w:hAnsi="Verdana"/>
          <w:sz w:val="20"/>
          <w:szCs w:val="20"/>
          <w:lang w:val="sk-SK"/>
        </w:rPr>
        <w:t xml:space="preserve">Významné zmeny do podnikateľského prostredia priniesli </w:t>
      </w:r>
      <w:r>
        <w:rPr>
          <w:rFonts w:ascii="Verdana" w:hAnsi="Verdana"/>
          <w:i/>
          <w:sz w:val="20"/>
          <w:szCs w:val="20"/>
          <w:lang w:val="sk-SK"/>
        </w:rPr>
        <w:t>opatrenia v rámci Lex korona</w:t>
      </w:r>
      <w:r>
        <w:rPr>
          <w:rFonts w:ascii="Verdana" w:hAnsi="Verdana"/>
          <w:sz w:val="20"/>
          <w:szCs w:val="20"/>
          <w:lang w:val="sk-SK"/>
        </w:rPr>
        <w:t xml:space="preserve"> (MF SR, 2020). Došlo k posunom termínov na podanie daňových priznaní PO a FO, odloženiu daňových exekúcií, odkladu platenia preddavkov na daň z príjmov, odloženiu vymáhania nedoplatkov v colnom a exekučnom konaní atď. Opatrenia Lex korona stanovili aj formu pomoci pre neziskové organizácie či samosprávy. Balík opatrení je rozdelený do troch oblastí a ide o návrhy, ktoré by mali pomôcť daňovníkom zvládnuť náročné ekonomické obdobie spôsobené ochorením COVID-19. Opatrenia Lex korona sú rozdelené do troch oblastí, a to:</w:t>
      </w:r>
    </w:p>
    <w:p w:rsidR="005C3F63" w:rsidRDefault="006536E7">
      <w:pPr>
        <w:pStyle w:val="afd"/>
        <w:numPr>
          <w:ilvl w:val="0"/>
          <w:numId w:val="24"/>
        </w:numPr>
        <w:ind w:left="426" w:hanging="426"/>
        <w:jc w:val="left"/>
        <w:rPr>
          <w:rFonts w:ascii="Verdana" w:hAnsi="Verdana"/>
          <w:sz w:val="20"/>
          <w:szCs w:val="20"/>
          <w:lang w:val="sk-SK"/>
        </w:rPr>
      </w:pPr>
      <w:r>
        <w:rPr>
          <w:rFonts w:ascii="Verdana" w:hAnsi="Verdana"/>
          <w:sz w:val="20"/>
          <w:szCs w:val="20"/>
          <w:lang w:val="sk-SK"/>
        </w:rPr>
        <w:t>daňová oblasť, colná oblasť a účtovná oblasť,</w:t>
      </w:r>
    </w:p>
    <w:p w:rsidR="005C3F63" w:rsidRDefault="006536E7">
      <w:pPr>
        <w:pStyle w:val="afd"/>
        <w:numPr>
          <w:ilvl w:val="0"/>
          <w:numId w:val="24"/>
        </w:numPr>
        <w:ind w:left="426" w:hanging="426"/>
        <w:jc w:val="left"/>
        <w:rPr>
          <w:rFonts w:ascii="Verdana" w:hAnsi="Verdana"/>
          <w:sz w:val="20"/>
          <w:szCs w:val="20"/>
          <w:lang w:val="sk-SK"/>
        </w:rPr>
      </w:pPr>
      <w:r>
        <w:rPr>
          <w:rFonts w:ascii="Verdana" w:hAnsi="Verdana"/>
          <w:sz w:val="20"/>
          <w:szCs w:val="20"/>
          <w:lang w:val="sk-SK"/>
        </w:rPr>
        <w:t>finančný trh, a</w:t>
      </w:r>
    </w:p>
    <w:p w:rsidR="005C3F63" w:rsidRDefault="006536E7">
      <w:pPr>
        <w:pStyle w:val="afd"/>
        <w:numPr>
          <w:ilvl w:val="0"/>
          <w:numId w:val="24"/>
        </w:numPr>
        <w:spacing w:after="120"/>
        <w:ind w:left="425" w:hanging="425"/>
        <w:jc w:val="left"/>
        <w:rPr>
          <w:rFonts w:ascii="Verdana" w:hAnsi="Verdana"/>
          <w:sz w:val="20"/>
          <w:szCs w:val="20"/>
          <w:lang w:val="sk-SK"/>
        </w:rPr>
      </w:pPr>
      <w:r>
        <w:rPr>
          <w:rFonts w:ascii="Verdana" w:hAnsi="Verdana"/>
          <w:sz w:val="20"/>
          <w:szCs w:val="20"/>
          <w:lang w:val="sk-SK"/>
        </w:rPr>
        <w:t>rozpočtové pravidlá.</w:t>
      </w:r>
    </w:p>
    <w:p w:rsidR="005C3F63" w:rsidRDefault="006536E7">
      <w:pPr>
        <w:spacing w:after="120"/>
        <w:rPr>
          <w:rFonts w:ascii="Verdana" w:hAnsi="Verdana"/>
          <w:sz w:val="20"/>
          <w:szCs w:val="20"/>
          <w:lang w:val="sk-SK"/>
        </w:rPr>
      </w:pPr>
      <w:r>
        <w:rPr>
          <w:rFonts w:ascii="Verdana" w:hAnsi="Verdana"/>
          <w:sz w:val="20"/>
          <w:szCs w:val="20"/>
          <w:lang w:val="sk-SK"/>
        </w:rPr>
        <w:t xml:space="preserve">V apríli 2020 bol vydaný tretí balík Lex korona, ktorý zavádza ďalšie opatrenia vo finančnej oblasti v súvislosti so šírením COVID-19, týkajúce sa oblasti správy daní, dane z motorových vozidiel, dane z príjmov, používania registračných pokladníc ale aj v oblasti dane z pridanej hodnoty, spotrebných daní a cla. Opatrenia Lex korona sa dotýkajú aj miestnych daní a miestnych poplatkov. Ďalší balík opatrení z júna 2020 priniesol 114 zmien, ktoré majú ambíciu zlepšiť podnikateľské prostredie a pomôcť naštartovať slovenskú ekonomiku po pandémii. Zmeny sa týkajú rôznych zákonov ako napr. obchodného práva (Obchodný zákonník, 1991), ktoré umožní, že na zvýšenie základného imania v spoločnosti s ručením obmedzeným bude možné použiť nerozdelený zisk ako aj iné vlastné zdroje účtovnej jednotky vykázané v účtovnej závierke, bez povinnosti overenia účtovnej závierky audítorom. Ďalšie zmeny sa týkajú zníženia správnych poplatkov, stavebného povolenia, živnostenského podnikania, sociálneho poistenia, reklamy, ochrany spotrebiteľa, služieb zamestnanosti, cestnej premávky atď. V rámci správy daní je prijaté opatrenie, ktorým sa ustanovuje predĺženie minimálnej lehoty na vyjadrenie k protokolu z daňovej kontroly zo súčasných 15 pracovných dní na 30 </w:t>
      </w:r>
      <w:r>
        <w:rPr>
          <w:rFonts w:ascii="Verdana" w:hAnsi="Verdana"/>
          <w:sz w:val="20"/>
          <w:szCs w:val="20"/>
          <w:lang w:val="sk-SK"/>
        </w:rPr>
        <w:lastRenderedPageBreak/>
        <w:t>pracovných dní od doručenia protokolu. V oblasti dane z príjmov zasa umožnenie automatického zvýšenia preukázateľne vynaložených výdavkov na spotrebu pohonných látok prepočítaných podľa spotreby uvedenej v osvedčení o evidencii alebo v technickom preukaze o 20 % bez povinnosti dokladovania a zisťovania vyššej spotreby.</w:t>
      </w:r>
    </w:p>
    <w:p w:rsidR="005C3F63" w:rsidRDefault="006536E7">
      <w:pPr>
        <w:shd w:val="clear" w:color="auto" w:fill="FFFFFF"/>
        <w:rPr>
          <w:rFonts w:ascii="Verdana" w:hAnsi="Verdana"/>
          <w:sz w:val="20"/>
          <w:szCs w:val="20"/>
          <w:lang w:val="sk-SK"/>
        </w:rPr>
      </w:pPr>
      <w:r>
        <w:rPr>
          <w:rFonts w:ascii="Verdana" w:hAnsi="Verdana"/>
          <w:sz w:val="20"/>
          <w:szCs w:val="20"/>
          <w:lang w:val="sk-SK"/>
        </w:rPr>
        <w:t>Veľmi významnú zmenu priniesla novela zákona o účtovníctve (zákon o účtovníctve, 2003), ktorou nastávajú zmeny v povinnostiach overovania účtovnej závierky audítorom. Zmena bola prijatá v rámci opatrení na zlepšenie podnikateľského prostredia a zapríčinila, že sa budú v rokoch 2021 a 2022 zvyšovať veľkostné kritériá pre povinnosť overiť účtovnú závierku audítorom. Pre účtovné obdobie začínajúce najskôr 1. 1. 2021 budú stanovené nasledujúce kritériá:</w:t>
      </w:r>
    </w:p>
    <w:p w:rsidR="005C3F63" w:rsidRDefault="006536E7">
      <w:pPr>
        <w:shd w:val="clear" w:color="auto" w:fill="FFFFFF"/>
        <w:rPr>
          <w:rFonts w:ascii="Verdana" w:hAnsi="Verdana"/>
          <w:sz w:val="20"/>
          <w:szCs w:val="20"/>
          <w:lang w:val="sk-SK"/>
        </w:rPr>
      </w:pPr>
      <w:r>
        <w:rPr>
          <w:rFonts w:ascii="Verdana" w:hAnsi="Verdana"/>
          <w:sz w:val="20"/>
          <w:szCs w:val="20"/>
          <w:lang w:val="sk-SK"/>
        </w:rPr>
        <w:t>a) celková suma majetku presiahla 3 000 000 eur,</w:t>
      </w:r>
    </w:p>
    <w:p w:rsidR="005C3F63" w:rsidRDefault="006536E7">
      <w:pPr>
        <w:shd w:val="clear" w:color="auto" w:fill="FFFFFF"/>
        <w:rPr>
          <w:rFonts w:ascii="Verdana" w:hAnsi="Verdana"/>
          <w:sz w:val="20"/>
          <w:szCs w:val="20"/>
          <w:lang w:val="sk-SK"/>
        </w:rPr>
      </w:pPr>
      <w:r>
        <w:rPr>
          <w:rFonts w:ascii="Verdana" w:hAnsi="Verdana"/>
          <w:sz w:val="20"/>
          <w:szCs w:val="20"/>
          <w:lang w:val="sk-SK"/>
        </w:rPr>
        <w:t>b) čistý obrat presiahol 6 000 000 eur,</w:t>
      </w:r>
    </w:p>
    <w:p w:rsidR="005C3F63" w:rsidRDefault="006536E7">
      <w:pPr>
        <w:shd w:val="clear" w:color="auto" w:fill="FFFFFF"/>
        <w:spacing w:after="120"/>
        <w:rPr>
          <w:rFonts w:ascii="Verdana" w:hAnsi="Verdana"/>
          <w:sz w:val="20"/>
          <w:szCs w:val="20"/>
          <w:lang w:val="sk-SK"/>
        </w:rPr>
      </w:pPr>
      <w:r>
        <w:rPr>
          <w:rFonts w:ascii="Verdana" w:hAnsi="Verdana"/>
          <w:sz w:val="20"/>
          <w:szCs w:val="20"/>
          <w:lang w:val="sk-SK"/>
        </w:rPr>
        <w:t>c) priemerný prepočítaný počet zamestnancov v jednom účtovnom období presiahol 40.</w:t>
      </w:r>
    </w:p>
    <w:p w:rsidR="005C3F63" w:rsidRDefault="006536E7">
      <w:pPr>
        <w:shd w:val="clear" w:color="auto" w:fill="FFFFFF"/>
        <w:rPr>
          <w:rFonts w:ascii="Verdana" w:hAnsi="Verdana"/>
          <w:sz w:val="20"/>
          <w:szCs w:val="20"/>
          <w:lang w:val="sk-SK"/>
        </w:rPr>
      </w:pPr>
      <w:r>
        <w:rPr>
          <w:rFonts w:ascii="Verdana" w:hAnsi="Verdana"/>
          <w:sz w:val="20"/>
          <w:szCs w:val="20"/>
          <w:lang w:val="sk-SK"/>
        </w:rPr>
        <w:t>Od 1. 1. 2022 sa tieto kritéria budú ešte zvyšovať. Pri posudzovaní povinnosti overovať účtovnú závierku audítorom budú, od 1. 1. 2022 a na nasledujúce roky, platné kritériá:</w:t>
      </w:r>
    </w:p>
    <w:p w:rsidR="005C3F63" w:rsidRDefault="006536E7">
      <w:pPr>
        <w:shd w:val="clear" w:color="auto" w:fill="FFFFFF"/>
        <w:rPr>
          <w:rFonts w:ascii="Verdana" w:hAnsi="Verdana"/>
          <w:sz w:val="20"/>
          <w:szCs w:val="20"/>
          <w:lang w:val="sk-SK"/>
        </w:rPr>
      </w:pPr>
      <w:r>
        <w:rPr>
          <w:rFonts w:ascii="Verdana" w:hAnsi="Verdana"/>
          <w:sz w:val="20"/>
          <w:szCs w:val="20"/>
          <w:lang w:val="sk-SK"/>
        </w:rPr>
        <w:t>a) celková suma majetku presiahla 4 000 000 eur,</w:t>
      </w:r>
    </w:p>
    <w:p w:rsidR="005C3F63" w:rsidRDefault="006536E7">
      <w:pPr>
        <w:shd w:val="clear" w:color="auto" w:fill="FFFFFF"/>
        <w:rPr>
          <w:rFonts w:ascii="Verdana" w:hAnsi="Verdana"/>
          <w:sz w:val="20"/>
          <w:szCs w:val="20"/>
          <w:lang w:val="sk-SK"/>
        </w:rPr>
      </w:pPr>
      <w:r>
        <w:rPr>
          <w:rFonts w:ascii="Verdana" w:hAnsi="Verdana"/>
          <w:sz w:val="20"/>
          <w:szCs w:val="20"/>
          <w:lang w:val="sk-SK"/>
        </w:rPr>
        <w:t>b) čistý obrat presiahol 8 000 000 eur,</w:t>
      </w:r>
    </w:p>
    <w:p w:rsidR="005C3F63" w:rsidRDefault="006536E7">
      <w:pPr>
        <w:shd w:val="clear" w:color="auto" w:fill="FFFFFF"/>
        <w:rPr>
          <w:rFonts w:ascii="Verdana" w:hAnsi="Verdana"/>
          <w:sz w:val="20"/>
          <w:szCs w:val="20"/>
          <w:lang w:val="sk-SK"/>
        </w:rPr>
      </w:pPr>
      <w:r>
        <w:rPr>
          <w:rFonts w:ascii="Verdana" w:hAnsi="Verdana"/>
          <w:sz w:val="20"/>
          <w:szCs w:val="20"/>
          <w:lang w:val="sk-SK"/>
        </w:rPr>
        <w:t>c) priemerný prepočítaný počet zamestnancov v jednom účtovnom období presiahol 50.</w:t>
      </w:r>
    </w:p>
    <w:p w:rsidR="005C3F63" w:rsidRDefault="006536E7">
      <w:pPr>
        <w:pStyle w:val="Kapitola"/>
        <w:rPr>
          <w:lang w:val="sk-SK"/>
        </w:rPr>
      </w:pPr>
      <w:r>
        <w:rPr>
          <w:lang w:val="sk-SK"/>
        </w:rPr>
        <w:t>Záver / Conclusions</w:t>
      </w:r>
    </w:p>
    <w:p w:rsidR="005C3F63" w:rsidRDefault="006536E7">
      <w:pPr>
        <w:spacing w:after="120"/>
        <w:rPr>
          <w:rFonts w:ascii="Verdana" w:hAnsi="Verdana"/>
          <w:sz w:val="20"/>
          <w:szCs w:val="20"/>
          <w:lang w:val="sk-SK"/>
        </w:rPr>
      </w:pPr>
      <w:r>
        <w:rPr>
          <w:rFonts w:ascii="Verdana" w:hAnsi="Verdana"/>
          <w:sz w:val="20"/>
          <w:szCs w:val="20"/>
          <w:lang w:val="sk-SK"/>
        </w:rPr>
        <w:t xml:space="preserve">Aktuálna koronakríza ukázala, že ak Slovensko nechce stagnovať a byť iba montážnou dielňou pre bohatšie krajiny, musí realizovať komplexné zmeny. Zmeny prijaté v rámci opatrení Lex korona majú ambíciu naštartovať slovenskú ekonomiku a pomôcť jej vysporiadať sa s následkami spôsobenými šírením ochorenia COVID-19. Zmeny podnikateľského prostredia vyvolané koronavírusom, ako aj snahou o znižovanie administratívnej záťaže, majú za cieľ dosiahnuť všestrannú podporu podnikateľského sektora pomocou opatrení napomáhajúcich oživeniu ekonomiky v období, nasledujúcom po tomto útlme. Prijaté alebo navrhované opatrenia,, v napr. rámci projektu </w:t>
      </w:r>
      <w:r>
        <w:rPr>
          <w:rFonts w:ascii="Verdana" w:hAnsi="Verdana"/>
          <w:i/>
          <w:sz w:val="20"/>
          <w:szCs w:val="20"/>
          <w:lang w:val="sk-SK"/>
        </w:rPr>
        <w:t>Opatrenia na zlepšenie podnikateľského prostredia</w:t>
      </w:r>
      <w:r>
        <w:rPr>
          <w:rFonts w:ascii="Verdana" w:hAnsi="Verdana"/>
          <w:sz w:val="20"/>
          <w:szCs w:val="20"/>
          <w:lang w:val="sk-SK"/>
        </w:rPr>
        <w:t xml:space="preserve"> (MH SR, 2020), sú orientované nielen na zmeny legislatívneho charakteru, finančné nástroje a podporné programy ale tieto oparenia majú komplexný charakter pre naplnenie cieľov národného projektu </w:t>
      </w:r>
      <w:r>
        <w:rPr>
          <w:rFonts w:ascii="Verdana" w:hAnsi="Verdana"/>
          <w:i/>
          <w:iCs/>
          <w:sz w:val="20"/>
          <w:szCs w:val="20"/>
          <w:lang w:val="sk-SK"/>
        </w:rPr>
        <w:t>Zlepšovanie podnikateľského prostredia na Slovensku a hodnotenie politík v kompetencii MH SR (MH SR, 2020)</w:t>
      </w:r>
      <w:r>
        <w:rPr>
          <w:rFonts w:ascii="Verdana" w:hAnsi="Verdana"/>
          <w:sz w:val="20"/>
          <w:szCs w:val="20"/>
          <w:lang w:val="sk-SK"/>
        </w:rPr>
        <w:t>.</w:t>
      </w:r>
    </w:p>
    <w:p w:rsidR="005C3F63" w:rsidRDefault="006536E7">
      <w:pPr>
        <w:pStyle w:val="Kapitola"/>
        <w:rPr>
          <w:lang w:val="sk-SK"/>
        </w:rPr>
      </w:pPr>
      <w:r>
        <w:rPr>
          <w:lang w:val="sk-SK"/>
        </w:rPr>
        <w:t>Príslušnosť ku grantové úlohe / Acnowledgements</w:t>
      </w:r>
    </w:p>
    <w:p w:rsidR="005C3F63" w:rsidRDefault="006536E7">
      <w:pPr>
        <w:spacing w:after="120"/>
        <w:rPr>
          <w:rFonts w:ascii="Verdana" w:hAnsi="Verdana"/>
          <w:sz w:val="20"/>
          <w:szCs w:val="20"/>
          <w:lang w:val="sk-SK"/>
        </w:rPr>
      </w:pPr>
      <w:r>
        <w:rPr>
          <w:rFonts w:ascii="Verdana" w:hAnsi="Verdana"/>
          <w:sz w:val="20"/>
          <w:szCs w:val="20"/>
          <w:lang w:val="sk-SK"/>
        </w:rPr>
        <w:t>Článok bol spracovaný v rámci projektu VEGA č. 1/0120/18 Moderné nástroje riadenia rizika v interných modeloch poisťovní v kontexte direktívy Solvency II, riešenom na FHI EU v Bratislave.</w:t>
      </w:r>
    </w:p>
    <w:p w:rsidR="005C3F63" w:rsidRDefault="006536E7">
      <w:pPr>
        <w:pStyle w:val="Kapitola"/>
        <w:rPr>
          <w:lang w:val="sk-SK"/>
        </w:rPr>
      </w:pPr>
      <w:r>
        <w:rPr>
          <w:lang w:val="sk-SK"/>
        </w:rPr>
        <w:t>Literárne zdroje a iné odkazy / References</w:t>
      </w:r>
    </w:p>
    <w:p w:rsidR="005C3F63" w:rsidRDefault="006536E7">
      <w:pPr>
        <w:pStyle w:val="aff"/>
        <w:rPr>
          <w:rFonts w:ascii="Verdana" w:hAnsi="Verdana"/>
          <w:sz w:val="20"/>
          <w:szCs w:val="20"/>
          <w:lang w:val="sk-SK"/>
        </w:rPr>
      </w:pPr>
      <w:r>
        <w:rPr>
          <w:rFonts w:ascii="Verdana" w:hAnsi="Verdana"/>
          <w:sz w:val="20"/>
          <w:szCs w:val="20"/>
          <w:lang w:val="sk-SK"/>
        </w:rPr>
        <w:t xml:space="preserve">MH SR (2020). </w:t>
      </w:r>
      <w:r>
        <w:rPr>
          <w:rFonts w:ascii="Verdana" w:hAnsi="Verdana"/>
          <w:i/>
          <w:sz w:val="20"/>
          <w:szCs w:val="20"/>
          <w:lang w:val="sk-SK"/>
        </w:rPr>
        <w:t>Analýzy hodnotenia regulačnej politiky SR</w:t>
      </w:r>
      <w:r>
        <w:rPr>
          <w:rFonts w:ascii="Verdana" w:hAnsi="Verdana"/>
          <w:sz w:val="20"/>
          <w:szCs w:val="20"/>
          <w:lang w:val="sk-SK"/>
        </w:rPr>
        <w:t>.: Retrieved from: https://www.economy.gov.sk/podnikatelske-prostredie/lepsia-regulacia/narodny-projekt-zlepsovanie-podnikatelskeho-prostredia-na-slovensku-a-hodnotenie-politik-v-kompetencii-ministerstva-hospodarstva-sr/oecd-regulatory-performance-review/oficialne-predstavenie-analyzy-launch-event.</w:t>
      </w:r>
    </w:p>
    <w:p w:rsidR="005C3F63" w:rsidRDefault="006536E7">
      <w:pPr>
        <w:pStyle w:val="aff"/>
        <w:rPr>
          <w:rFonts w:ascii="Verdana" w:hAnsi="Verdana"/>
          <w:sz w:val="20"/>
          <w:szCs w:val="20"/>
          <w:lang w:val="sk-SK"/>
        </w:rPr>
      </w:pPr>
      <w:r>
        <w:rPr>
          <w:rFonts w:ascii="Verdana" w:hAnsi="Verdana"/>
          <w:sz w:val="20"/>
          <w:szCs w:val="20"/>
          <w:lang w:val="sk-SK"/>
        </w:rPr>
        <w:t xml:space="preserve">MH SR (2020). </w:t>
      </w:r>
      <w:r>
        <w:rPr>
          <w:rFonts w:ascii="Verdana" w:hAnsi="Verdana"/>
          <w:i/>
          <w:sz w:val="20"/>
          <w:szCs w:val="20"/>
          <w:lang w:val="sk-SK"/>
        </w:rPr>
        <w:t>Zlepšovanie podnikateľského prostredia na Slovensku a hodnotenie politík v kompetencii MH SR</w:t>
      </w:r>
      <w:r>
        <w:rPr>
          <w:rFonts w:ascii="Verdana" w:hAnsi="Verdana"/>
          <w:sz w:val="20"/>
          <w:szCs w:val="20"/>
          <w:lang w:val="sk-SK"/>
        </w:rPr>
        <w:t>. Retrieved from: https://www.economy.gov.sk/podnikatelske-prostredie/lepsia-regulacia/narodny-projekt-zlepsovanie-podnikatelskeho-prostredia-na-slovensku-a-hodnotenie-politik-v-kompetencii-ministerstva-hospodarstva-sr.</w:t>
      </w:r>
    </w:p>
    <w:p w:rsidR="005C3F63" w:rsidRDefault="006536E7">
      <w:pPr>
        <w:pStyle w:val="aff"/>
        <w:rPr>
          <w:rFonts w:ascii="Verdana" w:hAnsi="Verdana"/>
          <w:sz w:val="20"/>
          <w:szCs w:val="20"/>
          <w:lang w:val="sk-SK"/>
        </w:rPr>
      </w:pPr>
      <w:r>
        <w:rPr>
          <w:rFonts w:ascii="Verdana" w:hAnsi="Verdana"/>
          <w:sz w:val="20"/>
          <w:szCs w:val="20"/>
          <w:lang w:val="sk-SK"/>
        </w:rPr>
        <w:t xml:space="preserve">OECD (2020). </w:t>
      </w:r>
      <w:r>
        <w:rPr>
          <w:rFonts w:ascii="Verdana" w:hAnsi="Verdana"/>
          <w:i/>
          <w:sz w:val="20"/>
          <w:szCs w:val="20"/>
        </w:rPr>
        <w:t>Regulatory Policy Review of the Slovak Republic.</w:t>
      </w:r>
      <w:r>
        <w:rPr>
          <w:rFonts w:ascii="Verdana" w:hAnsi="Verdana"/>
          <w:sz w:val="20"/>
          <w:szCs w:val="20"/>
          <w:lang w:val="sk-SK"/>
        </w:rPr>
        <w:t xml:space="preserve"> Retrieved from: https://www.economy.gov.sk/podnikatelske-prostredie/lepsia-regulacia/narodny-projekt-zlepsovanie-podnikatelskeho-prostredia-na-slovensku-a-hodnotenie-politik-v-kompetencii-ministerstva-hospodarstva-sr/oecd-regulatory-performance-review/analyza-oecd-regulatory-policy-review-2020.</w:t>
      </w:r>
    </w:p>
    <w:p w:rsidR="005C3F63" w:rsidRDefault="006536E7">
      <w:pPr>
        <w:pStyle w:val="aff"/>
        <w:rPr>
          <w:rFonts w:ascii="Verdana" w:hAnsi="Verdana"/>
          <w:sz w:val="20"/>
          <w:szCs w:val="20"/>
          <w:lang w:val="sk-SK"/>
        </w:rPr>
      </w:pPr>
      <w:r>
        <w:rPr>
          <w:rFonts w:ascii="Verdana" w:hAnsi="Verdana"/>
          <w:sz w:val="20"/>
          <w:szCs w:val="20"/>
          <w:lang w:val="sk-SK"/>
        </w:rPr>
        <w:lastRenderedPageBreak/>
        <w:t xml:space="preserve">MF SR (2020). </w:t>
      </w:r>
      <w:r>
        <w:rPr>
          <w:rFonts w:ascii="Verdana" w:hAnsi="Verdana"/>
          <w:i/>
          <w:sz w:val="20"/>
          <w:szCs w:val="20"/>
          <w:lang w:val="sk-SK"/>
        </w:rPr>
        <w:t>Opatrenia v rámci Lex korona</w:t>
      </w:r>
      <w:r>
        <w:rPr>
          <w:rFonts w:ascii="Verdana" w:hAnsi="Verdana"/>
          <w:sz w:val="20"/>
          <w:szCs w:val="20"/>
          <w:lang w:val="sk-SK"/>
        </w:rPr>
        <w:t>. Retrieved from: https://www.mfsr.sk/sk/media/tlacove-spravy/ministerstvo-financii-predstavilo-opatrenia-ramci-lex-korona.html.</w:t>
      </w:r>
    </w:p>
    <w:p w:rsidR="005C3F63" w:rsidRDefault="006536E7">
      <w:pPr>
        <w:pStyle w:val="aff"/>
        <w:rPr>
          <w:rFonts w:ascii="Verdana" w:hAnsi="Verdana"/>
          <w:sz w:val="20"/>
          <w:szCs w:val="20"/>
          <w:lang w:val="sk-SK"/>
        </w:rPr>
      </w:pPr>
      <w:r>
        <w:rPr>
          <w:rFonts w:ascii="Verdana" w:hAnsi="Verdana"/>
          <w:bCs/>
          <w:sz w:val="20"/>
          <w:szCs w:val="20"/>
          <w:lang w:val="sk-SK"/>
        </w:rPr>
        <w:t xml:space="preserve">MH SR (2020). </w:t>
      </w:r>
      <w:r>
        <w:rPr>
          <w:rFonts w:ascii="Verdana" w:hAnsi="Verdana"/>
          <w:bCs/>
          <w:i/>
          <w:sz w:val="20"/>
          <w:szCs w:val="20"/>
          <w:lang w:val="sk-SK"/>
        </w:rPr>
        <w:t>Národný projekt: Zlepšovanie podnikateľského prostredia na Slovensku a hodnotenie politík v kompetencii Ministerstva hospodárstva SR</w:t>
      </w:r>
      <w:r>
        <w:rPr>
          <w:rFonts w:ascii="Verdana" w:hAnsi="Verdana"/>
          <w:bCs/>
          <w:sz w:val="20"/>
          <w:szCs w:val="20"/>
          <w:lang w:val="sk-SK"/>
        </w:rPr>
        <w:t>.</w:t>
      </w:r>
      <w:r>
        <w:rPr>
          <w:rFonts w:ascii="Verdana" w:hAnsi="Verdana"/>
          <w:b/>
          <w:bCs/>
          <w:sz w:val="20"/>
          <w:szCs w:val="20"/>
          <w:lang w:val="sk-SK"/>
        </w:rPr>
        <w:t xml:space="preserve"> </w:t>
      </w:r>
      <w:r>
        <w:rPr>
          <w:rFonts w:ascii="Verdana" w:hAnsi="Verdana"/>
          <w:sz w:val="20"/>
          <w:szCs w:val="20"/>
          <w:lang w:val="sk-SK"/>
        </w:rPr>
        <w:t xml:space="preserve">Retrieved from: </w:t>
      </w:r>
      <w:r>
        <w:rPr>
          <w:rFonts w:ascii="Verdana" w:hAnsi="Verdana"/>
          <w:bCs/>
          <w:sz w:val="20"/>
          <w:szCs w:val="20"/>
          <w:lang w:val="sk-SK"/>
        </w:rPr>
        <w:t>https://www.economy.gov.sk/podnikatelske-prostredie/lepsia-regulacia/narodny-projekt-zlepsovanie-podnikatelskeho-prostredia-na-slovensku-a-hodnotenie-politik-v-kompetencii-ministerstva-hospodarstva-sr/oecd-regulatory-performance-review/oficialne-predstavenie-analyzy-launch-event.</w:t>
      </w:r>
    </w:p>
    <w:p w:rsidR="005C3F63" w:rsidRDefault="006536E7">
      <w:pPr>
        <w:pStyle w:val="aff"/>
        <w:rPr>
          <w:rFonts w:ascii="Verdana" w:hAnsi="Verdana"/>
          <w:sz w:val="20"/>
          <w:szCs w:val="20"/>
          <w:lang w:val="sk-SK"/>
        </w:rPr>
      </w:pPr>
      <w:r>
        <w:rPr>
          <w:rFonts w:ascii="Verdana" w:hAnsi="Verdana"/>
          <w:i/>
          <w:sz w:val="20"/>
          <w:szCs w:val="20"/>
          <w:lang w:val="sk-SK"/>
        </w:rPr>
        <w:t>MH SR(2020). Opatrenia na zlepšenie podnikateľského prostredia</w:t>
      </w:r>
      <w:r>
        <w:rPr>
          <w:rFonts w:ascii="Verdana" w:hAnsi="Verdana"/>
          <w:sz w:val="20"/>
          <w:szCs w:val="20"/>
          <w:lang w:val="sk-SK"/>
        </w:rPr>
        <w:t>. Retrieved from: https://www.mhsr.sk/podnikatelske-prostredie/opatrenia-na-zlepsenie-podnikatelskeho-prostredia.</w:t>
      </w:r>
    </w:p>
    <w:p w:rsidR="005C3F63" w:rsidRDefault="006536E7">
      <w:pPr>
        <w:pStyle w:val="aff"/>
        <w:rPr>
          <w:rFonts w:ascii="Verdana" w:hAnsi="Verdana"/>
          <w:sz w:val="20"/>
          <w:szCs w:val="20"/>
          <w:lang w:val="sk-SK"/>
        </w:rPr>
      </w:pPr>
      <w:r>
        <w:rPr>
          <w:rFonts w:ascii="Verdana" w:hAnsi="Verdana"/>
          <w:bCs/>
          <w:sz w:val="20"/>
          <w:szCs w:val="20"/>
          <w:lang w:val="sk-SK"/>
        </w:rPr>
        <w:t>OP EVS. (2020).</w:t>
      </w:r>
      <w:r>
        <w:rPr>
          <w:rFonts w:ascii="Verdana" w:hAnsi="Verdana"/>
          <w:sz w:val="20"/>
          <w:szCs w:val="20"/>
          <w:lang w:val="sk-SK"/>
        </w:rPr>
        <w:t xml:space="preserve"> </w:t>
      </w:r>
      <w:r>
        <w:rPr>
          <w:rFonts w:ascii="Verdana" w:hAnsi="Verdana"/>
          <w:bCs/>
          <w:i/>
          <w:sz w:val="20"/>
          <w:szCs w:val="20"/>
          <w:lang w:val="sk-SK"/>
        </w:rPr>
        <w:t>Operačný programu Efektívna verejná správa</w:t>
      </w:r>
      <w:r>
        <w:rPr>
          <w:rFonts w:ascii="Verdana" w:hAnsi="Verdana"/>
          <w:sz w:val="20"/>
          <w:szCs w:val="20"/>
          <w:lang w:val="sk-SK"/>
        </w:rPr>
        <w:t xml:space="preserve">. Retrieved from: </w:t>
      </w:r>
      <w:hyperlink r:id="rId198" w:tgtFrame="_blank" w:tooltip="OP EVS [nové okno]" w:history="1">
        <w:r>
          <w:rPr>
            <w:rFonts w:ascii="Verdana" w:hAnsi="Verdana"/>
            <w:sz w:val="20"/>
            <w:szCs w:val="20"/>
            <w:lang w:val="sk-SK"/>
          </w:rPr>
          <w:t>http://www.opevs.eu/</w:t>
        </w:r>
      </w:hyperlink>
      <w:r>
        <w:rPr>
          <w:rFonts w:ascii="Verdana" w:hAnsi="Verdana"/>
          <w:sz w:val="20"/>
          <w:szCs w:val="20"/>
          <w:lang w:val="sk-SK"/>
        </w:rPr>
        <w:t>.</w:t>
      </w:r>
    </w:p>
    <w:p w:rsidR="005C3F63" w:rsidRDefault="006536E7">
      <w:pPr>
        <w:pStyle w:val="aff"/>
        <w:rPr>
          <w:rFonts w:ascii="Verdana" w:hAnsi="Verdana"/>
          <w:sz w:val="20"/>
          <w:szCs w:val="20"/>
          <w:lang w:val="sk-SK"/>
        </w:rPr>
      </w:pPr>
      <w:r>
        <w:rPr>
          <w:rFonts w:ascii="Verdana" w:hAnsi="Verdana"/>
          <w:sz w:val="20"/>
          <w:szCs w:val="20"/>
          <w:lang w:val="sk-SK"/>
        </w:rPr>
        <w:t xml:space="preserve">Slovak Busines Agency (2020). </w:t>
      </w:r>
      <w:r>
        <w:rPr>
          <w:rFonts w:ascii="Verdana" w:hAnsi="Verdana"/>
          <w:i/>
          <w:sz w:val="20"/>
          <w:szCs w:val="20"/>
          <w:lang w:val="sk-SK"/>
        </w:rPr>
        <w:t>Analýza vybraných zmien v pracovno- právnej legislatíve a ich dopadov na MSP</w:t>
      </w:r>
      <w:r>
        <w:rPr>
          <w:rFonts w:ascii="Verdana" w:hAnsi="Verdana"/>
          <w:sz w:val="20"/>
          <w:szCs w:val="20"/>
          <w:lang w:val="sk-SK"/>
        </w:rPr>
        <w:t>. Retrieved from: http://www.sbagency.sk/sites/default/files/analyza_vybranych_zmien_v_pracovno-pravnej_legislative_a_ich_dopadov_na_msp.pdf.</w:t>
      </w:r>
    </w:p>
    <w:p w:rsidR="005C3F63" w:rsidRDefault="006536E7">
      <w:pPr>
        <w:pStyle w:val="aff"/>
        <w:rPr>
          <w:rFonts w:ascii="Verdana" w:hAnsi="Verdana"/>
          <w:sz w:val="20"/>
          <w:szCs w:val="20"/>
          <w:lang w:val="sk-SK"/>
        </w:rPr>
      </w:pPr>
      <w:r>
        <w:rPr>
          <w:rFonts w:ascii="Verdana" w:hAnsi="Verdana"/>
          <w:sz w:val="20"/>
          <w:szCs w:val="20"/>
          <w:lang w:val="sk-SK"/>
        </w:rPr>
        <w:t>Zákon č. 124/2006 Z. z. o bezpečnosti a ochrane zdravia pri práci a o zmene a doplnení niektorých zákonov.</w:t>
      </w:r>
    </w:p>
    <w:p w:rsidR="005C3F63" w:rsidRDefault="006536E7">
      <w:pPr>
        <w:pStyle w:val="aff"/>
        <w:rPr>
          <w:rFonts w:ascii="Verdana" w:hAnsi="Verdana"/>
          <w:sz w:val="20"/>
          <w:szCs w:val="20"/>
          <w:lang w:val="sk-SK"/>
        </w:rPr>
      </w:pPr>
      <w:r>
        <w:rPr>
          <w:rFonts w:ascii="Verdana" w:hAnsi="Verdana"/>
          <w:sz w:val="20"/>
          <w:szCs w:val="20"/>
          <w:lang w:val="sk-SK"/>
        </w:rPr>
        <w:t>Zákon č. 461/2003 Z. z. o sociálnom poistení v znení neskorších predpisov.</w:t>
      </w:r>
    </w:p>
    <w:p w:rsidR="005C3F63" w:rsidRDefault="006536E7">
      <w:pPr>
        <w:pStyle w:val="aff"/>
        <w:rPr>
          <w:rFonts w:ascii="Verdana" w:hAnsi="Verdana"/>
          <w:sz w:val="20"/>
          <w:szCs w:val="20"/>
          <w:lang w:val="sk-SK"/>
        </w:rPr>
      </w:pPr>
      <w:r>
        <w:rPr>
          <w:rFonts w:ascii="Verdana" w:hAnsi="Verdana"/>
          <w:sz w:val="20"/>
          <w:szCs w:val="20"/>
          <w:lang w:val="sk-SK"/>
        </w:rPr>
        <w:t>Zákon č. 431/2002 Z. z. o účtovníctve v znení neskorších predpisov.</w:t>
      </w:r>
    </w:p>
    <w:p w:rsidR="005C3F63" w:rsidRDefault="006536E7">
      <w:pPr>
        <w:pStyle w:val="aff"/>
        <w:rPr>
          <w:rFonts w:ascii="Verdana" w:hAnsi="Verdana"/>
          <w:sz w:val="20"/>
          <w:szCs w:val="20"/>
          <w:lang w:val="sk-SK"/>
        </w:rPr>
      </w:pPr>
      <w:r>
        <w:rPr>
          <w:rFonts w:ascii="Verdana" w:hAnsi="Verdana"/>
          <w:sz w:val="20"/>
          <w:szCs w:val="20"/>
          <w:lang w:val="sk-SK"/>
        </w:rPr>
        <w:t>Zákon č. 311/2001 Z. z. Zákonník práce v znení neskorších predpisov.</w:t>
      </w:r>
    </w:p>
    <w:p w:rsidR="005C3F63" w:rsidRDefault="006536E7">
      <w:pPr>
        <w:pStyle w:val="aff"/>
        <w:rPr>
          <w:rFonts w:ascii="Verdana" w:hAnsi="Verdana"/>
          <w:sz w:val="20"/>
          <w:szCs w:val="20"/>
          <w:lang w:val="sk-SK"/>
        </w:rPr>
      </w:pPr>
      <w:r>
        <w:rPr>
          <w:rFonts w:ascii="Verdana" w:hAnsi="Verdana"/>
          <w:sz w:val="20"/>
          <w:szCs w:val="20"/>
          <w:lang w:val="sk-SK"/>
        </w:rPr>
        <w:t>Zákon č. 513/1991 Zb. Obchodný zákonník v znení neskorších predpisov.</w:t>
      </w:r>
    </w:p>
    <w:p w:rsidR="005C3F63" w:rsidRDefault="006536E7">
      <w:pPr>
        <w:pStyle w:val="aff"/>
        <w:rPr>
          <w:rFonts w:ascii="Verdana" w:hAnsi="Verdana"/>
          <w:sz w:val="20"/>
          <w:szCs w:val="20"/>
          <w:lang w:val="sk-SK"/>
        </w:rPr>
      </w:pPr>
      <w:r>
        <w:rPr>
          <w:rFonts w:ascii="Verdana" w:hAnsi="Verdana"/>
          <w:sz w:val="20"/>
          <w:szCs w:val="20"/>
          <w:lang w:val="sk-SK"/>
        </w:rPr>
        <w:t>Zákon č. 18/2018 Z. z. o ochrane osobných údajov a o zmene a doplnení niektorých zákonov v znení neskorších predpisov.</w:t>
      </w:r>
    </w:p>
    <w:p w:rsidR="005C3F63" w:rsidRDefault="006536E7">
      <w:pPr>
        <w:jc w:val="left"/>
        <w:rPr>
          <w:rFonts w:ascii="Verdana" w:eastAsia="MS Mincho" w:hAnsi="Verdana"/>
          <w:kern w:val="2"/>
          <w:sz w:val="20"/>
          <w:szCs w:val="20"/>
          <w:shd w:val="clear" w:color="auto" w:fill="FFFFFF"/>
          <w:lang w:val="sk-SK" w:eastAsia="ja-JP" w:bidi="ar-SA"/>
        </w:rPr>
      </w:pPr>
      <w:r>
        <w:rPr>
          <w:rFonts w:ascii="Verdana" w:hAnsi="Verdana"/>
          <w:sz w:val="20"/>
          <w:szCs w:val="20"/>
          <w:lang w:val="sk-SK"/>
        </w:rPr>
        <w:br w:type="page"/>
      </w:r>
    </w:p>
    <w:p w:rsidR="005C3F63" w:rsidRDefault="006536E7">
      <w:pPr>
        <w:pStyle w:val="1"/>
      </w:pPr>
      <w:bookmarkStart w:id="648" w:name="_Toc47951536"/>
      <w:r>
        <w:lastRenderedPageBreak/>
        <w:t>Technical improvement and repairs of fixed assets in the view of the case law of the Supreme Administrative Court</w:t>
      </w:r>
      <w:bookmarkEnd w:id="648"/>
    </w:p>
    <w:p w:rsidR="005C3F63" w:rsidRDefault="006536E7">
      <w:pPr>
        <w:pStyle w:val="Autor"/>
      </w:pPr>
      <w:bookmarkStart w:id="649" w:name="_Toc47444604"/>
      <w:bookmarkStart w:id="650" w:name="_Toc47448121"/>
      <w:bookmarkStart w:id="651" w:name="_Toc47446370"/>
      <w:bookmarkStart w:id="652" w:name="_Toc47443673"/>
      <w:bookmarkStart w:id="653" w:name="_Toc47447931"/>
      <w:bookmarkStart w:id="654" w:name="_Toc47440872"/>
      <w:bookmarkStart w:id="655" w:name="_Toc47441619"/>
      <w:bookmarkStart w:id="656" w:name="_Toc47444445"/>
      <w:bookmarkStart w:id="657" w:name="_Toc47448565"/>
      <w:bookmarkStart w:id="658" w:name="_Toc47438972"/>
      <w:bookmarkStart w:id="659" w:name="_Toc47446712"/>
      <w:bookmarkStart w:id="660" w:name="_Toc47445735"/>
      <w:bookmarkStart w:id="661" w:name="_Toc47443572"/>
      <w:bookmarkStart w:id="662" w:name="_Toc47448325"/>
      <w:bookmarkStart w:id="663" w:name="_Toc47444288"/>
      <w:bookmarkStart w:id="664" w:name="_Toc47439782"/>
      <w:bookmarkStart w:id="665" w:name="_Toc47448067"/>
      <w:bookmarkStart w:id="666" w:name="_Toc47445958"/>
      <w:bookmarkStart w:id="667" w:name="_Toc47444137"/>
      <w:bookmarkStart w:id="668" w:name="_Toc47435444"/>
      <w:bookmarkStart w:id="669" w:name="_Toc47442679"/>
      <w:bookmarkStart w:id="670" w:name="_Toc47447166"/>
      <w:bookmarkStart w:id="671" w:name="_Toc47441199"/>
      <w:bookmarkStart w:id="672" w:name="_Toc47440100"/>
      <w:bookmarkStart w:id="673" w:name="_Toc47448203"/>
      <w:bookmarkStart w:id="674" w:name="_Toc47443440"/>
      <w:bookmarkStart w:id="675" w:name="_Toc47948741"/>
      <w:bookmarkStart w:id="676" w:name="_Toc47441686"/>
      <w:bookmarkStart w:id="677" w:name="_Toc47449321"/>
      <w:bookmarkStart w:id="678" w:name="_Toc47448620"/>
      <w:bookmarkStart w:id="679" w:name="_Toc47951537"/>
      <w:bookmarkStart w:id="680" w:name="_Toc47949314"/>
      <w:bookmarkStart w:id="681" w:name="_Toc47446110"/>
      <w:bookmarkStart w:id="682" w:name="_Toc47951379"/>
      <w:bookmarkStart w:id="683" w:name="_Toc47951472"/>
      <w:bookmarkStart w:id="684" w:name="_Toc47441499"/>
      <w:bookmarkStart w:id="685" w:name="_Toc47948802"/>
      <w:bookmarkStart w:id="686" w:name="_Toc47447985"/>
      <w:bookmarkStart w:id="687" w:name="_Toc47451162"/>
      <w:bookmarkStart w:id="688" w:name="_Toc47949000"/>
      <w:bookmarkStart w:id="689" w:name="_Toc47448846"/>
      <w:r>
        <w:rPr>
          <w:rStyle w:val="AutorChar"/>
          <w:b/>
        </w:rPr>
        <w:t>Libuše Müllerová</w:t>
      </w:r>
      <w:r>
        <w:rPr>
          <w:rStyle w:val="AutorChar"/>
          <w:b/>
          <w:vertAlign w:val="superscript"/>
        </w:rPr>
        <w:t>1</w:t>
      </w:r>
      <w:r>
        <w:rPr>
          <w:rStyle w:val="AutorChar"/>
          <w:b/>
        </w:rPr>
        <w:t>, Michal Šindelář</w:t>
      </w:r>
      <w:r>
        <w:rPr>
          <w:rStyle w:val="AutorChar"/>
          <w:b/>
          <w:vertAlign w:val="superscript"/>
        </w:rPr>
        <w:t>2</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p>
    <w:p w:rsidR="005C3F63" w:rsidRDefault="006536E7">
      <w:pPr>
        <w:jc w:val="center"/>
        <w:rPr>
          <w:rFonts w:ascii="Verdana" w:hAnsi="Verdana"/>
          <w:sz w:val="18"/>
          <w:szCs w:val="18"/>
        </w:rPr>
      </w:pPr>
      <w:r>
        <w:rPr>
          <w:rFonts w:ascii="Verdana" w:hAnsi="Verdana"/>
          <w:sz w:val="18"/>
          <w:szCs w:val="18"/>
          <w:vertAlign w:val="superscript"/>
        </w:rPr>
        <w:t>1</w:t>
      </w:r>
      <w:r>
        <w:rPr>
          <w:rFonts w:ascii="Verdana" w:hAnsi="Verdana"/>
          <w:sz w:val="18"/>
          <w:szCs w:val="18"/>
        </w:rPr>
        <w:t>University of Economics, Prague</w:t>
      </w:r>
    </w:p>
    <w:p w:rsidR="005C3F63" w:rsidRDefault="006536E7">
      <w:pPr>
        <w:jc w:val="center"/>
        <w:rPr>
          <w:rFonts w:ascii="Verdana" w:hAnsi="Verdana"/>
          <w:sz w:val="18"/>
          <w:szCs w:val="18"/>
        </w:rPr>
      </w:pPr>
      <w:r>
        <w:rPr>
          <w:rFonts w:ascii="Verdana" w:hAnsi="Verdana"/>
          <w:sz w:val="18"/>
          <w:szCs w:val="18"/>
        </w:rPr>
        <w:t>Faculty of Finance and Accounting, Department of Financial Accounting and Auditing</w:t>
      </w:r>
    </w:p>
    <w:p w:rsidR="005C3F63" w:rsidRDefault="006536E7">
      <w:pPr>
        <w:jc w:val="center"/>
        <w:rPr>
          <w:rFonts w:ascii="Verdana" w:hAnsi="Verdana"/>
          <w:sz w:val="18"/>
          <w:szCs w:val="18"/>
        </w:rPr>
      </w:pPr>
      <w:r>
        <w:rPr>
          <w:rFonts w:ascii="Verdana" w:hAnsi="Verdana"/>
          <w:sz w:val="18"/>
          <w:szCs w:val="18"/>
        </w:rPr>
        <w:t>nám. W. Churchilla 1938/4, 130 67, Prague 3</w:t>
      </w:r>
    </w:p>
    <w:p w:rsidR="005C3F63" w:rsidRDefault="006536E7">
      <w:pPr>
        <w:jc w:val="center"/>
        <w:rPr>
          <w:rFonts w:ascii="Verdana" w:hAnsi="Verdana"/>
          <w:sz w:val="18"/>
          <w:szCs w:val="18"/>
          <w:lang w:val="en-GB"/>
        </w:rPr>
      </w:pPr>
      <w:r>
        <w:rPr>
          <w:rFonts w:ascii="Verdana" w:hAnsi="Verdana"/>
          <w:sz w:val="18"/>
          <w:szCs w:val="18"/>
          <w:lang w:val="en-GB"/>
        </w:rPr>
        <w:t>E-mail:</w:t>
      </w:r>
      <w:r>
        <w:t xml:space="preserve"> </w:t>
      </w:r>
      <w:r>
        <w:rPr>
          <w:rFonts w:ascii="Verdana" w:hAnsi="Verdana"/>
          <w:sz w:val="18"/>
          <w:szCs w:val="18"/>
          <w:lang w:val="en-GB"/>
        </w:rPr>
        <w:t>muller@vse.cz</w:t>
      </w:r>
    </w:p>
    <w:p w:rsidR="005C3F63" w:rsidRDefault="005C3F63">
      <w:pPr>
        <w:jc w:val="center"/>
        <w:rPr>
          <w:rFonts w:ascii="Verdana" w:hAnsi="Verdana"/>
          <w:sz w:val="18"/>
          <w:szCs w:val="18"/>
          <w:lang w:val="en-GB"/>
        </w:rPr>
      </w:pPr>
    </w:p>
    <w:p w:rsidR="005C3F63" w:rsidRDefault="006536E7">
      <w:pPr>
        <w:jc w:val="center"/>
        <w:rPr>
          <w:rFonts w:ascii="Verdana" w:hAnsi="Verdana"/>
          <w:sz w:val="18"/>
          <w:szCs w:val="18"/>
        </w:rPr>
      </w:pPr>
      <w:r>
        <w:rPr>
          <w:rFonts w:ascii="Verdana" w:hAnsi="Verdana"/>
          <w:sz w:val="18"/>
          <w:szCs w:val="18"/>
          <w:vertAlign w:val="superscript"/>
        </w:rPr>
        <w:t>2</w:t>
      </w:r>
      <w:r>
        <w:rPr>
          <w:rFonts w:ascii="Verdana" w:hAnsi="Verdana"/>
          <w:sz w:val="18"/>
          <w:szCs w:val="18"/>
        </w:rPr>
        <w:t>University of Economics, Prague</w:t>
      </w:r>
    </w:p>
    <w:p w:rsidR="005C3F63" w:rsidRDefault="006536E7">
      <w:pPr>
        <w:jc w:val="center"/>
        <w:rPr>
          <w:rFonts w:ascii="Verdana" w:hAnsi="Verdana"/>
          <w:sz w:val="18"/>
          <w:szCs w:val="18"/>
        </w:rPr>
      </w:pPr>
      <w:r>
        <w:rPr>
          <w:rFonts w:ascii="Verdana" w:hAnsi="Verdana"/>
          <w:sz w:val="18"/>
          <w:szCs w:val="18"/>
        </w:rPr>
        <w:t>Faculty of Finance and Accounting, Department of Financial Accounting and Auditing</w:t>
      </w:r>
    </w:p>
    <w:p w:rsidR="005C3F63" w:rsidRDefault="006536E7">
      <w:pPr>
        <w:jc w:val="center"/>
        <w:rPr>
          <w:rFonts w:ascii="Verdana" w:hAnsi="Verdana"/>
          <w:sz w:val="18"/>
          <w:szCs w:val="18"/>
        </w:rPr>
      </w:pPr>
      <w:r>
        <w:rPr>
          <w:rFonts w:ascii="Verdana" w:hAnsi="Verdana"/>
          <w:sz w:val="18"/>
          <w:szCs w:val="18"/>
        </w:rPr>
        <w:t>nám. W. Churchilla 1938/4, 130 67, Prague 3</w:t>
      </w:r>
    </w:p>
    <w:p w:rsidR="005C3F63" w:rsidRDefault="006536E7">
      <w:pPr>
        <w:jc w:val="center"/>
        <w:rPr>
          <w:rFonts w:ascii="Verdana" w:hAnsi="Verdana"/>
          <w:sz w:val="18"/>
          <w:szCs w:val="18"/>
          <w:lang w:val="en-GB"/>
        </w:rPr>
      </w:pPr>
      <w:r>
        <w:rPr>
          <w:rFonts w:ascii="Verdana" w:hAnsi="Verdana"/>
          <w:sz w:val="18"/>
          <w:szCs w:val="18"/>
          <w:lang w:val="en-GB"/>
        </w:rPr>
        <w:t>E-mail: michal.sindelar@vse.cz</w:t>
      </w:r>
    </w:p>
    <w:p w:rsidR="005C3F63" w:rsidRDefault="005C3F63">
      <w:pPr>
        <w:rPr>
          <w:rFonts w:ascii="Verdana" w:hAnsi="Verdana"/>
          <w:sz w:val="22"/>
          <w:lang w:val="en-GB"/>
        </w:rPr>
      </w:pPr>
    </w:p>
    <w:p w:rsidR="005C3F63" w:rsidRDefault="006536E7">
      <w:pPr>
        <w:spacing w:after="120"/>
        <w:rPr>
          <w:rFonts w:ascii="Verdana" w:hAnsi="Verdana"/>
          <w:i/>
          <w:sz w:val="20"/>
          <w:szCs w:val="20"/>
          <w:lang w:val="en-GB"/>
        </w:rPr>
      </w:pPr>
      <w:r>
        <w:rPr>
          <w:rFonts w:ascii="Verdana" w:hAnsi="Verdana"/>
          <w:b/>
          <w:i/>
          <w:sz w:val="20"/>
          <w:szCs w:val="20"/>
          <w:lang w:val="en-GB"/>
        </w:rPr>
        <w:t xml:space="preserve">Abstract: </w:t>
      </w:r>
    </w:p>
    <w:p w:rsidR="005C3F63" w:rsidRDefault="006536E7">
      <w:pPr>
        <w:spacing w:after="120"/>
        <w:rPr>
          <w:rFonts w:ascii="Verdana" w:hAnsi="Verdana"/>
          <w:i/>
          <w:sz w:val="20"/>
          <w:szCs w:val="20"/>
          <w:lang w:val="en-GB"/>
        </w:rPr>
      </w:pPr>
      <w:r>
        <w:rPr>
          <w:rFonts w:ascii="Verdana" w:hAnsi="Verdana"/>
          <w:i/>
          <w:sz w:val="20"/>
          <w:szCs w:val="20"/>
          <w:lang w:val="en-GB"/>
        </w:rPr>
        <w:t>In practice, it is difficult to distinguish between the repair of fixed assets and their capital improvements. The companies, in cooperation with tax advisors, are intensively solving this issue, and the expenses of property repairs are also part of tax audits. The aim of the article is to analyse the judgments of the Supreme Administrative Court with a focus on tax assessments due to incorrect inclusion of repair expenses in the tax base. The analysis shows that these disputes are very complex, based on a thorough preparation of the evidence of both parties to the dispute and that tax assessments are imposed in this area.</w:t>
      </w:r>
    </w:p>
    <w:p w:rsidR="005C3F63" w:rsidRDefault="006536E7">
      <w:pPr>
        <w:spacing w:after="120"/>
        <w:rPr>
          <w:rFonts w:ascii="Verdana" w:hAnsi="Verdana"/>
          <w:i/>
          <w:sz w:val="20"/>
          <w:szCs w:val="20"/>
          <w:lang w:val="en-GB"/>
        </w:rPr>
      </w:pPr>
      <w:r>
        <w:rPr>
          <w:rFonts w:ascii="Verdana" w:hAnsi="Verdana"/>
          <w:b/>
          <w:i/>
          <w:sz w:val="20"/>
          <w:szCs w:val="20"/>
          <w:lang w:val="en-GB"/>
        </w:rPr>
        <w:t>Keywords:</w:t>
      </w:r>
      <w:r>
        <w:rPr>
          <w:rFonts w:ascii="Verdana" w:hAnsi="Verdana"/>
          <w:i/>
          <w:sz w:val="20"/>
          <w:szCs w:val="20"/>
          <w:lang w:val="en-GB"/>
        </w:rPr>
        <w:t xml:space="preserve"> Subsequent expenditures on assets, Capitalisation and Expensing, Case Law of the Supreme Administrative Court, Taxation, Accounting</w:t>
      </w:r>
    </w:p>
    <w:p w:rsidR="005C3F63" w:rsidRDefault="006536E7">
      <w:pPr>
        <w:pStyle w:val="04-Anotacijostekstas"/>
        <w:spacing w:before="0" w:after="120"/>
        <w:ind w:left="0" w:right="-284"/>
        <w:jc w:val="left"/>
        <w:rPr>
          <w:rFonts w:ascii="Verdana" w:hAnsi="Verdana"/>
          <w:i/>
          <w:lang w:val="en-GB"/>
        </w:rPr>
      </w:pPr>
      <w:r>
        <w:rPr>
          <w:rFonts w:ascii="Verdana" w:hAnsi="Verdana"/>
          <w:i/>
          <w:lang w:val="en-GB"/>
        </w:rPr>
        <w:t>JEL codes: H26, M41</w:t>
      </w:r>
    </w:p>
    <w:p w:rsidR="005C3F63" w:rsidRDefault="006536E7">
      <w:pPr>
        <w:pStyle w:val="Kapitola"/>
      </w:pPr>
      <w:r>
        <w:rPr>
          <w:rStyle w:val="KapitolaChar"/>
          <w:b/>
          <w:bCs/>
        </w:rPr>
        <w:t>1 Úvod</w:t>
      </w:r>
    </w:p>
    <w:p w:rsidR="005C3F63" w:rsidRDefault="006536E7">
      <w:pPr>
        <w:spacing w:after="120"/>
        <w:rPr>
          <w:rFonts w:ascii="Verdana" w:hAnsi="Verdana"/>
          <w:sz w:val="20"/>
          <w:szCs w:val="20"/>
          <w:lang w:val="cs-CZ"/>
        </w:rPr>
      </w:pPr>
      <w:r>
        <w:rPr>
          <w:rFonts w:ascii="Verdana" w:hAnsi="Verdana"/>
          <w:sz w:val="20"/>
          <w:szCs w:val="20"/>
          <w:lang w:val="cs-CZ"/>
        </w:rPr>
        <w:t>Účetní jednotky, které ve své účetní závěrce vykazují dlouhodobá aktiva, v průběhu své činnosti často vynakládají výdaje na jejich opravu, udržování či je vynakládají s úmyslem zvýšit jejich užitné vlastnosti. Správné rozlišení těchto úprav je ovšem velmi důležité jak pro účetnictví, tak i pro daň z příjmů a dochází často ke konfliktům mezi daňovými poplatníky a finančními úřady. Chybné posouzení ze strany účetní jednotky toho, zda se jedná o opravu či technického zhodnocení, způsobuje doměrky daně z příjmů, příp. daně z přidané hodnoty ze strany správců daně. Tyto konflikty jsou často předmětem sporu až u Nejvyššího správního soudu (dále jen „NSS“), který rozhoduje v judikátech. Ty poté slouží ostatním subjektům pro rozhodování v obdobných situacích.</w:t>
      </w:r>
    </w:p>
    <w:p w:rsidR="005C3F63" w:rsidRDefault="006536E7">
      <w:pPr>
        <w:pStyle w:val="Kapitola"/>
        <w:rPr>
          <w:rStyle w:val="KapitolaChar"/>
          <w:b/>
          <w:bCs/>
          <w:lang w:val="cs-CZ"/>
        </w:rPr>
      </w:pPr>
      <w:r>
        <w:rPr>
          <w:rStyle w:val="KapitolaChar"/>
          <w:b/>
          <w:bCs/>
          <w:lang w:val="cs-CZ"/>
        </w:rPr>
        <w:t>2. Opravy a udržování dlouhodobého majetku v účetnictví a daních</w:t>
      </w:r>
    </w:p>
    <w:p w:rsidR="005C3F63" w:rsidRDefault="006536E7">
      <w:pPr>
        <w:spacing w:after="120"/>
        <w:rPr>
          <w:rFonts w:ascii="Verdana" w:hAnsi="Verdana"/>
          <w:sz w:val="20"/>
          <w:szCs w:val="20"/>
          <w:lang w:val="cs-CZ"/>
        </w:rPr>
      </w:pPr>
      <w:r>
        <w:rPr>
          <w:rFonts w:ascii="Verdana" w:hAnsi="Verdana"/>
          <w:sz w:val="20"/>
          <w:szCs w:val="20"/>
          <w:lang w:val="cs-CZ"/>
        </w:rPr>
        <w:t>Opravy a údržbu dlouhodobého majetku definuje § 47 odst. 2a) vyhlášky č. 500/2002 Sb., která uvádí, že opravou se odstraňují účinky částečného fyzického opotřebení nebo poškození za účelem uvedení do předchozího nebo provozuschopného stavu. Údržbou se rozumí soustavná činnost, kterou se zpomaluje fyzické opotřebení a předchází poruchám a odstraňují se drobnější závady.</w:t>
      </w:r>
    </w:p>
    <w:p w:rsidR="005C3F63" w:rsidRDefault="006536E7">
      <w:pPr>
        <w:spacing w:after="120"/>
        <w:rPr>
          <w:rFonts w:ascii="Verdana" w:hAnsi="Verdana"/>
          <w:sz w:val="20"/>
          <w:szCs w:val="20"/>
          <w:lang w:val="cs-CZ"/>
        </w:rPr>
      </w:pPr>
      <w:r>
        <w:rPr>
          <w:rFonts w:ascii="Verdana" w:hAnsi="Verdana"/>
          <w:sz w:val="20"/>
          <w:szCs w:val="20"/>
          <w:lang w:val="cs-CZ"/>
        </w:rPr>
        <w:t xml:space="preserve">Daňové zákony problematiku oprav a udržování přímo neupravují. Během posuzování musí tedy účetní jednotka vycházet z příslušných paragrafů zákon č. 586/1992 Sb., o daních z příjmů (dále též „ZDP“). </w:t>
      </w:r>
    </w:p>
    <w:p w:rsidR="005C3F63" w:rsidRDefault="006536E7">
      <w:pPr>
        <w:spacing w:after="120"/>
        <w:rPr>
          <w:rFonts w:ascii="Verdana" w:hAnsi="Verdana"/>
          <w:sz w:val="20"/>
          <w:szCs w:val="20"/>
          <w:lang w:val="cs-CZ"/>
        </w:rPr>
      </w:pPr>
      <w:r>
        <w:rPr>
          <w:rFonts w:ascii="Verdana" w:hAnsi="Verdana"/>
          <w:sz w:val="20"/>
          <w:szCs w:val="20"/>
          <w:lang w:val="cs-CZ"/>
        </w:rPr>
        <w:t xml:space="preserve">Z hlediska účtování nákladů na opravy a udržování se jedná o provozní náklady. Aby  mohlo jít o náklady snižující základ daně z příjmů právnických osob, musí být splněna podmínka, že se jedná o vynaložení nákladů na dosažení, zajištění a udržení příjmů. Dále je nutné, aby majetek, na kterém jsou prováděny opravy, byl ve vlastnictví účetní jednotky či aby byla účetní jednotka nájemcem, který má ve smlouvě určeno, že je k dané opravě oprávněný. Majetek dále musí sloužit k dosahování zdanitelných příjmů, náklady byly prokazatelně vynaloženy, o těchto nákladech je účtováno dle platných </w:t>
      </w:r>
      <w:r>
        <w:rPr>
          <w:rFonts w:ascii="Verdana" w:hAnsi="Verdana"/>
          <w:sz w:val="20"/>
          <w:szCs w:val="20"/>
          <w:lang w:val="cs-CZ"/>
        </w:rPr>
        <w:lastRenderedPageBreak/>
        <w:t xml:space="preserve">účetních předpisů a v poslední řadě musí být splněna podmínka, že se nejedná o technické zhodnocení majetku. </w:t>
      </w:r>
    </w:p>
    <w:p w:rsidR="005C3F63" w:rsidRDefault="006536E7">
      <w:pPr>
        <w:spacing w:after="120"/>
        <w:rPr>
          <w:rFonts w:ascii="Verdana" w:hAnsi="Verdana"/>
          <w:sz w:val="20"/>
          <w:szCs w:val="20"/>
          <w:lang w:val="cs-CZ"/>
        </w:rPr>
      </w:pPr>
      <w:r>
        <w:rPr>
          <w:rFonts w:ascii="Verdana" w:hAnsi="Verdana"/>
          <w:sz w:val="20"/>
          <w:szCs w:val="20"/>
          <w:lang w:val="cs-CZ"/>
        </w:rPr>
        <w:t>Hranice správného rozhodnutí o tom, zda se jedná o náklady na opravy a udržování či zda už se jedná o technické zhodnocení je v praxi velmi obtížné stanovit. Na pomoc při rozhodování o uznatelnosti nákladů proto vydalo GFŘ (Generální finanční ředitelství) pokyn D-22. Velmi důležité je, aby poplatník v případě kontroly z finančního úřadu měl připravenou dokumentaci provedené opravy a tím pádem unesl své důkazní břemeno a nebyla mu doměřena daň. Uveďme některé příklady:</w:t>
      </w:r>
    </w:p>
    <w:p w:rsidR="005C3F63" w:rsidRDefault="006536E7">
      <w:pPr>
        <w:spacing w:after="120"/>
        <w:rPr>
          <w:rFonts w:ascii="Verdana" w:hAnsi="Verdana"/>
          <w:sz w:val="20"/>
          <w:szCs w:val="20"/>
          <w:lang w:val="cs-CZ"/>
        </w:rPr>
      </w:pPr>
      <w:r>
        <w:rPr>
          <w:rFonts w:ascii="Verdana" w:hAnsi="Verdana"/>
          <w:i/>
          <w:sz w:val="20"/>
          <w:szCs w:val="20"/>
          <w:lang w:val="cs-CZ"/>
        </w:rPr>
        <w:t>Výměna oken</w:t>
      </w:r>
      <w:r>
        <w:rPr>
          <w:rFonts w:ascii="Verdana" w:hAnsi="Verdana"/>
          <w:sz w:val="20"/>
          <w:szCs w:val="20"/>
          <w:lang w:val="cs-CZ"/>
        </w:rPr>
        <w:t xml:space="preserve"> na budově z dřevěných na plastová. Pokud se jedná o pouhou výměnu materiálu bez změny v rozměrech či počtu skel, je možné to považovat za opravu. </w:t>
      </w:r>
      <w:r>
        <w:rPr>
          <w:rFonts w:ascii="Verdana" w:hAnsi="Verdana"/>
          <w:i/>
          <w:sz w:val="20"/>
          <w:szCs w:val="20"/>
          <w:lang w:val="cs-CZ"/>
        </w:rPr>
        <w:t>Opravy osobního automobilu</w:t>
      </w:r>
      <w:r>
        <w:rPr>
          <w:rFonts w:ascii="Verdana" w:hAnsi="Verdana"/>
          <w:sz w:val="20"/>
          <w:szCs w:val="20"/>
          <w:lang w:val="cs-CZ"/>
        </w:rPr>
        <w:t xml:space="preserve"> například po dopravní nehodě, pokud dojde pouze k uvedení automobilu do původního stavu, beze změny technických parametrů. </w:t>
      </w:r>
      <w:r>
        <w:rPr>
          <w:rFonts w:ascii="Verdana" w:hAnsi="Verdana"/>
          <w:i/>
          <w:sz w:val="20"/>
          <w:szCs w:val="20"/>
          <w:lang w:val="cs-CZ"/>
        </w:rPr>
        <w:t>Výměna vodovodního potrubí</w:t>
      </w:r>
      <w:r>
        <w:rPr>
          <w:rFonts w:ascii="Verdana" w:hAnsi="Verdana"/>
          <w:sz w:val="20"/>
          <w:szCs w:val="20"/>
          <w:lang w:val="cs-CZ"/>
        </w:rPr>
        <w:t>, které se od stávajícího bude lišit pouze použitým materiálem, aniž dojde ke změně objemu průtoku, bude se jednat o náklady na opravu.</w:t>
      </w:r>
    </w:p>
    <w:p w:rsidR="005C3F63" w:rsidRDefault="006536E7">
      <w:pPr>
        <w:pStyle w:val="Kapitola"/>
        <w:rPr>
          <w:rStyle w:val="KapitolaChar"/>
          <w:b/>
          <w:bCs/>
          <w:lang w:val="cs-CZ"/>
        </w:rPr>
      </w:pPr>
      <w:r>
        <w:rPr>
          <w:rStyle w:val="KapitolaChar"/>
          <w:b/>
          <w:bCs/>
          <w:lang w:val="cs-CZ"/>
        </w:rPr>
        <w:t>3. Technické zhodnocení dlouhodobého majetku v účetnictví a v daních</w:t>
      </w:r>
    </w:p>
    <w:p w:rsidR="005C3F63" w:rsidRDefault="006536E7">
      <w:pPr>
        <w:spacing w:after="120"/>
        <w:rPr>
          <w:rFonts w:ascii="Verdana" w:hAnsi="Verdana"/>
          <w:sz w:val="20"/>
          <w:szCs w:val="20"/>
          <w:lang w:val="cs-CZ"/>
        </w:rPr>
      </w:pPr>
      <w:r>
        <w:rPr>
          <w:rFonts w:ascii="Verdana" w:hAnsi="Verdana"/>
          <w:sz w:val="20"/>
          <w:szCs w:val="20"/>
          <w:lang w:val="cs-CZ"/>
        </w:rPr>
        <w:t>V účetních předpisech je technické zhodnocení definováno ve vyhlášce č. 500 /2002 Sb. (§ 47), podle které se za technické zhodnocení považují zásahy do majetku účetní jednotky mající za následky změnu jeho účelu nebo technických parametrů, nebo rozšíření jeho vybavenosti či použitelnost, včetně nástaveb, přístaveb a stavebních úprav, pokud vynaložené náklady dosáhnou ocenění určeného účetní jednotkou pro vykazování jednotlivého dlouhodobého majetku. Ocenění jednotlivého dlouhodobého majetku se zvyšuje o technické zhodnocení, k jehož účtování a odpisování je oprávněna účetní jednotka. Výjimkou je technické zhodnocení nemovité kulturní památky, které je odpisováno samostatně.</w:t>
      </w:r>
    </w:p>
    <w:p w:rsidR="005C3F63" w:rsidRDefault="006536E7">
      <w:pPr>
        <w:spacing w:after="120"/>
        <w:rPr>
          <w:rFonts w:ascii="Verdana" w:hAnsi="Verdana"/>
          <w:sz w:val="20"/>
          <w:szCs w:val="20"/>
          <w:lang w:val="cs-CZ"/>
        </w:rPr>
      </w:pPr>
      <w:r>
        <w:rPr>
          <w:rFonts w:ascii="Verdana" w:hAnsi="Verdana"/>
          <w:sz w:val="20"/>
          <w:szCs w:val="20"/>
          <w:lang w:val="cs-CZ"/>
        </w:rPr>
        <w:t>ZDP vymezuje technické zhodnocení v § 33 jako takové zásahy do majetku, které představují výdaje na dokončené nástavby, přístavby a stavební úpravy, rekonstrukce a modernizace majetku, pokud převýšily u jednotlivého majetku v úhrnu částku 40 000 Kč. Technickým zhodnocením jsou i uvedené výdaje nepřesahující stanovené částky, které poplatník na základě svého rozhodnutí neuplatní jako výdaj (náklad) podle § 24 odst. 2 písm. zb) ZDP. Uveďme některé příklady:</w:t>
      </w:r>
    </w:p>
    <w:p w:rsidR="005C3F63" w:rsidRDefault="006536E7">
      <w:pPr>
        <w:spacing w:after="120"/>
        <w:rPr>
          <w:rFonts w:ascii="Verdana" w:hAnsi="Verdana"/>
          <w:sz w:val="20"/>
          <w:szCs w:val="20"/>
          <w:lang w:val="cs-CZ"/>
        </w:rPr>
      </w:pPr>
      <w:r>
        <w:rPr>
          <w:rFonts w:ascii="Verdana" w:hAnsi="Verdana"/>
          <w:i/>
          <w:sz w:val="20"/>
          <w:szCs w:val="20"/>
          <w:lang w:val="cs-CZ"/>
        </w:rPr>
        <w:t>U staveb</w:t>
      </w:r>
      <w:r>
        <w:rPr>
          <w:rFonts w:ascii="Verdana" w:hAnsi="Verdana"/>
          <w:sz w:val="20"/>
          <w:szCs w:val="20"/>
          <w:lang w:val="cs-CZ"/>
        </w:rPr>
        <w:t xml:space="preserve"> bývá často diskutováno, zda se jedná o technické zhodnocení stavby, nebo jde o samostatnou movitou věc. Pokud se jedná o takové zařízení, které je možné považovat za nedílnou součást a nemovitost by jeho oddělením ztratila svůj účel, je nutno ho považovat za součást budovy. Pokyn GFŘ D-22 uvádí příklady, které vždy tvoří nedílnou součást staveb a jsou tedy považovány za technické hodnocení. Mezi ty lze zařadit například: vnitřní rozvody vzduchu, vestavný nábytek, izolace, mříže, rolety, žaluzie, osobní výtahy. </w:t>
      </w:r>
    </w:p>
    <w:p w:rsidR="005C3F63" w:rsidRDefault="006536E7">
      <w:pPr>
        <w:spacing w:after="120"/>
        <w:rPr>
          <w:rFonts w:ascii="Verdana" w:hAnsi="Verdana"/>
          <w:sz w:val="20"/>
          <w:szCs w:val="20"/>
          <w:lang w:val="cs-CZ"/>
        </w:rPr>
      </w:pPr>
      <w:r>
        <w:rPr>
          <w:rFonts w:ascii="Verdana" w:hAnsi="Verdana"/>
          <w:i/>
          <w:sz w:val="20"/>
          <w:szCs w:val="20"/>
          <w:lang w:val="cs-CZ"/>
        </w:rPr>
        <w:t>U technického zhodnocení softwaru</w:t>
      </w:r>
      <w:r>
        <w:rPr>
          <w:rFonts w:ascii="Verdana" w:hAnsi="Verdana"/>
          <w:sz w:val="20"/>
          <w:szCs w:val="20"/>
          <w:lang w:val="cs-CZ"/>
        </w:rPr>
        <w:t xml:space="preserve"> je nutné rozlišovat, zda se jedná o „pouhý“ update, který představuje jeho aktualizaci a nejedná se o technické zhodnocení. Za to se považuje upgrade, který software zdokonaluje a zároveň rozšiřuje jeho vybavenost. </w:t>
      </w:r>
    </w:p>
    <w:p w:rsidR="005C3F63" w:rsidRDefault="006536E7">
      <w:pPr>
        <w:spacing w:after="120"/>
        <w:rPr>
          <w:rFonts w:ascii="Verdana" w:hAnsi="Verdana"/>
          <w:sz w:val="20"/>
          <w:szCs w:val="20"/>
          <w:lang w:val="cs-CZ"/>
        </w:rPr>
      </w:pPr>
      <w:r>
        <w:rPr>
          <w:rFonts w:ascii="Verdana" w:hAnsi="Verdana"/>
          <w:i/>
          <w:sz w:val="20"/>
          <w:szCs w:val="20"/>
          <w:lang w:val="cs-CZ"/>
        </w:rPr>
        <w:t>U osobního automobilu</w:t>
      </w:r>
      <w:r>
        <w:rPr>
          <w:rFonts w:ascii="Verdana" w:hAnsi="Verdana"/>
          <w:sz w:val="20"/>
          <w:szCs w:val="20"/>
          <w:lang w:val="cs-CZ"/>
        </w:rPr>
        <w:t xml:space="preserve"> lze považovat za technické zhodnocení takové změny, které mění jeho účel či technické parametry. V praxi se tedy může jednat například o nové zabudování navigace, alarmu, střešního okénka, na pevno zabudované autorádio.</w:t>
      </w:r>
    </w:p>
    <w:p w:rsidR="005C3F63" w:rsidRDefault="006536E7">
      <w:pPr>
        <w:pStyle w:val="Kapitola"/>
        <w:rPr>
          <w:rStyle w:val="KapitolaChar"/>
          <w:b/>
          <w:bCs/>
          <w:lang w:val="cs-CZ"/>
        </w:rPr>
      </w:pPr>
      <w:r>
        <w:rPr>
          <w:rStyle w:val="KapitolaChar"/>
          <w:b/>
          <w:bCs/>
          <w:lang w:val="cs-CZ"/>
        </w:rPr>
        <w:t>4. Závazné posouzení</w:t>
      </w:r>
    </w:p>
    <w:p w:rsidR="005C3F63" w:rsidRDefault="006536E7">
      <w:pPr>
        <w:spacing w:after="120"/>
        <w:rPr>
          <w:rFonts w:ascii="Verdana" w:hAnsi="Verdana"/>
          <w:sz w:val="20"/>
          <w:szCs w:val="20"/>
          <w:lang w:val="cs-CZ"/>
        </w:rPr>
      </w:pPr>
      <w:r>
        <w:rPr>
          <w:rFonts w:ascii="Verdana" w:hAnsi="Verdana"/>
          <w:sz w:val="20"/>
          <w:szCs w:val="20"/>
          <w:lang w:val="cs-CZ"/>
        </w:rPr>
        <w:t>Při posuzování, zda zásah do majetku má povahu technického zhodnocení, je daňový poplatník oprávněn podat místně příslušnému správci daně žádost o závazné posouzení skutečnosti, zda je zásah do majetku technickým zhodnocením (§ 33a ZDP). Ke každému předmětu závazného posouzení se váže poplatek ve výši 10 000 Kč a je splatný v okamžiku podání žádosti. Do žádosti je třeba uvést náležitosti uvedené v zákoně.</w:t>
      </w:r>
    </w:p>
    <w:p w:rsidR="005C3F63" w:rsidRDefault="006536E7">
      <w:pPr>
        <w:spacing w:after="120"/>
        <w:rPr>
          <w:rFonts w:ascii="Verdana" w:hAnsi="Verdana"/>
          <w:sz w:val="20"/>
          <w:szCs w:val="20"/>
          <w:lang w:val="cs-CZ"/>
        </w:rPr>
      </w:pPr>
      <w:r>
        <w:rPr>
          <w:rFonts w:ascii="Verdana" w:hAnsi="Verdana"/>
          <w:sz w:val="20"/>
          <w:szCs w:val="20"/>
          <w:lang w:val="cs-CZ"/>
        </w:rPr>
        <w:lastRenderedPageBreak/>
        <w:t>Při podání žádosti je současně poplatník povinen předložit také doklad o vlastnictví posuzovaného majetku a dále soubor dokumentů, který umožňuje posoudit, zda je zásah do majetku považován za technické zhodnocení. V případě nemovité věci ještě musí být připojena dokumentace reflektující provedené (plánované) zásahy. Na základě žádosti poté správce daně vydá výrok, který obsahuje náležitosti dle Daňového řádu a dále také věcný a časový rozsah rozhodnutí. Proti rozhodnutí není možno uplatit opravné prostředky.</w:t>
      </w:r>
    </w:p>
    <w:p w:rsidR="005C3F63" w:rsidRDefault="006536E7">
      <w:pPr>
        <w:spacing w:after="120"/>
        <w:rPr>
          <w:rFonts w:ascii="Verdana" w:hAnsi="Verdana"/>
          <w:sz w:val="20"/>
          <w:szCs w:val="20"/>
          <w:lang w:val="cs-CZ"/>
        </w:rPr>
      </w:pPr>
      <w:r>
        <w:rPr>
          <w:rFonts w:ascii="Verdana" w:hAnsi="Verdana"/>
          <w:sz w:val="20"/>
          <w:szCs w:val="20"/>
          <w:lang w:val="cs-CZ"/>
        </w:rPr>
        <w:t>Rozhodnutí závazného posouzení může být uplatněno vůči správci daně, který toto rozhodnutí vydal, a to pouze za podmínky, že skutečný stav věci je shodný s údaji, které byly uvedeny při žádosti o vydání posouzení. Je vázané na příslušný právní předpis, a proto se stává neúčinným v okamžiku, kdy došlo ke změně dané zákonné úpravy, která byla podkladem pro vydání závazného posouzení. Závazné posouzení není možné použít v případě, kdy došlo ke změně podmínek, které byly uvedeny při žádosti a také v případě uplynutí 3 leté lhůty od konce kalendářního roku, ve kterém bylo rozhodnutí vydáno.</w:t>
      </w:r>
    </w:p>
    <w:p w:rsidR="005C3F63" w:rsidRDefault="006536E7">
      <w:pPr>
        <w:pStyle w:val="Kapitola"/>
        <w:rPr>
          <w:rStyle w:val="KapitolaChar"/>
          <w:b/>
          <w:bCs/>
          <w:lang w:val="cs-CZ"/>
        </w:rPr>
      </w:pPr>
      <w:r>
        <w:rPr>
          <w:rStyle w:val="KapitolaChar"/>
          <w:b/>
          <w:bCs/>
          <w:lang w:val="cs-CZ"/>
        </w:rPr>
        <w:t>5. Analýza judikátů NSS k technickému zhodnocení a opravám dlouhodobého majetku</w:t>
      </w:r>
    </w:p>
    <w:p w:rsidR="005C3F63" w:rsidRDefault="006536E7">
      <w:pPr>
        <w:spacing w:after="120"/>
        <w:rPr>
          <w:rFonts w:ascii="Verdana" w:hAnsi="Verdana"/>
          <w:sz w:val="20"/>
          <w:szCs w:val="20"/>
          <w:lang w:val="cs-CZ"/>
        </w:rPr>
      </w:pPr>
      <w:r>
        <w:rPr>
          <w:rFonts w:ascii="Verdana" w:hAnsi="Verdana"/>
          <w:sz w:val="20"/>
          <w:szCs w:val="20"/>
          <w:lang w:val="cs-CZ"/>
        </w:rPr>
        <w:t>Stegbauerová (2020) ve své práci analyzovala několik judikátů, ze kterých bylo do tohoto článku podrobněji analyzováno sedm z nich (tabulka 1):</w:t>
      </w:r>
    </w:p>
    <w:p w:rsidR="005C3F63" w:rsidRDefault="006536E7">
      <w:pPr>
        <w:spacing w:after="120"/>
        <w:jc w:val="center"/>
        <w:rPr>
          <w:rFonts w:ascii="Verdana" w:hAnsi="Verdana"/>
          <w:sz w:val="20"/>
          <w:szCs w:val="20"/>
          <w:lang w:val="cs-CZ"/>
        </w:rPr>
      </w:pPr>
      <w:r>
        <w:rPr>
          <w:rFonts w:ascii="Verdana" w:hAnsi="Verdana"/>
          <w:b/>
          <w:sz w:val="20"/>
          <w:szCs w:val="20"/>
          <w:lang w:val="cs-CZ"/>
        </w:rPr>
        <w:t>Tabulka 1</w:t>
      </w:r>
      <w:r>
        <w:rPr>
          <w:rFonts w:ascii="Verdana" w:hAnsi="Verdana"/>
          <w:sz w:val="20"/>
          <w:szCs w:val="20"/>
          <w:lang w:val="cs-CZ"/>
        </w:rPr>
        <w:t xml:space="preserve"> Souhrn analyzovaných judikátů</w:t>
      </w:r>
    </w:p>
    <w:tbl>
      <w:tblPr>
        <w:tblW w:w="0" w:type="auto"/>
        <w:jc w:val="center"/>
        <w:tblBorders>
          <w:top w:val="single" w:sz="8" w:space="0" w:color="000000"/>
          <w:bottom w:val="single" w:sz="8" w:space="0" w:color="000000"/>
        </w:tblBorders>
        <w:tblLook w:val="04A0" w:firstRow="1" w:lastRow="0" w:firstColumn="1" w:lastColumn="0" w:noHBand="0" w:noVBand="1"/>
      </w:tblPr>
      <w:tblGrid>
        <w:gridCol w:w="2098"/>
        <w:gridCol w:w="2438"/>
        <w:gridCol w:w="3061"/>
      </w:tblGrid>
      <w:tr w:rsidR="005C3F63">
        <w:trPr>
          <w:jc w:val="center"/>
        </w:trPr>
        <w:tc>
          <w:tcPr>
            <w:tcW w:w="2098" w:type="dxa"/>
            <w:tcBorders>
              <w:top w:val="single" w:sz="8" w:space="0" w:color="000000"/>
              <w:left w:val="nil"/>
              <w:bottom w:val="double" w:sz="4" w:space="0" w:color="auto"/>
              <w:right w:val="nil"/>
            </w:tcBorders>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Označení</w:t>
            </w:r>
          </w:p>
        </w:tc>
        <w:tc>
          <w:tcPr>
            <w:tcW w:w="2438"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cs-CZ"/>
              </w:rPr>
            </w:pPr>
            <w:r>
              <w:rPr>
                <w:rFonts w:ascii="Verdana" w:hAnsi="Verdana"/>
                <w:b/>
                <w:bCs/>
                <w:color w:val="000000"/>
                <w:sz w:val="20"/>
                <w:szCs w:val="20"/>
                <w:lang w:val="cs-CZ"/>
              </w:rPr>
              <w:t>Rozsudek</w:t>
            </w:r>
          </w:p>
        </w:tc>
        <w:tc>
          <w:tcPr>
            <w:tcW w:w="3061"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cs-CZ"/>
              </w:rPr>
            </w:pPr>
            <w:r>
              <w:rPr>
                <w:rFonts w:ascii="Verdana" w:hAnsi="Verdana"/>
                <w:b/>
                <w:bCs/>
                <w:color w:val="000000"/>
                <w:sz w:val="20"/>
                <w:szCs w:val="20"/>
                <w:lang w:val="cs-CZ"/>
              </w:rPr>
              <w:t>Druh daně</w:t>
            </w:r>
          </w:p>
        </w:tc>
      </w:tr>
      <w:tr w:rsidR="005C3F63">
        <w:trPr>
          <w:jc w:val="center"/>
        </w:trPr>
        <w:tc>
          <w:tcPr>
            <w:tcW w:w="2098" w:type="dxa"/>
            <w:tcBorders>
              <w:top w:val="single" w:sz="4" w:space="0" w:color="auto"/>
              <w:bottom w:val="single" w:sz="4" w:space="0" w:color="auto"/>
            </w:tcBorders>
            <w:shd w:val="clear" w:color="auto" w:fill="FFFFFF"/>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NSS 2013 (1)</w:t>
            </w:r>
          </w:p>
        </w:tc>
        <w:tc>
          <w:tcPr>
            <w:tcW w:w="2438"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5 Afs 68/2012 - 36</w:t>
            </w:r>
          </w:p>
        </w:tc>
        <w:tc>
          <w:tcPr>
            <w:tcW w:w="3061"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DP právnických osob</w:t>
            </w:r>
          </w:p>
        </w:tc>
      </w:tr>
      <w:tr w:rsidR="005C3F63">
        <w:trPr>
          <w:jc w:val="center"/>
        </w:trPr>
        <w:tc>
          <w:tcPr>
            <w:tcW w:w="2098" w:type="dxa"/>
            <w:tcBorders>
              <w:top w:val="single" w:sz="4" w:space="0" w:color="auto"/>
              <w:bottom w:val="single" w:sz="4" w:space="0" w:color="auto"/>
            </w:tcBorders>
            <w:shd w:val="clear" w:color="auto" w:fill="FFFFFF"/>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NSS 2013 (2)</w:t>
            </w:r>
          </w:p>
        </w:tc>
        <w:tc>
          <w:tcPr>
            <w:tcW w:w="2438"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2 Afs 17/2012 - 26</w:t>
            </w:r>
          </w:p>
        </w:tc>
        <w:tc>
          <w:tcPr>
            <w:tcW w:w="3061"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DP fyzických osob</w:t>
            </w:r>
          </w:p>
        </w:tc>
      </w:tr>
      <w:tr w:rsidR="005C3F63">
        <w:trPr>
          <w:jc w:val="center"/>
        </w:trPr>
        <w:tc>
          <w:tcPr>
            <w:tcW w:w="2098" w:type="dxa"/>
            <w:tcBorders>
              <w:top w:val="single" w:sz="4" w:space="0" w:color="auto"/>
              <w:bottom w:val="single" w:sz="4" w:space="0" w:color="auto"/>
            </w:tcBorders>
            <w:shd w:val="clear" w:color="auto" w:fill="FFFFFF"/>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NSS 2016</w:t>
            </w:r>
          </w:p>
        </w:tc>
        <w:tc>
          <w:tcPr>
            <w:tcW w:w="2438"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1 Afs 308/2015 - 51</w:t>
            </w:r>
          </w:p>
        </w:tc>
        <w:tc>
          <w:tcPr>
            <w:tcW w:w="3061"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DP právnických osob + DPH</w:t>
            </w:r>
          </w:p>
        </w:tc>
      </w:tr>
      <w:tr w:rsidR="005C3F63">
        <w:trPr>
          <w:jc w:val="center"/>
        </w:trPr>
        <w:tc>
          <w:tcPr>
            <w:tcW w:w="2098" w:type="dxa"/>
            <w:tcBorders>
              <w:top w:val="single" w:sz="4" w:space="0" w:color="auto"/>
              <w:bottom w:val="single" w:sz="4" w:space="0" w:color="auto"/>
            </w:tcBorders>
            <w:shd w:val="clear" w:color="auto" w:fill="FFFFFF"/>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NSS 2018 (1)</w:t>
            </w:r>
          </w:p>
        </w:tc>
        <w:tc>
          <w:tcPr>
            <w:tcW w:w="2438"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3 Afs 229/2017 - 29</w:t>
            </w:r>
          </w:p>
        </w:tc>
        <w:tc>
          <w:tcPr>
            <w:tcW w:w="3061"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DP právnických osob</w:t>
            </w:r>
          </w:p>
        </w:tc>
      </w:tr>
      <w:tr w:rsidR="005C3F63">
        <w:trPr>
          <w:jc w:val="center"/>
        </w:trPr>
        <w:tc>
          <w:tcPr>
            <w:tcW w:w="2098" w:type="dxa"/>
            <w:tcBorders>
              <w:top w:val="single" w:sz="4" w:space="0" w:color="auto"/>
              <w:bottom w:val="single" w:sz="4" w:space="0" w:color="auto"/>
            </w:tcBorders>
            <w:shd w:val="clear" w:color="auto" w:fill="FFFFFF"/>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NSS 2018 (2)</w:t>
            </w:r>
          </w:p>
        </w:tc>
        <w:tc>
          <w:tcPr>
            <w:tcW w:w="2438"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10 Afs 104/2018 - 40</w:t>
            </w:r>
          </w:p>
        </w:tc>
        <w:tc>
          <w:tcPr>
            <w:tcW w:w="3061"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DP právnických osob</w:t>
            </w:r>
          </w:p>
        </w:tc>
      </w:tr>
      <w:tr w:rsidR="005C3F63">
        <w:trPr>
          <w:jc w:val="center"/>
        </w:trPr>
        <w:tc>
          <w:tcPr>
            <w:tcW w:w="2098" w:type="dxa"/>
            <w:tcBorders>
              <w:top w:val="single" w:sz="4" w:space="0" w:color="auto"/>
              <w:bottom w:val="single" w:sz="4" w:space="0" w:color="auto"/>
            </w:tcBorders>
            <w:shd w:val="clear" w:color="auto" w:fill="FFFFFF"/>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NSS 2019 (1)</w:t>
            </w:r>
          </w:p>
        </w:tc>
        <w:tc>
          <w:tcPr>
            <w:tcW w:w="2438"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5 Afs 307/2017 - 33</w:t>
            </w:r>
          </w:p>
        </w:tc>
        <w:tc>
          <w:tcPr>
            <w:tcW w:w="3061"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DP právnických osob</w:t>
            </w:r>
          </w:p>
        </w:tc>
      </w:tr>
      <w:tr w:rsidR="005C3F63">
        <w:trPr>
          <w:jc w:val="center"/>
        </w:trPr>
        <w:tc>
          <w:tcPr>
            <w:tcW w:w="2098" w:type="dxa"/>
            <w:tcBorders>
              <w:top w:val="single" w:sz="4" w:space="0" w:color="auto"/>
              <w:bottom w:val="single" w:sz="4" w:space="0" w:color="auto"/>
            </w:tcBorders>
            <w:shd w:val="clear" w:color="auto" w:fill="FFFFFF"/>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NSS 2019 (2)</w:t>
            </w:r>
          </w:p>
        </w:tc>
        <w:tc>
          <w:tcPr>
            <w:tcW w:w="2438"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1 Afs 276/2018 - 47</w:t>
            </w:r>
          </w:p>
        </w:tc>
        <w:tc>
          <w:tcPr>
            <w:tcW w:w="3061"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DP právnických osob</w:t>
            </w:r>
          </w:p>
        </w:tc>
      </w:tr>
    </w:tbl>
    <w:p w:rsidR="005C3F63" w:rsidRDefault="006536E7">
      <w:pPr>
        <w:jc w:val="center"/>
        <w:rPr>
          <w:rFonts w:ascii="Verdana" w:hAnsi="Verdana"/>
          <w:sz w:val="20"/>
          <w:szCs w:val="20"/>
          <w:lang w:val="cs-CZ"/>
        </w:rPr>
      </w:pPr>
      <w:r>
        <w:rPr>
          <w:rFonts w:ascii="Verdana" w:hAnsi="Verdana"/>
          <w:sz w:val="18"/>
          <w:szCs w:val="18"/>
          <w:lang w:val="cs-CZ"/>
        </w:rPr>
        <w:t xml:space="preserve">Zdroj: </w:t>
      </w:r>
      <w:hyperlink r:id="rId199" w:history="1">
        <w:r>
          <w:rPr>
            <w:rStyle w:val="af9"/>
            <w:rFonts w:ascii="Verdana" w:hAnsi="Verdana"/>
            <w:sz w:val="18"/>
            <w:szCs w:val="18"/>
            <w:lang w:val="cs-CZ"/>
          </w:rPr>
          <w:t>www.</w:t>
        </w:r>
        <w:r>
          <w:rPr>
            <w:rStyle w:val="af9"/>
            <w:rFonts w:ascii="Verdana" w:hAnsi="Verdana"/>
            <w:sz w:val="20"/>
            <w:szCs w:val="20"/>
            <w:lang w:val="cs-CZ"/>
          </w:rPr>
          <w:t>nssoud.cz</w:t>
        </w:r>
      </w:hyperlink>
      <w:r>
        <w:rPr>
          <w:rFonts w:ascii="Verdana" w:hAnsi="Verdana"/>
          <w:sz w:val="20"/>
          <w:szCs w:val="20"/>
          <w:lang w:val="cs-CZ"/>
        </w:rPr>
        <w:t>, autorské úpravy</w:t>
      </w:r>
    </w:p>
    <w:p w:rsidR="005C3F63" w:rsidRDefault="006536E7">
      <w:pPr>
        <w:spacing w:after="240"/>
        <w:rPr>
          <w:rFonts w:ascii="Verdana" w:hAnsi="Verdana"/>
          <w:sz w:val="18"/>
          <w:szCs w:val="18"/>
          <w:lang w:val="cs-CZ"/>
        </w:rPr>
      </w:pPr>
      <w:r>
        <w:rPr>
          <w:rFonts w:ascii="Verdana" w:hAnsi="Verdana"/>
          <w:sz w:val="20"/>
          <w:szCs w:val="20"/>
          <w:lang w:val="cs-CZ"/>
        </w:rPr>
        <w:t>Legenda: DP – daň z příjmů; DPH – daň z přidané hodnoty</w:t>
      </w:r>
    </w:p>
    <w:p w:rsidR="005C3F63" w:rsidRDefault="006536E7">
      <w:pPr>
        <w:pStyle w:val="Kapitola"/>
        <w:rPr>
          <w:rStyle w:val="KapitolaChar"/>
          <w:b/>
          <w:bCs/>
          <w:lang w:val="cs-CZ"/>
        </w:rPr>
      </w:pPr>
      <w:r>
        <w:rPr>
          <w:rStyle w:val="KapitolaChar"/>
          <w:b/>
          <w:bCs/>
          <w:lang w:val="cs-CZ"/>
        </w:rPr>
        <w:t>NSS 2018 (1) - 3 Afs 229/2017 - 29</w:t>
      </w:r>
    </w:p>
    <w:p w:rsidR="005C3F63" w:rsidRDefault="006536E7">
      <w:pPr>
        <w:spacing w:after="120"/>
        <w:rPr>
          <w:rFonts w:ascii="Verdana" w:hAnsi="Verdana"/>
          <w:sz w:val="20"/>
          <w:szCs w:val="20"/>
          <w:lang w:val="cs-CZ"/>
        </w:rPr>
      </w:pPr>
      <w:r>
        <w:rPr>
          <w:rFonts w:ascii="Verdana" w:hAnsi="Verdana"/>
          <w:sz w:val="20"/>
          <w:szCs w:val="20"/>
          <w:lang w:val="cs-CZ"/>
        </w:rPr>
        <w:t>Rozsudek týkající se daně z příjmů právnických osob (dále také „DPPO“), ve kterém se jednalo o konflikt, zda výdaje vynaložené v souvislosti s majetkem (vzduchotechnikou a klimatizací) mohly být považovány za výdaje na opravu, či za výdaje vynaložené na pořízení dlouhodobého hmotného majetku. Spor vznikl kvůli skutečnosti, že zmíněný majetek nebyl uvedený v účetnictví stěžovatelky, která v roce 2005 pořídila budovu, ve které byla vzduchotechnika a klimatizace její součástí. Z vyjádření finančního úřadu tak mělo být účtováno jako by byl majetek pořízen. NSS se ovšem se závěrem FÚ neztotožnil. Uvedl, že účetnictví není tzv. „koruna důkazů“ a není možné upřednostnit jeden důkaz před druhým. Jako další důkaz totiž byla předložena technická zpráva, která uváděla, že zmíněný majetek byl součástí nemovitosti. Věc byla vrácena zpět k prozkoumání, protože bylo nutné stanovit, zda se opravdu jednalo o výdaje na opravdu dlouhodobého majetku, nebo na výdaje na technické zhodnocení (tabulka 2).</w:t>
      </w:r>
    </w:p>
    <w:p w:rsidR="005C3F63" w:rsidRDefault="006536E7">
      <w:pPr>
        <w:spacing w:after="120"/>
        <w:jc w:val="center"/>
        <w:rPr>
          <w:rFonts w:ascii="Verdana" w:hAnsi="Verdana"/>
          <w:sz w:val="20"/>
          <w:szCs w:val="20"/>
          <w:lang w:val="cs-CZ"/>
        </w:rPr>
      </w:pPr>
      <w:r>
        <w:rPr>
          <w:rFonts w:ascii="Verdana" w:hAnsi="Verdana"/>
          <w:b/>
          <w:sz w:val="20"/>
          <w:szCs w:val="20"/>
          <w:lang w:val="cs-CZ"/>
        </w:rPr>
        <w:t>Tabulka 2</w:t>
      </w:r>
      <w:r>
        <w:rPr>
          <w:rFonts w:ascii="Verdana" w:hAnsi="Verdana"/>
          <w:sz w:val="20"/>
          <w:szCs w:val="20"/>
          <w:lang w:val="cs-CZ"/>
        </w:rPr>
        <w:t xml:space="preserve"> Rozsudek NSS </w:t>
      </w:r>
      <w:r>
        <w:rPr>
          <w:rFonts w:ascii="Verdana" w:hAnsi="Verdana"/>
          <w:color w:val="000000"/>
          <w:sz w:val="20"/>
          <w:szCs w:val="20"/>
          <w:lang w:val="cs-CZ"/>
        </w:rPr>
        <w:t>3 Afs 229/2017 - 29</w:t>
      </w:r>
    </w:p>
    <w:tbl>
      <w:tblPr>
        <w:tblW w:w="0" w:type="auto"/>
        <w:jc w:val="center"/>
        <w:tblBorders>
          <w:top w:val="single" w:sz="8" w:space="0" w:color="000000"/>
          <w:bottom w:val="single" w:sz="8" w:space="0" w:color="000000"/>
        </w:tblBorders>
        <w:tblLook w:val="04A0" w:firstRow="1" w:lastRow="0" w:firstColumn="1" w:lastColumn="0" w:noHBand="0" w:noVBand="1"/>
      </w:tblPr>
      <w:tblGrid>
        <w:gridCol w:w="2098"/>
        <w:gridCol w:w="2438"/>
        <w:gridCol w:w="3061"/>
      </w:tblGrid>
      <w:tr w:rsidR="005C3F63">
        <w:trPr>
          <w:jc w:val="center"/>
        </w:trPr>
        <w:tc>
          <w:tcPr>
            <w:tcW w:w="2098" w:type="dxa"/>
            <w:tcBorders>
              <w:top w:val="single" w:sz="8" w:space="0" w:color="000000"/>
              <w:left w:val="nil"/>
              <w:bottom w:val="double" w:sz="4" w:space="0" w:color="auto"/>
              <w:right w:val="nil"/>
            </w:tcBorders>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Daňový subjekt</w:t>
            </w:r>
          </w:p>
        </w:tc>
        <w:tc>
          <w:tcPr>
            <w:tcW w:w="2438"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cs-CZ"/>
              </w:rPr>
            </w:pPr>
            <w:r>
              <w:rPr>
                <w:rFonts w:ascii="Verdana" w:hAnsi="Verdana"/>
                <w:b/>
                <w:bCs/>
                <w:color w:val="000000"/>
                <w:sz w:val="20"/>
                <w:szCs w:val="20"/>
                <w:lang w:val="cs-CZ"/>
              </w:rPr>
              <w:t>NSS/Správce daně</w:t>
            </w:r>
          </w:p>
        </w:tc>
        <w:tc>
          <w:tcPr>
            <w:tcW w:w="3061"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cs-CZ"/>
              </w:rPr>
            </w:pPr>
            <w:r>
              <w:rPr>
                <w:rFonts w:ascii="Verdana" w:hAnsi="Verdana"/>
                <w:b/>
                <w:bCs/>
                <w:color w:val="000000"/>
                <w:sz w:val="20"/>
                <w:szCs w:val="20"/>
                <w:lang w:val="cs-CZ"/>
              </w:rPr>
              <w:t>Daňový doměrek</w:t>
            </w:r>
          </w:p>
        </w:tc>
      </w:tr>
      <w:tr w:rsidR="005C3F63">
        <w:trPr>
          <w:jc w:val="center"/>
        </w:trPr>
        <w:tc>
          <w:tcPr>
            <w:tcW w:w="2098" w:type="dxa"/>
            <w:tcBorders>
              <w:top w:val="double" w:sz="4" w:space="0" w:color="auto"/>
              <w:left w:val="nil"/>
              <w:bottom w:val="single" w:sz="4" w:space="0" w:color="auto"/>
              <w:right w:val="nil"/>
            </w:tcBorders>
            <w:shd w:val="clear" w:color="auto" w:fill="FFFFFF"/>
            <w:vAlign w:val="center"/>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Oprava</w:t>
            </w:r>
          </w:p>
        </w:tc>
        <w:tc>
          <w:tcPr>
            <w:tcW w:w="2438" w:type="dxa"/>
            <w:tcBorders>
              <w:top w:val="double" w:sz="4" w:space="0" w:color="auto"/>
              <w:left w:val="nil"/>
              <w:bottom w:val="single" w:sz="4" w:space="0" w:color="auto"/>
              <w:right w:val="nil"/>
            </w:tcBorders>
            <w:shd w:val="clear" w:color="auto" w:fill="FFFFFF"/>
            <w:vAlign w:val="center"/>
          </w:tcPr>
          <w:p w:rsidR="005C3F63" w:rsidRDefault="006536E7">
            <w:pPr>
              <w:ind w:firstLine="99"/>
              <w:jc w:val="center"/>
              <w:rPr>
                <w:rFonts w:ascii="Verdana" w:hAnsi="Verdana"/>
                <w:color w:val="000000"/>
                <w:sz w:val="20"/>
                <w:szCs w:val="20"/>
                <w:lang w:val="cs-CZ"/>
              </w:rPr>
            </w:pPr>
            <w:r>
              <w:rPr>
                <w:rFonts w:ascii="Verdana" w:hAnsi="Verdana"/>
                <w:color w:val="000000"/>
                <w:sz w:val="20"/>
                <w:szCs w:val="20"/>
                <w:lang w:val="cs-CZ"/>
              </w:rPr>
              <w:t>Nebylo jednoznačně uvedeno/vyvráceno</w:t>
            </w:r>
          </w:p>
        </w:tc>
        <w:tc>
          <w:tcPr>
            <w:tcW w:w="3061" w:type="dxa"/>
            <w:tcBorders>
              <w:top w:val="double" w:sz="4" w:space="0" w:color="auto"/>
              <w:left w:val="nil"/>
              <w:bottom w:val="single" w:sz="4" w:space="0" w:color="auto"/>
              <w:right w:val="nil"/>
            </w:tcBorders>
            <w:shd w:val="clear" w:color="auto" w:fill="FFFFFF"/>
            <w:vAlign w:val="center"/>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1 016 000 Kč</w:t>
            </w:r>
          </w:p>
        </w:tc>
      </w:tr>
    </w:tbl>
    <w:p w:rsidR="005C3F63" w:rsidRDefault="006536E7">
      <w:pPr>
        <w:spacing w:after="240"/>
        <w:jc w:val="center"/>
        <w:rPr>
          <w:rFonts w:ascii="Verdana" w:hAnsi="Verdana"/>
          <w:sz w:val="20"/>
          <w:szCs w:val="20"/>
          <w:lang w:val="cs-CZ"/>
        </w:rPr>
      </w:pPr>
      <w:r>
        <w:rPr>
          <w:rFonts w:ascii="Verdana" w:hAnsi="Verdana"/>
          <w:sz w:val="18"/>
          <w:szCs w:val="18"/>
          <w:lang w:val="cs-CZ"/>
        </w:rPr>
        <w:t xml:space="preserve">Zdroj: </w:t>
      </w:r>
      <w:hyperlink r:id="rId200" w:history="1">
        <w:r>
          <w:rPr>
            <w:rStyle w:val="af9"/>
            <w:rFonts w:ascii="Verdana" w:hAnsi="Verdana"/>
            <w:sz w:val="18"/>
            <w:szCs w:val="18"/>
            <w:lang w:val="cs-CZ"/>
          </w:rPr>
          <w:t>www.</w:t>
        </w:r>
        <w:r>
          <w:rPr>
            <w:rStyle w:val="af9"/>
            <w:rFonts w:ascii="Verdana" w:hAnsi="Verdana"/>
            <w:sz w:val="20"/>
            <w:szCs w:val="20"/>
            <w:lang w:val="cs-CZ"/>
          </w:rPr>
          <w:t>nssoud.cz</w:t>
        </w:r>
      </w:hyperlink>
      <w:r>
        <w:rPr>
          <w:rFonts w:ascii="Verdana" w:hAnsi="Verdana"/>
          <w:sz w:val="20"/>
          <w:szCs w:val="20"/>
          <w:lang w:val="cs-CZ"/>
        </w:rPr>
        <w:t>, autorské úpravy</w:t>
      </w:r>
    </w:p>
    <w:p w:rsidR="005C3F63" w:rsidRDefault="006536E7">
      <w:pPr>
        <w:pStyle w:val="Kapitola"/>
        <w:rPr>
          <w:rStyle w:val="KapitolaChar"/>
          <w:b/>
          <w:bCs/>
          <w:lang w:val="cs-CZ"/>
        </w:rPr>
      </w:pPr>
      <w:r>
        <w:rPr>
          <w:rStyle w:val="KapitolaChar"/>
          <w:b/>
          <w:bCs/>
          <w:lang w:val="cs-CZ"/>
        </w:rPr>
        <w:lastRenderedPageBreak/>
        <w:t>NSS 2019 (1) – Rozsudek 5 Afs 307/2017 – 33</w:t>
      </w:r>
    </w:p>
    <w:p w:rsidR="005C3F63" w:rsidRDefault="006536E7">
      <w:pPr>
        <w:spacing w:after="120"/>
        <w:rPr>
          <w:rFonts w:ascii="Verdana" w:hAnsi="Verdana"/>
          <w:sz w:val="20"/>
          <w:szCs w:val="20"/>
          <w:lang w:val="cs-CZ"/>
        </w:rPr>
      </w:pPr>
      <w:r>
        <w:rPr>
          <w:rFonts w:ascii="Verdana" w:hAnsi="Verdana"/>
          <w:sz w:val="20"/>
          <w:szCs w:val="20"/>
          <w:lang w:val="cs-CZ"/>
        </w:rPr>
        <w:t>Spor vztahující se k problematice fotovoltaické elektrárny (dále jen „FVE“), která je pevně spojená se stavbou, kdy žalobkyně o hodnotu kabelových svodů zvýšila její vstupní cenu. Uvedla, že bez nich ztrácí FVE svou funkčnost a není možné je od sebe oddělit, jelikož spadají do její technologické části. Správce daně naopak zastával názor, že hodnota FVE by měla být součástí ocenění stavby jako její technické zhodnocení a její hodnotu tedy zvyšovat. Nebylo ovšem vyřešeno, zda kabely jsou součástí vstupní ceny FVE, která se odpisuje dle ZDP. Řešení objasňuje zpráva k novele, která rozděluje FVE na: technologickou a stavební část, kdy každá část má různě vymezený daňový režim. Výsledkem bylo rozhodnutí, že technologická část nezahrnuje způsoby, jak se FVE připojuje k budově. Z toho vyplývá, že se jedná o technické zhodnocení budovy (tabulka 3).</w:t>
      </w:r>
    </w:p>
    <w:p w:rsidR="005C3F63" w:rsidRDefault="006536E7">
      <w:pPr>
        <w:spacing w:after="120"/>
        <w:jc w:val="center"/>
        <w:rPr>
          <w:rFonts w:ascii="Verdana" w:hAnsi="Verdana"/>
          <w:sz w:val="20"/>
          <w:szCs w:val="20"/>
          <w:lang w:val="cs-CZ"/>
        </w:rPr>
      </w:pPr>
      <w:r>
        <w:rPr>
          <w:rFonts w:ascii="Verdana" w:hAnsi="Verdana"/>
          <w:b/>
          <w:sz w:val="20"/>
          <w:szCs w:val="20"/>
          <w:lang w:val="cs-CZ"/>
        </w:rPr>
        <w:t>Tabulka 3</w:t>
      </w:r>
      <w:r>
        <w:rPr>
          <w:rFonts w:ascii="Verdana" w:hAnsi="Verdana"/>
          <w:sz w:val="20"/>
          <w:szCs w:val="20"/>
          <w:lang w:val="cs-CZ"/>
        </w:rPr>
        <w:t xml:space="preserve"> Rozsudek NSS 5 Afs 307/2017 – 33</w:t>
      </w:r>
    </w:p>
    <w:tbl>
      <w:tblPr>
        <w:tblW w:w="0" w:type="auto"/>
        <w:jc w:val="center"/>
        <w:tblBorders>
          <w:top w:val="single" w:sz="8" w:space="0" w:color="000000"/>
          <w:bottom w:val="single" w:sz="8" w:space="0" w:color="000000"/>
        </w:tblBorders>
        <w:tblLook w:val="04A0" w:firstRow="1" w:lastRow="0" w:firstColumn="1" w:lastColumn="0" w:noHBand="0" w:noVBand="1"/>
      </w:tblPr>
      <w:tblGrid>
        <w:gridCol w:w="3402"/>
        <w:gridCol w:w="3176"/>
        <w:gridCol w:w="2323"/>
      </w:tblGrid>
      <w:tr w:rsidR="005C3F63">
        <w:trPr>
          <w:jc w:val="center"/>
        </w:trPr>
        <w:tc>
          <w:tcPr>
            <w:tcW w:w="3402" w:type="dxa"/>
            <w:tcBorders>
              <w:top w:val="single" w:sz="8" w:space="0" w:color="000000"/>
              <w:left w:val="nil"/>
              <w:bottom w:val="double" w:sz="4" w:space="0" w:color="auto"/>
              <w:right w:val="nil"/>
            </w:tcBorders>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Daňový subjekt</w:t>
            </w:r>
          </w:p>
        </w:tc>
        <w:tc>
          <w:tcPr>
            <w:tcW w:w="3176"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cs-CZ"/>
              </w:rPr>
            </w:pPr>
            <w:r>
              <w:rPr>
                <w:rFonts w:ascii="Verdana" w:hAnsi="Verdana"/>
                <w:b/>
                <w:bCs/>
                <w:color w:val="000000"/>
                <w:sz w:val="20"/>
                <w:szCs w:val="20"/>
                <w:lang w:val="cs-CZ"/>
              </w:rPr>
              <w:t>NSS/Správce daně</w:t>
            </w:r>
          </w:p>
        </w:tc>
        <w:tc>
          <w:tcPr>
            <w:tcW w:w="2323"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cs-CZ"/>
              </w:rPr>
            </w:pPr>
            <w:r>
              <w:rPr>
                <w:rFonts w:ascii="Verdana" w:hAnsi="Verdana"/>
                <w:b/>
                <w:bCs/>
                <w:color w:val="000000"/>
                <w:sz w:val="20"/>
                <w:szCs w:val="20"/>
                <w:lang w:val="cs-CZ"/>
              </w:rPr>
              <w:t>Daňový doměrek</w:t>
            </w:r>
          </w:p>
        </w:tc>
      </w:tr>
      <w:tr w:rsidR="005C3F63">
        <w:trPr>
          <w:jc w:val="center"/>
        </w:trPr>
        <w:tc>
          <w:tcPr>
            <w:tcW w:w="3402" w:type="dxa"/>
            <w:tcBorders>
              <w:top w:val="double" w:sz="4" w:space="0" w:color="auto"/>
              <w:left w:val="nil"/>
              <w:bottom w:val="single" w:sz="4" w:space="0" w:color="auto"/>
              <w:right w:val="nil"/>
            </w:tcBorders>
            <w:shd w:val="clear" w:color="auto" w:fill="FFFFFF"/>
            <w:vAlign w:val="center"/>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TZ - zvýšení vstupní ceny samostatné movité věci</w:t>
            </w:r>
          </w:p>
        </w:tc>
        <w:tc>
          <w:tcPr>
            <w:tcW w:w="3176" w:type="dxa"/>
            <w:tcBorders>
              <w:top w:val="double" w:sz="4" w:space="0" w:color="auto"/>
              <w:left w:val="nil"/>
              <w:bottom w:val="single" w:sz="4" w:space="0" w:color="auto"/>
              <w:right w:val="nil"/>
            </w:tcBorders>
            <w:shd w:val="clear" w:color="auto" w:fill="FFFFFF"/>
            <w:vAlign w:val="center"/>
          </w:tcPr>
          <w:p w:rsidR="005C3F63" w:rsidRDefault="006536E7">
            <w:pPr>
              <w:ind w:firstLine="99"/>
              <w:jc w:val="center"/>
              <w:rPr>
                <w:rFonts w:ascii="Verdana" w:hAnsi="Verdana"/>
                <w:color w:val="000000"/>
                <w:sz w:val="20"/>
                <w:szCs w:val="20"/>
                <w:lang w:val="cs-CZ"/>
              </w:rPr>
            </w:pPr>
            <w:r>
              <w:rPr>
                <w:rFonts w:ascii="Verdana" w:hAnsi="Verdana"/>
                <w:color w:val="000000"/>
                <w:sz w:val="20"/>
                <w:szCs w:val="20"/>
                <w:lang w:val="cs-CZ"/>
              </w:rPr>
              <w:t>Rozdělení na dvě části a každá měla specifický režim</w:t>
            </w:r>
          </w:p>
        </w:tc>
        <w:tc>
          <w:tcPr>
            <w:tcW w:w="2323" w:type="dxa"/>
            <w:tcBorders>
              <w:top w:val="double" w:sz="4" w:space="0" w:color="auto"/>
              <w:left w:val="nil"/>
              <w:bottom w:val="single" w:sz="4" w:space="0" w:color="auto"/>
              <w:right w:val="nil"/>
            </w:tcBorders>
            <w:shd w:val="clear" w:color="auto" w:fill="FFFFFF"/>
            <w:vAlign w:val="center"/>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141 317 Kč</w:t>
            </w:r>
          </w:p>
        </w:tc>
      </w:tr>
    </w:tbl>
    <w:p w:rsidR="005C3F63" w:rsidRDefault="006536E7">
      <w:pPr>
        <w:jc w:val="center"/>
        <w:rPr>
          <w:rFonts w:ascii="Verdana" w:hAnsi="Verdana"/>
          <w:sz w:val="20"/>
          <w:szCs w:val="20"/>
          <w:lang w:val="cs-CZ"/>
        </w:rPr>
      </w:pPr>
      <w:r>
        <w:rPr>
          <w:rFonts w:ascii="Verdana" w:hAnsi="Verdana"/>
          <w:sz w:val="18"/>
          <w:szCs w:val="18"/>
          <w:lang w:val="cs-CZ"/>
        </w:rPr>
        <w:t xml:space="preserve">Zdroj: </w:t>
      </w:r>
      <w:hyperlink r:id="rId201" w:history="1">
        <w:r>
          <w:rPr>
            <w:rStyle w:val="af9"/>
            <w:rFonts w:ascii="Verdana" w:hAnsi="Verdana"/>
            <w:sz w:val="18"/>
            <w:szCs w:val="18"/>
            <w:lang w:val="cs-CZ"/>
          </w:rPr>
          <w:t>www.</w:t>
        </w:r>
        <w:r>
          <w:rPr>
            <w:rStyle w:val="af9"/>
            <w:rFonts w:ascii="Verdana" w:hAnsi="Verdana"/>
            <w:sz w:val="20"/>
            <w:szCs w:val="20"/>
            <w:lang w:val="cs-CZ"/>
          </w:rPr>
          <w:t>nssoud.cz</w:t>
        </w:r>
      </w:hyperlink>
      <w:r>
        <w:rPr>
          <w:rFonts w:ascii="Verdana" w:hAnsi="Verdana"/>
          <w:sz w:val="20"/>
          <w:szCs w:val="20"/>
          <w:lang w:val="cs-CZ"/>
        </w:rPr>
        <w:t>, autorské úpravy</w:t>
      </w:r>
    </w:p>
    <w:p w:rsidR="005C3F63" w:rsidRDefault="006536E7">
      <w:pPr>
        <w:spacing w:after="240"/>
        <w:rPr>
          <w:rFonts w:ascii="Verdana" w:hAnsi="Verdana"/>
          <w:sz w:val="20"/>
          <w:szCs w:val="20"/>
          <w:lang w:val="cs-CZ"/>
        </w:rPr>
      </w:pPr>
      <w:r>
        <w:rPr>
          <w:rFonts w:ascii="Verdana" w:hAnsi="Verdana"/>
          <w:sz w:val="20"/>
          <w:szCs w:val="20"/>
          <w:lang w:val="cs-CZ"/>
        </w:rPr>
        <w:t>Legenda: TZ – technické zhodnocení</w:t>
      </w:r>
    </w:p>
    <w:p w:rsidR="005C3F63" w:rsidRDefault="006536E7">
      <w:pPr>
        <w:pStyle w:val="Kapitola"/>
        <w:rPr>
          <w:rStyle w:val="KapitolaChar"/>
          <w:b/>
          <w:bCs/>
          <w:lang w:val="cs-CZ"/>
        </w:rPr>
      </w:pPr>
      <w:r>
        <w:rPr>
          <w:rStyle w:val="KapitolaChar"/>
          <w:b/>
          <w:bCs/>
          <w:lang w:val="cs-CZ"/>
        </w:rPr>
        <w:t>NSS 2019 (2) – Rozsudek 1 Afs 276/2018 - 47</w:t>
      </w:r>
    </w:p>
    <w:p w:rsidR="005C3F63" w:rsidRDefault="006536E7">
      <w:pPr>
        <w:spacing w:after="120"/>
        <w:rPr>
          <w:rFonts w:ascii="Verdana" w:hAnsi="Verdana"/>
          <w:sz w:val="20"/>
          <w:szCs w:val="20"/>
          <w:lang w:val="cs-CZ"/>
        </w:rPr>
      </w:pPr>
      <w:r>
        <w:rPr>
          <w:rFonts w:ascii="Verdana" w:hAnsi="Verdana"/>
          <w:sz w:val="20"/>
          <w:szCs w:val="20"/>
          <w:lang w:val="cs-CZ"/>
        </w:rPr>
        <w:t>Spor daňového subjektu a správce daně o posouzení stavebních prací provedených na nemovitosti. Daňový subjekt účtoval o přijaté faktuře na provedené práce jako o nákladu na opravy a udržování a snížil si tedy o tuto částku daňový základ za zdaňovací období 2011. Správce daně (poté i NSS) ovšem při kontrole daně z příjmů právnických osob dospěl k závěru, že provedené práce měly za následek změnu technických parametrů stavby. Došlo totiž ke zvětšení celkové zastavěné plochy a dále k výměně dřevěných oken za větší počet plastových s dvojskly. To způsobilo změnu vzhledu celé stavby. Celá stavební akce byla tudíž nejprve správcem daně a poté i NSS hodnocena jako technické zhodnocení stavby. Dále potvrdil závěry již výše zmíněných judikátů, že nelze jednotlivé práce uskutečněné v rámci jedné stavební akce rozlišovat, ale je nutno všechny posuzovat jednotně, a to dle záměru celé akce (tabulka 4).</w:t>
      </w:r>
    </w:p>
    <w:p w:rsidR="005C3F63" w:rsidRDefault="006536E7">
      <w:pPr>
        <w:spacing w:after="120"/>
        <w:jc w:val="center"/>
        <w:rPr>
          <w:rFonts w:ascii="Verdana" w:hAnsi="Verdana"/>
          <w:sz w:val="20"/>
          <w:szCs w:val="20"/>
          <w:lang w:val="cs-CZ"/>
        </w:rPr>
      </w:pPr>
      <w:r>
        <w:rPr>
          <w:rFonts w:ascii="Verdana" w:hAnsi="Verdana"/>
          <w:b/>
          <w:sz w:val="20"/>
          <w:szCs w:val="20"/>
          <w:lang w:val="cs-CZ"/>
        </w:rPr>
        <w:t>Tabulka 4</w:t>
      </w:r>
      <w:r>
        <w:rPr>
          <w:rFonts w:ascii="Verdana" w:hAnsi="Verdana"/>
          <w:sz w:val="20"/>
          <w:szCs w:val="20"/>
          <w:lang w:val="cs-CZ"/>
        </w:rPr>
        <w:t xml:space="preserve"> Rozsudek NSS 1 Afs 276/2018 - 47</w:t>
      </w:r>
    </w:p>
    <w:tbl>
      <w:tblPr>
        <w:tblW w:w="0" w:type="auto"/>
        <w:jc w:val="center"/>
        <w:tblBorders>
          <w:top w:val="single" w:sz="8" w:space="0" w:color="000000"/>
          <w:bottom w:val="single" w:sz="8" w:space="0" w:color="000000"/>
        </w:tblBorders>
        <w:tblLook w:val="04A0" w:firstRow="1" w:lastRow="0" w:firstColumn="1" w:lastColumn="0" w:noHBand="0" w:noVBand="1"/>
      </w:tblPr>
      <w:tblGrid>
        <w:gridCol w:w="2069"/>
        <w:gridCol w:w="3176"/>
        <w:gridCol w:w="2323"/>
      </w:tblGrid>
      <w:tr w:rsidR="005C3F63">
        <w:trPr>
          <w:jc w:val="center"/>
        </w:trPr>
        <w:tc>
          <w:tcPr>
            <w:tcW w:w="2069" w:type="dxa"/>
            <w:tcBorders>
              <w:top w:val="single" w:sz="8" w:space="0" w:color="000000"/>
              <w:left w:val="nil"/>
              <w:bottom w:val="double" w:sz="4" w:space="0" w:color="auto"/>
              <w:right w:val="nil"/>
            </w:tcBorders>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Daňový subjekt</w:t>
            </w:r>
          </w:p>
        </w:tc>
        <w:tc>
          <w:tcPr>
            <w:tcW w:w="3176"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cs-CZ"/>
              </w:rPr>
            </w:pPr>
            <w:r>
              <w:rPr>
                <w:rFonts w:ascii="Verdana" w:hAnsi="Verdana"/>
                <w:b/>
                <w:bCs/>
                <w:color w:val="000000"/>
                <w:sz w:val="20"/>
                <w:szCs w:val="20"/>
                <w:lang w:val="cs-CZ"/>
              </w:rPr>
              <w:t>NSS/Správce daně</w:t>
            </w:r>
          </w:p>
        </w:tc>
        <w:tc>
          <w:tcPr>
            <w:tcW w:w="2323"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cs-CZ"/>
              </w:rPr>
            </w:pPr>
            <w:r>
              <w:rPr>
                <w:rFonts w:ascii="Verdana" w:hAnsi="Verdana"/>
                <w:b/>
                <w:bCs/>
                <w:color w:val="000000"/>
                <w:sz w:val="20"/>
                <w:szCs w:val="20"/>
                <w:lang w:val="cs-CZ"/>
              </w:rPr>
              <w:t>Daňový doměrek</w:t>
            </w:r>
          </w:p>
        </w:tc>
      </w:tr>
      <w:tr w:rsidR="005C3F63">
        <w:trPr>
          <w:jc w:val="center"/>
        </w:trPr>
        <w:tc>
          <w:tcPr>
            <w:tcW w:w="2069" w:type="dxa"/>
            <w:tcBorders>
              <w:top w:val="double" w:sz="4" w:space="0" w:color="auto"/>
              <w:left w:val="nil"/>
              <w:bottom w:val="single" w:sz="4" w:space="0" w:color="auto"/>
              <w:right w:val="nil"/>
            </w:tcBorders>
            <w:shd w:val="clear" w:color="auto" w:fill="FFFFFF"/>
            <w:vAlign w:val="center"/>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Oprava</w:t>
            </w:r>
          </w:p>
        </w:tc>
        <w:tc>
          <w:tcPr>
            <w:tcW w:w="3176" w:type="dxa"/>
            <w:tcBorders>
              <w:top w:val="double" w:sz="4" w:space="0" w:color="auto"/>
              <w:left w:val="nil"/>
              <w:bottom w:val="single" w:sz="4" w:space="0" w:color="auto"/>
              <w:right w:val="nil"/>
            </w:tcBorders>
            <w:shd w:val="clear" w:color="auto" w:fill="FFFFFF"/>
            <w:vAlign w:val="center"/>
          </w:tcPr>
          <w:p w:rsidR="005C3F63" w:rsidRDefault="006536E7">
            <w:pPr>
              <w:ind w:firstLine="99"/>
              <w:jc w:val="center"/>
              <w:rPr>
                <w:rFonts w:ascii="Verdana" w:hAnsi="Verdana"/>
                <w:color w:val="000000"/>
                <w:sz w:val="20"/>
                <w:szCs w:val="20"/>
                <w:lang w:val="cs-CZ"/>
              </w:rPr>
            </w:pPr>
            <w:r>
              <w:rPr>
                <w:rFonts w:ascii="Verdana" w:hAnsi="Verdana"/>
                <w:color w:val="000000"/>
                <w:sz w:val="20"/>
                <w:szCs w:val="20"/>
                <w:lang w:val="cs-CZ"/>
              </w:rPr>
              <w:t>Technické zhodnocení</w:t>
            </w:r>
          </w:p>
        </w:tc>
        <w:tc>
          <w:tcPr>
            <w:tcW w:w="2323" w:type="dxa"/>
            <w:tcBorders>
              <w:top w:val="double" w:sz="4" w:space="0" w:color="auto"/>
              <w:left w:val="nil"/>
              <w:bottom w:val="single" w:sz="4" w:space="0" w:color="auto"/>
              <w:right w:val="nil"/>
            </w:tcBorders>
            <w:shd w:val="clear" w:color="auto" w:fill="FFFFFF"/>
            <w:vAlign w:val="center"/>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550 050 Kč</w:t>
            </w:r>
          </w:p>
        </w:tc>
      </w:tr>
    </w:tbl>
    <w:p w:rsidR="005C3F63" w:rsidRDefault="006536E7">
      <w:pPr>
        <w:spacing w:after="240"/>
        <w:jc w:val="center"/>
        <w:rPr>
          <w:rFonts w:ascii="Verdana" w:hAnsi="Verdana"/>
          <w:sz w:val="20"/>
          <w:szCs w:val="20"/>
          <w:lang w:val="cs-CZ"/>
        </w:rPr>
      </w:pPr>
      <w:r>
        <w:rPr>
          <w:rFonts w:ascii="Verdana" w:hAnsi="Verdana"/>
          <w:sz w:val="18"/>
          <w:szCs w:val="18"/>
          <w:lang w:val="cs-CZ"/>
        </w:rPr>
        <w:t xml:space="preserve">Zdroj: </w:t>
      </w:r>
      <w:hyperlink r:id="rId202" w:history="1">
        <w:r>
          <w:rPr>
            <w:rStyle w:val="af9"/>
            <w:rFonts w:ascii="Verdana" w:hAnsi="Verdana"/>
            <w:sz w:val="18"/>
            <w:szCs w:val="18"/>
            <w:lang w:val="cs-CZ"/>
          </w:rPr>
          <w:t>www.</w:t>
        </w:r>
        <w:r>
          <w:rPr>
            <w:rStyle w:val="af9"/>
            <w:rFonts w:ascii="Verdana" w:hAnsi="Verdana"/>
            <w:sz w:val="20"/>
            <w:szCs w:val="20"/>
            <w:lang w:val="cs-CZ"/>
          </w:rPr>
          <w:t>nssoud.cz</w:t>
        </w:r>
      </w:hyperlink>
      <w:r>
        <w:rPr>
          <w:rFonts w:ascii="Verdana" w:hAnsi="Verdana"/>
          <w:sz w:val="20"/>
          <w:szCs w:val="20"/>
          <w:lang w:val="cs-CZ"/>
        </w:rPr>
        <w:t>, autorské úpravy</w:t>
      </w:r>
    </w:p>
    <w:p w:rsidR="005C3F63" w:rsidRDefault="006536E7">
      <w:pPr>
        <w:pStyle w:val="Kapitola"/>
        <w:rPr>
          <w:rStyle w:val="KapitolaChar"/>
          <w:b/>
          <w:bCs/>
          <w:lang w:val="cs-CZ"/>
        </w:rPr>
      </w:pPr>
      <w:r>
        <w:rPr>
          <w:rStyle w:val="KapitolaChar"/>
          <w:b/>
          <w:bCs/>
          <w:lang w:val="cs-CZ"/>
        </w:rPr>
        <w:t>NSS 2013 (1) – Rozsudek 5 Afs 68/2012 – 36</w:t>
      </w:r>
    </w:p>
    <w:p w:rsidR="005C3F63" w:rsidRDefault="006536E7">
      <w:pPr>
        <w:spacing w:after="120"/>
        <w:rPr>
          <w:rFonts w:ascii="Verdana" w:hAnsi="Verdana"/>
          <w:sz w:val="20"/>
          <w:szCs w:val="20"/>
          <w:lang w:val="cs-CZ"/>
        </w:rPr>
      </w:pPr>
      <w:r>
        <w:rPr>
          <w:rFonts w:ascii="Verdana" w:hAnsi="Verdana"/>
          <w:sz w:val="20"/>
          <w:szCs w:val="20"/>
          <w:lang w:val="cs-CZ"/>
        </w:rPr>
        <w:t>V tomto případě se jednalo se o problematiku závazného posouzení, kdy daňový subjekt považoval výdaje za výdaje na opravu dle závazného posouzení vydaného správcem daně. Odlišného názoru byl ovšem finanční úřad, který tvrdil, že se jednalo o technické zhodnocení stavby. Výsledkem tohoto sporu bylo vyjádření, že rozhodnutí nezakládá daňovému subjektu žádná práva ani povinnosti. Od vydaného rozhodnutí je možno se odchýlit a dostatečnými důkazními prostředky toto rozhodnutí zneplatnit. Nezaručuje tedy stoprocentní jistotu (tabulka 5).</w:t>
      </w:r>
    </w:p>
    <w:p w:rsidR="005C3F63" w:rsidRDefault="006536E7">
      <w:pPr>
        <w:spacing w:after="120"/>
        <w:jc w:val="center"/>
        <w:rPr>
          <w:rFonts w:ascii="Verdana" w:hAnsi="Verdana"/>
          <w:sz w:val="20"/>
          <w:szCs w:val="20"/>
          <w:lang w:val="cs-CZ"/>
        </w:rPr>
      </w:pPr>
      <w:r>
        <w:rPr>
          <w:rFonts w:ascii="Verdana" w:hAnsi="Verdana"/>
          <w:b/>
          <w:sz w:val="20"/>
          <w:szCs w:val="20"/>
          <w:lang w:val="cs-CZ"/>
        </w:rPr>
        <w:t>Tabulka 5</w:t>
      </w:r>
      <w:r>
        <w:rPr>
          <w:rFonts w:ascii="Verdana" w:hAnsi="Verdana"/>
          <w:sz w:val="20"/>
          <w:szCs w:val="20"/>
          <w:lang w:val="cs-CZ"/>
        </w:rPr>
        <w:t xml:space="preserve"> Rozsudek NSS 5 Afs 68/2012 – 36</w:t>
      </w:r>
    </w:p>
    <w:tbl>
      <w:tblPr>
        <w:tblW w:w="0" w:type="auto"/>
        <w:jc w:val="center"/>
        <w:tblBorders>
          <w:top w:val="single" w:sz="8" w:space="0" w:color="000000"/>
          <w:bottom w:val="single" w:sz="8" w:space="0" w:color="000000"/>
        </w:tblBorders>
        <w:tblLook w:val="04A0" w:firstRow="1" w:lastRow="0" w:firstColumn="1" w:lastColumn="0" w:noHBand="0" w:noVBand="1"/>
      </w:tblPr>
      <w:tblGrid>
        <w:gridCol w:w="2211"/>
        <w:gridCol w:w="3176"/>
        <w:gridCol w:w="2323"/>
      </w:tblGrid>
      <w:tr w:rsidR="005C3F63">
        <w:trPr>
          <w:jc w:val="center"/>
        </w:trPr>
        <w:tc>
          <w:tcPr>
            <w:tcW w:w="2211" w:type="dxa"/>
            <w:tcBorders>
              <w:top w:val="single" w:sz="8" w:space="0" w:color="000000"/>
              <w:left w:val="nil"/>
              <w:bottom w:val="double" w:sz="4" w:space="0" w:color="auto"/>
              <w:right w:val="nil"/>
            </w:tcBorders>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Daňový subjekt</w:t>
            </w:r>
          </w:p>
        </w:tc>
        <w:tc>
          <w:tcPr>
            <w:tcW w:w="3176"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cs-CZ"/>
              </w:rPr>
            </w:pPr>
            <w:r>
              <w:rPr>
                <w:rFonts w:ascii="Verdana" w:hAnsi="Verdana"/>
                <w:b/>
                <w:bCs/>
                <w:color w:val="000000"/>
                <w:sz w:val="20"/>
                <w:szCs w:val="20"/>
                <w:lang w:val="cs-CZ"/>
              </w:rPr>
              <w:t>NSS/Správce daně</w:t>
            </w:r>
          </w:p>
        </w:tc>
        <w:tc>
          <w:tcPr>
            <w:tcW w:w="2323"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cs-CZ"/>
              </w:rPr>
            </w:pPr>
            <w:r>
              <w:rPr>
                <w:rFonts w:ascii="Verdana" w:hAnsi="Verdana"/>
                <w:b/>
                <w:bCs/>
                <w:color w:val="000000"/>
                <w:sz w:val="20"/>
                <w:szCs w:val="20"/>
                <w:lang w:val="cs-CZ"/>
              </w:rPr>
              <w:t>Daňový doměrek</w:t>
            </w:r>
          </w:p>
        </w:tc>
      </w:tr>
      <w:tr w:rsidR="005C3F63">
        <w:trPr>
          <w:jc w:val="center"/>
        </w:trPr>
        <w:tc>
          <w:tcPr>
            <w:tcW w:w="2211" w:type="dxa"/>
            <w:tcBorders>
              <w:top w:val="double" w:sz="4" w:space="0" w:color="auto"/>
              <w:left w:val="nil"/>
              <w:bottom w:val="single" w:sz="4" w:space="0" w:color="auto"/>
              <w:right w:val="nil"/>
            </w:tcBorders>
            <w:shd w:val="clear" w:color="auto" w:fill="FFFFFF"/>
            <w:vAlign w:val="center"/>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Oprava</w:t>
            </w:r>
          </w:p>
        </w:tc>
        <w:tc>
          <w:tcPr>
            <w:tcW w:w="3176" w:type="dxa"/>
            <w:tcBorders>
              <w:top w:val="double" w:sz="4" w:space="0" w:color="auto"/>
              <w:left w:val="nil"/>
              <w:bottom w:val="single" w:sz="4" w:space="0" w:color="auto"/>
              <w:right w:val="nil"/>
            </w:tcBorders>
            <w:shd w:val="clear" w:color="auto" w:fill="FFFFFF"/>
            <w:vAlign w:val="center"/>
          </w:tcPr>
          <w:p w:rsidR="005C3F63" w:rsidRDefault="006536E7">
            <w:pPr>
              <w:ind w:firstLine="99"/>
              <w:jc w:val="center"/>
              <w:rPr>
                <w:rFonts w:ascii="Verdana" w:hAnsi="Verdana"/>
                <w:color w:val="000000"/>
                <w:sz w:val="20"/>
                <w:szCs w:val="20"/>
                <w:lang w:val="cs-CZ"/>
              </w:rPr>
            </w:pPr>
            <w:r>
              <w:rPr>
                <w:rFonts w:ascii="Verdana" w:hAnsi="Verdana"/>
                <w:color w:val="000000"/>
                <w:sz w:val="20"/>
                <w:szCs w:val="20"/>
                <w:lang w:val="cs-CZ"/>
              </w:rPr>
              <w:t>Technické zhodnocení</w:t>
            </w:r>
          </w:p>
        </w:tc>
        <w:tc>
          <w:tcPr>
            <w:tcW w:w="2323" w:type="dxa"/>
            <w:tcBorders>
              <w:top w:val="double" w:sz="4" w:space="0" w:color="auto"/>
              <w:left w:val="nil"/>
              <w:bottom w:val="single" w:sz="4" w:space="0" w:color="auto"/>
              <w:right w:val="nil"/>
            </w:tcBorders>
            <w:shd w:val="clear" w:color="auto" w:fill="FFFFFF"/>
            <w:vAlign w:val="center"/>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neuveden Kč</w:t>
            </w:r>
          </w:p>
        </w:tc>
      </w:tr>
    </w:tbl>
    <w:p w:rsidR="005C3F63" w:rsidRDefault="006536E7">
      <w:pPr>
        <w:spacing w:after="240"/>
        <w:jc w:val="center"/>
        <w:rPr>
          <w:rFonts w:ascii="Verdana" w:hAnsi="Verdana"/>
          <w:sz w:val="20"/>
          <w:szCs w:val="20"/>
          <w:lang w:val="cs-CZ"/>
        </w:rPr>
      </w:pPr>
      <w:r>
        <w:rPr>
          <w:rFonts w:ascii="Verdana" w:hAnsi="Verdana"/>
          <w:sz w:val="18"/>
          <w:szCs w:val="18"/>
          <w:lang w:val="cs-CZ"/>
        </w:rPr>
        <w:t xml:space="preserve">Zdroj: </w:t>
      </w:r>
      <w:hyperlink r:id="rId203" w:history="1">
        <w:r>
          <w:rPr>
            <w:rStyle w:val="af9"/>
            <w:rFonts w:ascii="Verdana" w:hAnsi="Verdana"/>
            <w:sz w:val="18"/>
            <w:szCs w:val="18"/>
            <w:lang w:val="cs-CZ"/>
          </w:rPr>
          <w:t>www.</w:t>
        </w:r>
        <w:r>
          <w:rPr>
            <w:rStyle w:val="af9"/>
            <w:rFonts w:ascii="Verdana" w:hAnsi="Verdana"/>
            <w:sz w:val="20"/>
            <w:szCs w:val="20"/>
            <w:lang w:val="cs-CZ"/>
          </w:rPr>
          <w:t>nssoud.cz</w:t>
        </w:r>
      </w:hyperlink>
      <w:r>
        <w:rPr>
          <w:rFonts w:ascii="Verdana" w:hAnsi="Verdana"/>
          <w:sz w:val="20"/>
          <w:szCs w:val="20"/>
          <w:lang w:val="cs-CZ"/>
        </w:rPr>
        <w:t>, autorské úpravy</w:t>
      </w:r>
    </w:p>
    <w:p w:rsidR="005C3F63" w:rsidRDefault="006536E7">
      <w:pPr>
        <w:pStyle w:val="Kapitola"/>
        <w:rPr>
          <w:rStyle w:val="KapitolaChar"/>
          <w:b/>
          <w:bCs/>
          <w:lang w:val="cs-CZ"/>
        </w:rPr>
      </w:pPr>
      <w:r>
        <w:rPr>
          <w:rStyle w:val="KapitolaChar"/>
          <w:b/>
          <w:bCs/>
          <w:lang w:val="cs-CZ"/>
        </w:rPr>
        <w:lastRenderedPageBreak/>
        <w:t xml:space="preserve">NSS 2013 (2) – Rozsudek </w:t>
      </w:r>
      <w:bookmarkStart w:id="690" w:name="_Hlk46908181"/>
      <w:r>
        <w:rPr>
          <w:rStyle w:val="KapitolaChar"/>
          <w:b/>
          <w:bCs/>
          <w:lang w:val="cs-CZ"/>
        </w:rPr>
        <w:t>2 Afs 17/2012 – 26</w:t>
      </w:r>
      <w:bookmarkEnd w:id="690"/>
    </w:p>
    <w:p w:rsidR="005C3F63" w:rsidRDefault="006536E7">
      <w:pPr>
        <w:spacing w:after="120"/>
        <w:rPr>
          <w:rFonts w:ascii="Verdana" w:hAnsi="Verdana"/>
          <w:sz w:val="20"/>
          <w:szCs w:val="20"/>
          <w:lang w:val="cs-CZ"/>
        </w:rPr>
      </w:pPr>
      <w:r>
        <w:rPr>
          <w:rFonts w:ascii="Verdana" w:hAnsi="Verdana"/>
          <w:sz w:val="20"/>
          <w:szCs w:val="20"/>
          <w:lang w:val="cs-CZ"/>
        </w:rPr>
        <w:t>Tento rozsudek je obsahově podobný již dvěma výše uvedeným judikátům. V tomto případě došlo ke zkoumání, zda tvořená rezerva byla opravdu použita na opravu hmotného majetku, a ne na technické zhodnocení nemovitosti. Došlo totiž ke změně užívání stavby, kdy původně karosářská dílna byla upravena na tiskárnu. Nejvyšší správní soud ovšem namítl, že v rámci jedné rozsáhlé investiční akce mohou být provedeny úpravy, kterými dochází k opravě dané nemovitosti, tak ale může vznikat i podnět pro technické zhodnocení (tabulka 6). Pro rozlišení by byl velmi nápomocný znalecký posudek z oboru stavebnictví.</w:t>
      </w:r>
    </w:p>
    <w:p w:rsidR="005C3F63" w:rsidRDefault="006536E7">
      <w:pPr>
        <w:spacing w:after="120"/>
        <w:jc w:val="center"/>
        <w:rPr>
          <w:rFonts w:ascii="Verdana" w:hAnsi="Verdana"/>
          <w:sz w:val="20"/>
          <w:szCs w:val="20"/>
          <w:lang w:val="cs-CZ"/>
        </w:rPr>
      </w:pPr>
      <w:r>
        <w:rPr>
          <w:rFonts w:ascii="Verdana" w:hAnsi="Verdana"/>
          <w:b/>
          <w:sz w:val="20"/>
          <w:szCs w:val="20"/>
          <w:lang w:val="cs-CZ"/>
        </w:rPr>
        <w:t>Tabulka 6</w:t>
      </w:r>
      <w:r>
        <w:rPr>
          <w:rFonts w:ascii="Verdana" w:hAnsi="Verdana"/>
          <w:sz w:val="20"/>
          <w:szCs w:val="20"/>
          <w:lang w:val="cs-CZ"/>
        </w:rPr>
        <w:t xml:space="preserve"> Rozsudek NSS 2 Afs 17/2012 – 26</w:t>
      </w:r>
    </w:p>
    <w:tbl>
      <w:tblPr>
        <w:tblW w:w="0" w:type="auto"/>
        <w:jc w:val="center"/>
        <w:tblBorders>
          <w:top w:val="single" w:sz="8" w:space="0" w:color="000000"/>
          <w:bottom w:val="single" w:sz="8" w:space="0" w:color="000000"/>
        </w:tblBorders>
        <w:tblLook w:val="04A0" w:firstRow="1" w:lastRow="0" w:firstColumn="1" w:lastColumn="0" w:noHBand="0" w:noVBand="1"/>
      </w:tblPr>
      <w:tblGrid>
        <w:gridCol w:w="3402"/>
        <w:gridCol w:w="3176"/>
        <w:gridCol w:w="2323"/>
      </w:tblGrid>
      <w:tr w:rsidR="005C3F63">
        <w:trPr>
          <w:jc w:val="center"/>
        </w:trPr>
        <w:tc>
          <w:tcPr>
            <w:tcW w:w="3402" w:type="dxa"/>
            <w:tcBorders>
              <w:top w:val="single" w:sz="8" w:space="0" w:color="000000"/>
              <w:left w:val="nil"/>
              <w:bottom w:val="double" w:sz="4" w:space="0" w:color="auto"/>
              <w:right w:val="nil"/>
            </w:tcBorders>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Daňový subjekt</w:t>
            </w:r>
          </w:p>
        </w:tc>
        <w:tc>
          <w:tcPr>
            <w:tcW w:w="3176"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cs-CZ"/>
              </w:rPr>
            </w:pPr>
            <w:r>
              <w:rPr>
                <w:rFonts w:ascii="Verdana" w:hAnsi="Verdana"/>
                <w:b/>
                <w:bCs/>
                <w:color w:val="000000"/>
                <w:sz w:val="20"/>
                <w:szCs w:val="20"/>
                <w:lang w:val="cs-CZ"/>
              </w:rPr>
              <w:t>NSS/Správce daně</w:t>
            </w:r>
          </w:p>
        </w:tc>
        <w:tc>
          <w:tcPr>
            <w:tcW w:w="2323"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cs-CZ"/>
              </w:rPr>
            </w:pPr>
            <w:r>
              <w:rPr>
                <w:rFonts w:ascii="Verdana" w:hAnsi="Verdana"/>
                <w:b/>
                <w:bCs/>
                <w:color w:val="000000"/>
                <w:sz w:val="20"/>
                <w:szCs w:val="20"/>
                <w:lang w:val="cs-CZ"/>
              </w:rPr>
              <w:t>Daňový doměrek</w:t>
            </w:r>
          </w:p>
        </w:tc>
      </w:tr>
      <w:tr w:rsidR="005C3F63">
        <w:trPr>
          <w:jc w:val="center"/>
        </w:trPr>
        <w:tc>
          <w:tcPr>
            <w:tcW w:w="3402" w:type="dxa"/>
            <w:tcBorders>
              <w:top w:val="double" w:sz="4" w:space="0" w:color="auto"/>
              <w:left w:val="nil"/>
              <w:bottom w:val="single" w:sz="4" w:space="0" w:color="auto"/>
              <w:right w:val="nil"/>
            </w:tcBorders>
            <w:shd w:val="clear" w:color="auto" w:fill="FFFFFF"/>
            <w:vAlign w:val="center"/>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Tvorba zákonné rezervy na opravu</w:t>
            </w:r>
          </w:p>
        </w:tc>
        <w:tc>
          <w:tcPr>
            <w:tcW w:w="3176" w:type="dxa"/>
            <w:tcBorders>
              <w:top w:val="double" w:sz="4" w:space="0" w:color="auto"/>
              <w:left w:val="nil"/>
              <w:bottom w:val="single" w:sz="4" w:space="0" w:color="auto"/>
              <w:right w:val="nil"/>
            </w:tcBorders>
            <w:shd w:val="clear" w:color="auto" w:fill="FFFFFF"/>
            <w:vAlign w:val="center"/>
          </w:tcPr>
          <w:p w:rsidR="005C3F63" w:rsidRDefault="006536E7">
            <w:pPr>
              <w:ind w:firstLine="99"/>
              <w:jc w:val="center"/>
              <w:rPr>
                <w:rFonts w:ascii="Verdana" w:hAnsi="Verdana"/>
                <w:color w:val="000000"/>
                <w:sz w:val="20"/>
                <w:szCs w:val="20"/>
                <w:lang w:val="cs-CZ"/>
              </w:rPr>
            </w:pPr>
            <w:r>
              <w:rPr>
                <w:rFonts w:ascii="Verdana" w:hAnsi="Verdana"/>
                <w:color w:val="000000"/>
                <w:sz w:val="20"/>
                <w:szCs w:val="20"/>
                <w:lang w:val="cs-CZ"/>
              </w:rPr>
              <w:t>Technické zhodnocení</w:t>
            </w:r>
          </w:p>
        </w:tc>
        <w:tc>
          <w:tcPr>
            <w:tcW w:w="2323" w:type="dxa"/>
            <w:tcBorders>
              <w:top w:val="double" w:sz="4" w:space="0" w:color="auto"/>
              <w:left w:val="nil"/>
              <w:bottom w:val="single" w:sz="4" w:space="0" w:color="auto"/>
              <w:right w:val="nil"/>
            </w:tcBorders>
            <w:shd w:val="clear" w:color="auto" w:fill="FFFFFF"/>
            <w:vAlign w:val="center"/>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1 413 770 Kč</w:t>
            </w:r>
          </w:p>
        </w:tc>
      </w:tr>
    </w:tbl>
    <w:p w:rsidR="005C3F63" w:rsidRDefault="006536E7">
      <w:pPr>
        <w:spacing w:after="240"/>
        <w:jc w:val="center"/>
        <w:rPr>
          <w:rFonts w:ascii="Verdana" w:hAnsi="Verdana"/>
          <w:sz w:val="20"/>
          <w:szCs w:val="20"/>
          <w:lang w:val="cs-CZ"/>
        </w:rPr>
      </w:pPr>
      <w:r>
        <w:rPr>
          <w:rFonts w:ascii="Verdana" w:hAnsi="Verdana"/>
          <w:sz w:val="18"/>
          <w:szCs w:val="18"/>
          <w:lang w:val="cs-CZ"/>
        </w:rPr>
        <w:t xml:space="preserve">Zdroj: </w:t>
      </w:r>
      <w:hyperlink r:id="rId204" w:history="1">
        <w:r>
          <w:rPr>
            <w:rStyle w:val="af9"/>
            <w:rFonts w:ascii="Verdana" w:hAnsi="Verdana"/>
            <w:sz w:val="18"/>
            <w:szCs w:val="18"/>
            <w:lang w:val="cs-CZ"/>
          </w:rPr>
          <w:t>www.</w:t>
        </w:r>
        <w:r>
          <w:rPr>
            <w:rStyle w:val="af9"/>
            <w:rFonts w:ascii="Verdana" w:hAnsi="Verdana"/>
            <w:sz w:val="20"/>
            <w:szCs w:val="20"/>
            <w:lang w:val="cs-CZ"/>
          </w:rPr>
          <w:t>nssoud.cz</w:t>
        </w:r>
      </w:hyperlink>
      <w:r>
        <w:rPr>
          <w:rFonts w:ascii="Verdana" w:hAnsi="Verdana"/>
          <w:sz w:val="20"/>
          <w:szCs w:val="20"/>
          <w:lang w:val="cs-CZ"/>
        </w:rPr>
        <w:t>, autorské úpravy</w:t>
      </w:r>
    </w:p>
    <w:p w:rsidR="005C3F63" w:rsidRDefault="006536E7">
      <w:pPr>
        <w:pStyle w:val="Kapitola"/>
        <w:rPr>
          <w:rStyle w:val="KapitolaChar"/>
          <w:b/>
          <w:bCs/>
          <w:lang w:val="cs-CZ"/>
        </w:rPr>
      </w:pPr>
      <w:r>
        <w:rPr>
          <w:rStyle w:val="KapitolaChar"/>
          <w:b/>
          <w:bCs/>
          <w:lang w:val="cs-CZ"/>
        </w:rPr>
        <w:t>NSS 2016 – Rozsudek 1 Afs 308/2015 - 51</w:t>
      </w:r>
    </w:p>
    <w:p w:rsidR="005C3F63" w:rsidRDefault="006536E7">
      <w:pPr>
        <w:spacing w:after="120"/>
        <w:rPr>
          <w:rFonts w:ascii="Verdana" w:hAnsi="Verdana"/>
          <w:sz w:val="20"/>
          <w:szCs w:val="20"/>
          <w:lang w:val="cs-CZ"/>
        </w:rPr>
      </w:pPr>
      <w:r>
        <w:rPr>
          <w:rFonts w:ascii="Verdana" w:hAnsi="Verdana"/>
          <w:sz w:val="20"/>
          <w:szCs w:val="20"/>
          <w:lang w:val="cs-CZ"/>
        </w:rPr>
        <w:t>Jediný rozsudek, ve kterém byla kromě daně z příjmů doměřena i daň z přidané hodnoty, a to z toho důvodu, že daňový subjekt považoval provedené práce na nemovitosti za výdaje na opravu a uplatnil si nárok na odpočet. Dle vyjádření správce daně, který poté potvrdil i NSS, došlo ovšem k technickému zhodnocení stavby. V případě, že by daňový subjekt trval na svém názoru, měl doložit více důkazních prostředků týkajících se těchto provedených úprav. Z důvodu, že měly být práce považovány za technické zhodnocení, uložil správce daně povinnost upravit odpočet daně dle zákona o dani z přidané hodnoty (tabulka 7)</w:t>
      </w:r>
    </w:p>
    <w:p w:rsidR="005C3F63" w:rsidRDefault="006536E7">
      <w:pPr>
        <w:spacing w:after="120"/>
        <w:jc w:val="center"/>
        <w:rPr>
          <w:rFonts w:ascii="Verdana" w:hAnsi="Verdana"/>
          <w:sz w:val="20"/>
          <w:szCs w:val="20"/>
          <w:lang w:val="cs-CZ"/>
        </w:rPr>
      </w:pPr>
      <w:r>
        <w:rPr>
          <w:rFonts w:ascii="Verdana" w:hAnsi="Verdana"/>
          <w:b/>
          <w:sz w:val="20"/>
          <w:szCs w:val="20"/>
          <w:lang w:val="cs-CZ"/>
        </w:rPr>
        <w:t>Tabulka 7</w:t>
      </w:r>
      <w:r>
        <w:rPr>
          <w:rFonts w:ascii="Verdana" w:hAnsi="Verdana"/>
          <w:sz w:val="20"/>
          <w:szCs w:val="20"/>
          <w:lang w:val="cs-CZ"/>
        </w:rPr>
        <w:t xml:space="preserve"> Rozsudek NSS 1 Afs 308/2015 – 51</w:t>
      </w:r>
    </w:p>
    <w:tbl>
      <w:tblPr>
        <w:tblW w:w="0" w:type="auto"/>
        <w:jc w:val="center"/>
        <w:tblBorders>
          <w:top w:val="single" w:sz="8" w:space="0" w:color="000000"/>
          <w:bottom w:val="single" w:sz="8" w:space="0" w:color="000000"/>
        </w:tblBorders>
        <w:tblLook w:val="04A0" w:firstRow="1" w:lastRow="0" w:firstColumn="1" w:lastColumn="0" w:noHBand="0" w:noVBand="1"/>
      </w:tblPr>
      <w:tblGrid>
        <w:gridCol w:w="2069"/>
        <w:gridCol w:w="3176"/>
        <w:gridCol w:w="2323"/>
      </w:tblGrid>
      <w:tr w:rsidR="005C3F63">
        <w:trPr>
          <w:jc w:val="center"/>
        </w:trPr>
        <w:tc>
          <w:tcPr>
            <w:tcW w:w="2069" w:type="dxa"/>
            <w:tcBorders>
              <w:top w:val="single" w:sz="8" w:space="0" w:color="000000"/>
              <w:left w:val="nil"/>
              <w:bottom w:val="double" w:sz="4" w:space="0" w:color="auto"/>
              <w:right w:val="nil"/>
            </w:tcBorders>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Daňový subjekt</w:t>
            </w:r>
          </w:p>
        </w:tc>
        <w:tc>
          <w:tcPr>
            <w:tcW w:w="3176"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cs-CZ"/>
              </w:rPr>
            </w:pPr>
            <w:r>
              <w:rPr>
                <w:rFonts w:ascii="Verdana" w:hAnsi="Verdana"/>
                <w:b/>
                <w:bCs/>
                <w:color w:val="000000"/>
                <w:sz w:val="20"/>
                <w:szCs w:val="20"/>
                <w:lang w:val="cs-CZ"/>
              </w:rPr>
              <w:t>NSS/Správce daně</w:t>
            </w:r>
          </w:p>
        </w:tc>
        <w:tc>
          <w:tcPr>
            <w:tcW w:w="2323"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cs-CZ"/>
              </w:rPr>
            </w:pPr>
            <w:r>
              <w:rPr>
                <w:rFonts w:ascii="Verdana" w:hAnsi="Verdana"/>
                <w:b/>
                <w:bCs/>
                <w:color w:val="000000"/>
                <w:sz w:val="20"/>
                <w:szCs w:val="20"/>
                <w:lang w:val="cs-CZ"/>
              </w:rPr>
              <w:t>Daňový doměrek</w:t>
            </w:r>
          </w:p>
        </w:tc>
      </w:tr>
      <w:tr w:rsidR="005C3F63">
        <w:trPr>
          <w:jc w:val="center"/>
        </w:trPr>
        <w:tc>
          <w:tcPr>
            <w:tcW w:w="2069" w:type="dxa"/>
            <w:tcBorders>
              <w:top w:val="double" w:sz="4" w:space="0" w:color="auto"/>
              <w:left w:val="nil"/>
              <w:bottom w:val="single" w:sz="4" w:space="0" w:color="auto"/>
              <w:right w:val="nil"/>
            </w:tcBorders>
            <w:shd w:val="clear" w:color="auto" w:fill="FFFFFF"/>
            <w:vAlign w:val="center"/>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Oprava</w:t>
            </w:r>
          </w:p>
        </w:tc>
        <w:tc>
          <w:tcPr>
            <w:tcW w:w="3176" w:type="dxa"/>
            <w:tcBorders>
              <w:top w:val="double" w:sz="4" w:space="0" w:color="auto"/>
              <w:left w:val="nil"/>
              <w:bottom w:val="single" w:sz="4" w:space="0" w:color="auto"/>
              <w:right w:val="nil"/>
            </w:tcBorders>
            <w:shd w:val="clear" w:color="auto" w:fill="FFFFFF"/>
            <w:vAlign w:val="center"/>
          </w:tcPr>
          <w:p w:rsidR="005C3F63" w:rsidRDefault="006536E7">
            <w:pPr>
              <w:ind w:firstLine="99"/>
              <w:jc w:val="center"/>
              <w:rPr>
                <w:rFonts w:ascii="Verdana" w:hAnsi="Verdana"/>
                <w:color w:val="000000"/>
                <w:sz w:val="20"/>
                <w:szCs w:val="20"/>
                <w:lang w:val="cs-CZ"/>
              </w:rPr>
            </w:pPr>
            <w:r>
              <w:rPr>
                <w:rFonts w:ascii="Verdana" w:hAnsi="Verdana"/>
                <w:color w:val="000000"/>
                <w:sz w:val="20"/>
                <w:szCs w:val="20"/>
                <w:lang w:val="cs-CZ"/>
              </w:rPr>
              <w:t>Technické zhodnocení</w:t>
            </w:r>
          </w:p>
        </w:tc>
        <w:tc>
          <w:tcPr>
            <w:tcW w:w="2323" w:type="dxa"/>
            <w:tcBorders>
              <w:top w:val="double" w:sz="4" w:space="0" w:color="auto"/>
              <w:left w:val="nil"/>
              <w:bottom w:val="single" w:sz="4" w:space="0" w:color="auto"/>
              <w:right w:val="nil"/>
            </w:tcBorders>
            <w:shd w:val="clear" w:color="auto" w:fill="FFFFFF"/>
            <w:vAlign w:val="center"/>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226 003 Kč</w:t>
            </w:r>
          </w:p>
        </w:tc>
      </w:tr>
    </w:tbl>
    <w:p w:rsidR="005C3F63" w:rsidRDefault="006536E7">
      <w:pPr>
        <w:spacing w:after="240"/>
        <w:jc w:val="center"/>
        <w:rPr>
          <w:rFonts w:ascii="Verdana" w:hAnsi="Verdana"/>
          <w:sz w:val="20"/>
          <w:szCs w:val="20"/>
          <w:lang w:val="cs-CZ"/>
        </w:rPr>
      </w:pPr>
      <w:r>
        <w:rPr>
          <w:rFonts w:ascii="Verdana" w:hAnsi="Verdana"/>
          <w:sz w:val="18"/>
          <w:szCs w:val="18"/>
          <w:lang w:val="cs-CZ"/>
        </w:rPr>
        <w:t xml:space="preserve">Zdroj: </w:t>
      </w:r>
      <w:hyperlink r:id="rId205" w:history="1">
        <w:r>
          <w:rPr>
            <w:rStyle w:val="af9"/>
            <w:rFonts w:ascii="Verdana" w:hAnsi="Verdana"/>
            <w:sz w:val="18"/>
            <w:szCs w:val="18"/>
            <w:lang w:val="cs-CZ"/>
          </w:rPr>
          <w:t>www.</w:t>
        </w:r>
        <w:r>
          <w:rPr>
            <w:rStyle w:val="af9"/>
            <w:rFonts w:ascii="Verdana" w:hAnsi="Verdana"/>
            <w:sz w:val="20"/>
            <w:szCs w:val="20"/>
            <w:lang w:val="cs-CZ"/>
          </w:rPr>
          <w:t>nssoud.cz</w:t>
        </w:r>
      </w:hyperlink>
      <w:r>
        <w:rPr>
          <w:rFonts w:ascii="Verdana" w:hAnsi="Verdana"/>
          <w:sz w:val="20"/>
          <w:szCs w:val="20"/>
          <w:lang w:val="cs-CZ"/>
        </w:rPr>
        <w:t>, autorské úpravy</w:t>
      </w:r>
    </w:p>
    <w:p w:rsidR="005C3F63" w:rsidRDefault="006536E7">
      <w:pPr>
        <w:pStyle w:val="Kapitola"/>
        <w:rPr>
          <w:rStyle w:val="KapitolaChar"/>
          <w:b/>
          <w:bCs/>
          <w:lang w:val="cs-CZ"/>
        </w:rPr>
      </w:pPr>
      <w:r>
        <w:rPr>
          <w:rStyle w:val="KapitolaChar"/>
          <w:b/>
          <w:bCs/>
          <w:lang w:val="cs-CZ"/>
        </w:rPr>
        <w:t xml:space="preserve">NSS 2018 (2) – Rozsudek </w:t>
      </w:r>
      <w:bookmarkStart w:id="691" w:name="_Hlk46908192"/>
      <w:r>
        <w:rPr>
          <w:rStyle w:val="KapitolaChar"/>
          <w:b/>
          <w:bCs/>
          <w:lang w:val="cs-CZ"/>
        </w:rPr>
        <w:t>10 Afs 104/2018 – 40</w:t>
      </w:r>
      <w:bookmarkEnd w:id="691"/>
    </w:p>
    <w:p w:rsidR="005C3F63" w:rsidRDefault="006536E7">
      <w:pPr>
        <w:spacing w:after="120"/>
        <w:rPr>
          <w:rFonts w:ascii="Verdana" w:hAnsi="Verdana"/>
          <w:sz w:val="20"/>
          <w:szCs w:val="20"/>
          <w:lang w:val="cs-CZ"/>
        </w:rPr>
      </w:pPr>
      <w:r>
        <w:rPr>
          <w:rFonts w:ascii="Verdana" w:hAnsi="Verdana"/>
          <w:sz w:val="20"/>
          <w:szCs w:val="20"/>
          <w:lang w:val="cs-CZ"/>
        </w:rPr>
        <w:t>Poslední ze zmíněných rozsudků se týkal doměrku na dani z příjmů právnických osob. Daňový subjekt provedl práce na průmyslovém areálu, které klasifikoval jako výdaje na opravu nemovitosti. Správce daně se s tímto postupem neztotožnil a uvedl, že došlo ke změně způsobu využití nemovitosti a práce vedly ke změně technických parametrů, dle jeho názoru tedy došlo k technickému zhodnocení. Jelikož byly práce provedené v rámci jednoho investičního projektu, jsou považovány za jeden celek a nelze je tedy rozdělit na část oprav a část technického zhodnocení (tabulka 8).</w:t>
      </w:r>
    </w:p>
    <w:p w:rsidR="005C3F63" w:rsidRDefault="006536E7">
      <w:pPr>
        <w:spacing w:after="120"/>
        <w:jc w:val="center"/>
        <w:rPr>
          <w:rFonts w:ascii="Verdana" w:hAnsi="Verdana"/>
          <w:sz w:val="20"/>
          <w:szCs w:val="20"/>
          <w:lang w:val="cs-CZ"/>
        </w:rPr>
      </w:pPr>
      <w:r>
        <w:rPr>
          <w:rFonts w:ascii="Verdana" w:hAnsi="Verdana"/>
          <w:b/>
          <w:sz w:val="20"/>
          <w:szCs w:val="20"/>
          <w:lang w:val="cs-CZ"/>
        </w:rPr>
        <w:t>Tabulka 8</w:t>
      </w:r>
      <w:r>
        <w:rPr>
          <w:rFonts w:ascii="Verdana" w:hAnsi="Verdana"/>
          <w:sz w:val="20"/>
          <w:szCs w:val="20"/>
          <w:lang w:val="cs-CZ"/>
        </w:rPr>
        <w:t xml:space="preserve"> Rozsudek NSS 10 Afs 104/2018 – 40</w:t>
      </w:r>
    </w:p>
    <w:tbl>
      <w:tblPr>
        <w:tblW w:w="0" w:type="auto"/>
        <w:jc w:val="center"/>
        <w:tblBorders>
          <w:top w:val="single" w:sz="8" w:space="0" w:color="000000"/>
          <w:bottom w:val="single" w:sz="8" w:space="0" w:color="000000"/>
        </w:tblBorders>
        <w:tblLook w:val="04A0" w:firstRow="1" w:lastRow="0" w:firstColumn="1" w:lastColumn="0" w:noHBand="0" w:noVBand="1"/>
      </w:tblPr>
      <w:tblGrid>
        <w:gridCol w:w="2069"/>
        <w:gridCol w:w="3176"/>
        <w:gridCol w:w="2323"/>
      </w:tblGrid>
      <w:tr w:rsidR="005C3F63">
        <w:trPr>
          <w:jc w:val="center"/>
        </w:trPr>
        <w:tc>
          <w:tcPr>
            <w:tcW w:w="2069" w:type="dxa"/>
            <w:tcBorders>
              <w:top w:val="single" w:sz="8" w:space="0" w:color="000000"/>
              <w:left w:val="nil"/>
              <w:bottom w:val="double" w:sz="4" w:space="0" w:color="auto"/>
              <w:right w:val="nil"/>
            </w:tcBorders>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Daňový subjekt</w:t>
            </w:r>
          </w:p>
        </w:tc>
        <w:tc>
          <w:tcPr>
            <w:tcW w:w="3176"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cs-CZ"/>
              </w:rPr>
            </w:pPr>
            <w:r>
              <w:rPr>
                <w:rFonts w:ascii="Verdana" w:hAnsi="Verdana"/>
                <w:b/>
                <w:bCs/>
                <w:color w:val="000000"/>
                <w:sz w:val="20"/>
                <w:szCs w:val="20"/>
                <w:lang w:val="cs-CZ"/>
              </w:rPr>
              <w:t>NSS/Správce daně</w:t>
            </w:r>
          </w:p>
        </w:tc>
        <w:tc>
          <w:tcPr>
            <w:tcW w:w="2323"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cs-CZ"/>
              </w:rPr>
            </w:pPr>
            <w:r>
              <w:rPr>
                <w:rFonts w:ascii="Verdana" w:hAnsi="Verdana"/>
                <w:b/>
                <w:bCs/>
                <w:color w:val="000000"/>
                <w:sz w:val="20"/>
                <w:szCs w:val="20"/>
                <w:lang w:val="cs-CZ"/>
              </w:rPr>
              <w:t>Daňový doměrek</w:t>
            </w:r>
          </w:p>
        </w:tc>
      </w:tr>
      <w:tr w:rsidR="005C3F63">
        <w:trPr>
          <w:jc w:val="center"/>
        </w:trPr>
        <w:tc>
          <w:tcPr>
            <w:tcW w:w="2069" w:type="dxa"/>
            <w:tcBorders>
              <w:top w:val="double" w:sz="4" w:space="0" w:color="auto"/>
              <w:left w:val="nil"/>
              <w:bottom w:val="single" w:sz="4" w:space="0" w:color="auto"/>
              <w:right w:val="nil"/>
            </w:tcBorders>
            <w:shd w:val="clear" w:color="auto" w:fill="FFFFFF"/>
            <w:vAlign w:val="center"/>
          </w:tcPr>
          <w:p w:rsidR="005C3F63" w:rsidRDefault="006536E7">
            <w:pPr>
              <w:jc w:val="left"/>
              <w:rPr>
                <w:rFonts w:ascii="Verdana" w:hAnsi="Verdana"/>
                <w:b/>
                <w:bCs/>
                <w:color w:val="000000"/>
                <w:sz w:val="20"/>
                <w:szCs w:val="20"/>
                <w:lang w:val="cs-CZ"/>
              </w:rPr>
            </w:pPr>
            <w:r>
              <w:rPr>
                <w:rFonts w:ascii="Verdana" w:hAnsi="Verdana"/>
                <w:b/>
                <w:bCs/>
                <w:color w:val="000000"/>
                <w:sz w:val="20"/>
                <w:szCs w:val="20"/>
                <w:lang w:val="cs-CZ"/>
              </w:rPr>
              <w:t>Oprava</w:t>
            </w:r>
          </w:p>
        </w:tc>
        <w:tc>
          <w:tcPr>
            <w:tcW w:w="3176" w:type="dxa"/>
            <w:tcBorders>
              <w:top w:val="double" w:sz="4" w:space="0" w:color="auto"/>
              <w:left w:val="nil"/>
              <w:bottom w:val="single" w:sz="4" w:space="0" w:color="auto"/>
              <w:right w:val="nil"/>
            </w:tcBorders>
            <w:shd w:val="clear" w:color="auto" w:fill="FFFFFF"/>
            <w:vAlign w:val="center"/>
          </w:tcPr>
          <w:p w:rsidR="005C3F63" w:rsidRDefault="006536E7">
            <w:pPr>
              <w:ind w:firstLine="99"/>
              <w:jc w:val="center"/>
              <w:rPr>
                <w:rFonts w:ascii="Verdana" w:hAnsi="Verdana"/>
                <w:color w:val="000000"/>
                <w:sz w:val="20"/>
                <w:szCs w:val="20"/>
                <w:lang w:val="cs-CZ"/>
              </w:rPr>
            </w:pPr>
            <w:r>
              <w:rPr>
                <w:rFonts w:ascii="Verdana" w:hAnsi="Verdana"/>
                <w:color w:val="000000"/>
                <w:sz w:val="20"/>
                <w:szCs w:val="20"/>
                <w:lang w:val="cs-CZ"/>
              </w:rPr>
              <w:t>Technické zhodnocení</w:t>
            </w:r>
          </w:p>
        </w:tc>
        <w:tc>
          <w:tcPr>
            <w:tcW w:w="2323" w:type="dxa"/>
            <w:tcBorders>
              <w:top w:val="double" w:sz="4" w:space="0" w:color="auto"/>
              <w:left w:val="nil"/>
              <w:bottom w:val="single" w:sz="4" w:space="0" w:color="auto"/>
              <w:right w:val="nil"/>
            </w:tcBorders>
            <w:shd w:val="clear" w:color="auto" w:fill="FFFFFF"/>
            <w:vAlign w:val="center"/>
          </w:tcPr>
          <w:p w:rsidR="005C3F63" w:rsidRDefault="006536E7">
            <w:pPr>
              <w:jc w:val="center"/>
              <w:rPr>
                <w:rFonts w:ascii="Verdana" w:hAnsi="Verdana"/>
                <w:color w:val="000000"/>
                <w:sz w:val="20"/>
                <w:szCs w:val="20"/>
                <w:lang w:val="cs-CZ"/>
              </w:rPr>
            </w:pPr>
            <w:r>
              <w:rPr>
                <w:rFonts w:ascii="Verdana" w:hAnsi="Verdana"/>
                <w:color w:val="000000"/>
                <w:sz w:val="20"/>
                <w:szCs w:val="20"/>
                <w:lang w:val="cs-CZ"/>
              </w:rPr>
              <w:t>143 280 Kč</w:t>
            </w:r>
          </w:p>
        </w:tc>
      </w:tr>
    </w:tbl>
    <w:p w:rsidR="005C3F63" w:rsidRDefault="006536E7">
      <w:pPr>
        <w:spacing w:after="240"/>
        <w:jc w:val="center"/>
        <w:rPr>
          <w:rFonts w:ascii="Verdana" w:hAnsi="Verdana"/>
          <w:sz w:val="20"/>
          <w:szCs w:val="20"/>
          <w:lang w:val="cs-CZ"/>
        </w:rPr>
      </w:pPr>
      <w:r>
        <w:rPr>
          <w:rFonts w:ascii="Verdana" w:hAnsi="Verdana"/>
          <w:sz w:val="18"/>
          <w:szCs w:val="18"/>
          <w:lang w:val="cs-CZ"/>
        </w:rPr>
        <w:t xml:space="preserve">Zdroj: </w:t>
      </w:r>
      <w:hyperlink r:id="rId206" w:history="1">
        <w:r>
          <w:rPr>
            <w:rStyle w:val="af9"/>
            <w:rFonts w:ascii="Verdana" w:hAnsi="Verdana"/>
            <w:sz w:val="18"/>
            <w:szCs w:val="18"/>
            <w:lang w:val="cs-CZ"/>
          </w:rPr>
          <w:t>www.</w:t>
        </w:r>
        <w:r>
          <w:rPr>
            <w:rStyle w:val="af9"/>
            <w:rFonts w:ascii="Verdana" w:hAnsi="Verdana"/>
            <w:sz w:val="20"/>
            <w:szCs w:val="20"/>
            <w:lang w:val="cs-CZ"/>
          </w:rPr>
          <w:t>nssoud.cz</w:t>
        </w:r>
      </w:hyperlink>
      <w:r>
        <w:rPr>
          <w:rFonts w:ascii="Verdana" w:hAnsi="Verdana"/>
          <w:sz w:val="20"/>
          <w:szCs w:val="20"/>
          <w:lang w:val="cs-CZ"/>
        </w:rPr>
        <w:t>, autorské úpravy</w:t>
      </w:r>
    </w:p>
    <w:p w:rsidR="005C3F63" w:rsidRDefault="006536E7">
      <w:pPr>
        <w:pStyle w:val="Kapitola"/>
        <w:rPr>
          <w:lang w:val="cs-CZ"/>
        </w:rPr>
      </w:pPr>
      <w:r>
        <w:rPr>
          <w:lang w:val="cs-CZ"/>
        </w:rPr>
        <w:t>Závěr</w:t>
      </w:r>
    </w:p>
    <w:p w:rsidR="005C3F63" w:rsidRDefault="006536E7">
      <w:pPr>
        <w:spacing w:after="120"/>
        <w:rPr>
          <w:rFonts w:ascii="Verdana" w:hAnsi="Verdana"/>
          <w:sz w:val="20"/>
          <w:szCs w:val="20"/>
          <w:lang w:val="cs-CZ"/>
        </w:rPr>
      </w:pPr>
      <w:r>
        <w:rPr>
          <w:rFonts w:ascii="Verdana" w:hAnsi="Verdana"/>
          <w:sz w:val="20"/>
          <w:szCs w:val="20"/>
          <w:lang w:val="cs-CZ"/>
        </w:rPr>
        <w:t>Při daňových kontrolách se správci daně na oblast oprav a technického zhodnocení často zaměřují a na základě špatného rozhodnutí účetní jednotky, které posoudily zásah do majetku jako opravu, doměřují daň z příjmů. Daňový subjekt ovšem hájí svá práva i přes to, že dle finančních orgánů neunese důkazní břemeno a brojí proti doměrkům na dani odvoláním. Tento proces může v nejzazším bodě dospět až k podání kasační stížnosti k Nejvyššímu správnímu soudu, který poté v rámci své činnosti o těchto věcech rozhoduje.</w:t>
      </w:r>
    </w:p>
    <w:p w:rsidR="005C3F63" w:rsidRDefault="006536E7">
      <w:pPr>
        <w:pStyle w:val="Kapitola"/>
        <w:rPr>
          <w:lang w:val="cs-CZ"/>
        </w:rPr>
      </w:pPr>
      <w:r>
        <w:rPr>
          <w:lang w:val="cs-CZ"/>
        </w:rPr>
        <w:lastRenderedPageBreak/>
        <w:t>Příslušnost ke grantové úloze</w:t>
      </w:r>
    </w:p>
    <w:p w:rsidR="005C3F63" w:rsidRDefault="006536E7">
      <w:pPr>
        <w:spacing w:after="120"/>
        <w:rPr>
          <w:rFonts w:ascii="Verdana" w:hAnsi="Verdana"/>
          <w:sz w:val="20"/>
          <w:szCs w:val="20"/>
          <w:lang w:val="cs-CZ"/>
        </w:rPr>
      </w:pPr>
      <w:r>
        <w:rPr>
          <w:rFonts w:ascii="Verdana" w:hAnsi="Verdana"/>
          <w:sz w:val="20"/>
          <w:szCs w:val="20"/>
          <w:lang w:val="cs-CZ"/>
        </w:rPr>
        <w:t>Článek byl zpracován jako jeden z výstupů Interní grantové agentury číslo F1/25/2019 na Fakultě finančního účetnictví VŠE v Praze s názvem "Tržní selhání a jejich vliv na kvalitu auditu v České republice".</w:t>
      </w:r>
    </w:p>
    <w:p w:rsidR="005C3F63" w:rsidRDefault="006536E7">
      <w:pPr>
        <w:pStyle w:val="Kapitola"/>
        <w:rPr>
          <w:lang w:val="cs-CZ"/>
        </w:rPr>
      </w:pPr>
      <w:r>
        <w:rPr>
          <w:lang w:val="cs-CZ"/>
        </w:rPr>
        <w:t>Literární zdroje a jiné odkazy</w:t>
      </w:r>
    </w:p>
    <w:p w:rsidR="005C3F63" w:rsidRDefault="006536E7">
      <w:pPr>
        <w:rPr>
          <w:rFonts w:ascii="Verdana" w:hAnsi="Verdana"/>
          <w:sz w:val="20"/>
          <w:szCs w:val="20"/>
          <w:lang w:val="cs-CZ"/>
        </w:rPr>
      </w:pPr>
      <w:r>
        <w:rPr>
          <w:rFonts w:ascii="Verdana" w:hAnsi="Verdana"/>
          <w:sz w:val="20"/>
          <w:szCs w:val="20"/>
          <w:lang w:val="cs-CZ"/>
        </w:rPr>
        <w:t xml:space="preserve">NSS (2013) (1). </w:t>
      </w:r>
      <w:r>
        <w:rPr>
          <w:rFonts w:ascii="Verdana" w:hAnsi="Verdana"/>
          <w:i/>
          <w:sz w:val="20"/>
          <w:szCs w:val="20"/>
          <w:lang w:val="cs-CZ"/>
        </w:rPr>
        <w:t>Rozsudek Nejvyššího správního soudu ze dne 24. 6. 2013, čj. 5 Afs 68/2012 – 36</w:t>
      </w:r>
      <w:r>
        <w:rPr>
          <w:rFonts w:ascii="Verdana" w:hAnsi="Verdana"/>
          <w:sz w:val="20"/>
          <w:szCs w:val="20"/>
          <w:lang w:val="cs-CZ"/>
        </w:rPr>
        <w:t xml:space="preserve">. Retrieved from: http://www.nssoud.cz </w:t>
      </w:r>
    </w:p>
    <w:p w:rsidR="005C3F63" w:rsidRDefault="006536E7">
      <w:pPr>
        <w:rPr>
          <w:rFonts w:ascii="Verdana" w:hAnsi="Verdana"/>
          <w:sz w:val="20"/>
          <w:szCs w:val="20"/>
          <w:lang w:val="cs-CZ"/>
        </w:rPr>
      </w:pPr>
      <w:r>
        <w:rPr>
          <w:rFonts w:ascii="Verdana" w:hAnsi="Verdana"/>
          <w:sz w:val="20"/>
          <w:szCs w:val="20"/>
          <w:lang w:val="cs-CZ"/>
        </w:rPr>
        <w:t xml:space="preserve">NSS (2013) (2). </w:t>
      </w:r>
      <w:r>
        <w:rPr>
          <w:rFonts w:ascii="Verdana" w:hAnsi="Verdana"/>
          <w:i/>
          <w:sz w:val="20"/>
          <w:szCs w:val="20"/>
          <w:lang w:val="cs-CZ"/>
        </w:rPr>
        <w:t>Rozsudek Nejvyššího správního soudu ze dne 21. 5. 2013, čj. 2 Afs 17/2012 – 26</w:t>
      </w:r>
      <w:r>
        <w:rPr>
          <w:rFonts w:ascii="Verdana" w:hAnsi="Verdana"/>
          <w:sz w:val="20"/>
          <w:szCs w:val="20"/>
          <w:lang w:val="cs-CZ"/>
        </w:rPr>
        <w:t>. Retrieved from: http://www.nssoud.cz</w:t>
      </w:r>
    </w:p>
    <w:p w:rsidR="005C3F63" w:rsidRDefault="006536E7">
      <w:pPr>
        <w:rPr>
          <w:rFonts w:ascii="Verdana" w:hAnsi="Verdana"/>
          <w:sz w:val="20"/>
          <w:szCs w:val="20"/>
          <w:lang w:val="cs-CZ"/>
        </w:rPr>
      </w:pPr>
      <w:r>
        <w:rPr>
          <w:rFonts w:ascii="Verdana" w:hAnsi="Verdana"/>
          <w:sz w:val="20"/>
          <w:szCs w:val="20"/>
          <w:lang w:val="cs-CZ"/>
        </w:rPr>
        <w:t>NSS (2016).</w:t>
      </w:r>
      <w:r>
        <w:rPr>
          <w:rFonts w:ascii="Verdana" w:hAnsi="Verdana"/>
          <w:i/>
          <w:sz w:val="20"/>
          <w:szCs w:val="20"/>
          <w:lang w:val="cs-CZ"/>
        </w:rPr>
        <w:t xml:space="preserve"> Rozsudek Nejvyššího správního soudu ze dne 24. 2. 2016, čj. 1 Afs 308/2015 – 51</w:t>
      </w:r>
      <w:r>
        <w:rPr>
          <w:rFonts w:ascii="Verdana" w:hAnsi="Verdana"/>
          <w:sz w:val="20"/>
          <w:szCs w:val="20"/>
          <w:lang w:val="cs-CZ"/>
        </w:rPr>
        <w:t>. Retrieved from: http://www.nssoud.cz</w:t>
      </w:r>
    </w:p>
    <w:p w:rsidR="005C3F63" w:rsidRDefault="006536E7">
      <w:pPr>
        <w:rPr>
          <w:rFonts w:ascii="Verdana" w:hAnsi="Verdana"/>
          <w:sz w:val="20"/>
          <w:szCs w:val="20"/>
          <w:lang w:val="cs-CZ"/>
        </w:rPr>
      </w:pPr>
      <w:r>
        <w:rPr>
          <w:rFonts w:ascii="Verdana" w:hAnsi="Verdana"/>
          <w:sz w:val="20"/>
          <w:szCs w:val="20"/>
          <w:lang w:val="cs-CZ"/>
        </w:rPr>
        <w:t xml:space="preserve">NSS (2018) (1). </w:t>
      </w:r>
      <w:r>
        <w:rPr>
          <w:rFonts w:ascii="Verdana" w:hAnsi="Verdana"/>
          <w:i/>
          <w:sz w:val="20"/>
          <w:szCs w:val="20"/>
          <w:lang w:val="cs-CZ"/>
        </w:rPr>
        <w:t>Rozsudek Nejvyššího správního soudu ze dne 22. 11. 2018, čj. 3 Afs 229/2017 – 29.</w:t>
      </w:r>
      <w:r>
        <w:rPr>
          <w:rFonts w:ascii="Verdana" w:hAnsi="Verdana"/>
          <w:sz w:val="20"/>
          <w:szCs w:val="20"/>
          <w:lang w:val="cs-CZ"/>
        </w:rPr>
        <w:t xml:space="preserve"> Retrieved from: http://www.nssoud.cz</w:t>
      </w:r>
    </w:p>
    <w:p w:rsidR="005C3F63" w:rsidRDefault="006536E7">
      <w:pPr>
        <w:rPr>
          <w:rFonts w:ascii="Verdana" w:hAnsi="Verdana"/>
          <w:sz w:val="20"/>
          <w:szCs w:val="20"/>
          <w:lang w:val="cs-CZ"/>
        </w:rPr>
      </w:pPr>
      <w:r>
        <w:rPr>
          <w:rFonts w:ascii="Verdana" w:hAnsi="Verdana"/>
          <w:sz w:val="20"/>
          <w:szCs w:val="20"/>
          <w:lang w:val="cs-CZ"/>
        </w:rPr>
        <w:t xml:space="preserve">NSS (2018) (2). </w:t>
      </w:r>
      <w:r>
        <w:rPr>
          <w:rFonts w:ascii="Verdana" w:hAnsi="Verdana"/>
          <w:i/>
          <w:sz w:val="20"/>
          <w:szCs w:val="20"/>
          <w:lang w:val="cs-CZ"/>
        </w:rPr>
        <w:t>Rozsudek Nejvyššího správního soudu ze dne 16.8.2018, čj. 10 Afs 104/2018 – 40.</w:t>
      </w:r>
      <w:r>
        <w:rPr>
          <w:rFonts w:ascii="Verdana" w:hAnsi="Verdana"/>
          <w:sz w:val="20"/>
          <w:szCs w:val="20"/>
          <w:lang w:val="cs-CZ"/>
        </w:rPr>
        <w:t xml:space="preserve"> Retrieved from: http://www.nssoud.cz</w:t>
      </w:r>
    </w:p>
    <w:p w:rsidR="005C3F63" w:rsidRDefault="006536E7">
      <w:pPr>
        <w:rPr>
          <w:rFonts w:ascii="Verdana" w:hAnsi="Verdana"/>
          <w:sz w:val="20"/>
          <w:szCs w:val="20"/>
          <w:lang w:val="cs-CZ"/>
        </w:rPr>
      </w:pPr>
      <w:r>
        <w:rPr>
          <w:rFonts w:ascii="Verdana" w:hAnsi="Verdana"/>
          <w:sz w:val="20"/>
          <w:szCs w:val="20"/>
          <w:lang w:val="cs-CZ"/>
        </w:rPr>
        <w:t xml:space="preserve">NSS (2019) (1). </w:t>
      </w:r>
      <w:r>
        <w:rPr>
          <w:rFonts w:ascii="Verdana" w:hAnsi="Verdana"/>
          <w:i/>
          <w:sz w:val="20"/>
          <w:szCs w:val="20"/>
          <w:lang w:val="cs-CZ"/>
        </w:rPr>
        <w:t>Rozsudek Nejvyššího správního soudu ze dne 21. 3. 2019, čj. 5 Afs 307/2017 – 33</w:t>
      </w:r>
      <w:r>
        <w:rPr>
          <w:rFonts w:ascii="Verdana" w:hAnsi="Verdana"/>
          <w:sz w:val="20"/>
          <w:szCs w:val="20"/>
          <w:lang w:val="cs-CZ"/>
        </w:rPr>
        <w:t>. Retrieved from: http://www.nssoud.cz</w:t>
      </w:r>
    </w:p>
    <w:p w:rsidR="005C3F63" w:rsidRDefault="006536E7">
      <w:pPr>
        <w:rPr>
          <w:rFonts w:ascii="Verdana" w:hAnsi="Verdana"/>
          <w:sz w:val="20"/>
          <w:szCs w:val="20"/>
          <w:lang w:val="cs-CZ"/>
        </w:rPr>
      </w:pPr>
      <w:r>
        <w:rPr>
          <w:rFonts w:ascii="Verdana" w:hAnsi="Verdana"/>
          <w:sz w:val="20"/>
          <w:szCs w:val="20"/>
          <w:lang w:val="cs-CZ"/>
        </w:rPr>
        <w:t xml:space="preserve">NSS (2019) (2). </w:t>
      </w:r>
      <w:r>
        <w:rPr>
          <w:rFonts w:ascii="Verdana" w:hAnsi="Verdana"/>
          <w:i/>
          <w:sz w:val="20"/>
          <w:szCs w:val="20"/>
          <w:lang w:val="cs-CZ"/>
        </w:rPr>
        <w:t>Rozsudek Nejvyššího správního soudu ze dne 21. 2. 2019, čj. 1 Afs 276/2018 – 47</w:t>
      </w:r>
      <w:r>
        <w:rPr>
          <w:rFonts w:ascii="Verdana" w:hAnsi="Verdana"/>
          <w:sz w:val="20"/>
          <w:szCs w:val="20"/>
          <w:lang w:val="cs-CZ"/>
        </w:rPr>
        <w:t>. Retrieved from: http://www.nssoud.cz</w:t>
      </w:r>
    </w:p>
    <w:p w:rsidR="005C3F63" w:rsidRDefault="006536E7">
      <w:pPr>
        <w:rPr>
          <w:rFonts w:ascii="Verdana" w:hAnsi="Verdana"/>
          <w:sz w:val="20"/>
          <w:szCs w:val="20"/>
          <w:lang w:val="cs-CZ"/>
        </w:rPr>
      </w:pPr>
      <w:r>
        <w:rPr>
          <w:rFonts w:ascii="Verdana" w:hAnsi="Verdana"/>
          <w:sz w:val="20"/>
          <w:szCs w:val="20"/>
          <w:lang w:val="cs-CZ"/>
        </w:rPr>
        <w:t>Pokyn GFŘ D-22 k jednotnému postupu při uplatňování některých ustanovení zákona č. 586/1992 Sb., o daních z příjmů, ve znění pozdějších předpisů</w:t>
      </w:r>
    </w:p>
    <w:p w:rsidR="005C3F63" w:rsidRDefault="006536E7">
      <w:pPr>
        <w:rPr>
          <w:rFonts w:ascii="Verdana" w:hAnsi="Verdana"/>
          <w:sz w:val="20"/>
          <w:szCs w:val="20"/>
          <w:lang w:val="cs-CZ"/>
        </w:rPr>
      </w:pPr>
      <w:r>
        <w:rPr>
          <w:rFonts w:ascii="Verdana" w:hAnsi="Verdana"/>
          <w:sz w:val="20"/>
          <w:szCs w:val="20"/>
          <w:lang w:val="cs-CZ"/>
        </w:rPr>
        <w:t>Stegbauerová, J. (2020). Technické zhodnocení a opravy dlouhodobého majetku - účetní a daňové aspekty. Diplomová práce. FFÚ VŠE v Praze. Vedoucí práce: prof. Ing. Libuše Müllerová, CSc.</w:t>
      </w:r>
    </w:p>
    <w:p w:rsidR="005C3F63" w:rsidRDefault="006536E7">
      <w:pPr>
        <w:rPr>
          <w:rFonts w:ascii="Verdana" w:hAnsi="Verdana"/>
          <w:sz w:val="20"/>
          <w:szCs w:val="20"/>
          <w:lang w:val="cs-CZ"/>
        </w:rPr>
      </w:pPr>
      <w:r>
        <w:rPr>
          <w:rFonts w:ascii="Verdana" w:hAnsi="Verdana"/>
          <w:sz w:val="20"/>
          <w:szCs w:val="20"/>
          <w:lang w:val="cs-CZ"/>
        </w:rPr>
        <w:t>Vyhláška č. 500/2002 Sb., kterou se provádějí některá ustanovení zákona č. 563/1991 sb., o účetnictví ve znění pozdějších předpisů pro účetní jednotky, které jsou podnikateli účtujícími v soustavě podvojného účetnictví, ve znění pozdějších předpisů</w:t>
      </w:r>
    </w:p>
    <w:p w:rsidR="005C3F63" w:rsidRDefault="006536E7">
      <w:pPr>
        <w:rPr>
          <w:rFonts w:ascii="Verdana" w:hAnsi="Verdana"/>
          <w:sz w:val="20"/>
          <w:szCs w:val="20"/>
          <w:lang w:val="cs-CZ"/>
        </w:rPr>
      </w:pPr>
      <w:r>
        <w:rPr>
          <w:rFonts w:ascii="Verdana" w:hAnsi="Verdana"/>
          <w:sz w:val="20"/>
          <w:szCs w:val="20"/>
          <w:lang w:val="cs-CZ"/>
        </w:rPr>
        <w:t>Zákon č. 563/1001 Sb., o účetnictví, ve znění pozdějších předpisů</w:t>
      </w:r>
    </w:p>
    <w:p w:rsidR="005C3F63" w:rsidRDefault="006536E7">
      <w:pPr>
        <w:rPr>
          <w:rFonts w:ascii="Verdana" w:hAnsi="Verdana"/>
          <w:sz w:val="20"/>
          <w:szCs w:val="20"/>
          <w:lang w:val="cs-CZ"/>
        </w:rPr>
      </w:pPr>
      <w:r>
        <w:rPr>
          <w:rFonts w:ascii="Verdana" w:hAnsi="Verdana"/>
          <w:sz w:val="20"/>
          <w:szCs w:val="20"/>
          <w:lang w:val="cs-CZ"/>
        </w:rPr>
        <w:t>Zákon č. 235/2004 Sb., o dani z přidané hodnoty, ve znění pozdějších předpisů</w:t>
      </w:r>
    </w:p>
    <w:p w:rsidR="005C3F63" w:rsidRDefault="006536E7">
      <w:pPr>
        <w:rPr>
          <w:rFonts w:ascii="Verdana" w:hAnsi="Verdana"/>
          <w:sz w:val="20"/>
          <w:szCs w:val="20"/>
          <w:lang w:val="cs-CZ"/>
        </w:rPr>
      </w:pPr>
      <w:r>
        <w:rPr>
          <w:rFonts w:ascii="Verdana" w:hAnsi="Verdana"/>
          <w:sz w:val="20"/>
          <w:szCs w:val="20"/>
          <w:lang w:val="cs-CZ"/>
        </w:rPr>
        <w:t>Zákon č. 586/1992 Sb., o daních z příjmů, ve znění pozdějších předpisů</w:t>
      </w:r>
    </w:p>
    <w:p w:rsidR="005C3F63" w:rsidRDefault="006536E7">
      <w:pPr>
        <w:rPr>
          <w:rFonts w:ascii="Verdana" w:hAnsi="Verdana"/>
          <w:sz w:val="20"/>
          <w:szCs w:val="20"/>
          <w:lang w:val="cs-CZ"/>
        </w:rPr>
      </w:pPr>
      <w:r>
        <w:rPr>
          <w:rFonts w:ascii="Verdana" w:hAnsi="Verdana"/>
          <w:sz w:val="20"/>
          <w:szCs w:val="20"/>
          <w:lang w:val="cs-CZ"/>
        </w:rPr>
        <w:t>Zákon č. 634/2004 Sb., o správních poplatcích, ve znění pozdějších předpisů</w:t>
      </w:r>
    </w:p>
    <w:p w:rsidR="005C3F63" w:rsidRDefault="006536E7">
      <w:pPr>
        <w:rPr>
          <w:rFonts w:ascii="Verdana" w:hAnsi="Verdana"/>
          <w:sz w:val="20"/>
          <w:szCs w:val="20"/>
          <w:lang w:val="cs-CZ"/>
        </w:rPr>
      </w:pPr>
      <w:r>
        <w:rPr>
          <w:rFonts w:ascii="Verdana" w:hAnsi="Verdana"/>
          <w:sz w:val="20"/>
          <w:szCs w:val="20"/>
          <w:lang w:val="cs-CZ"/>
        </w:rPr>
        <w:t>Zákon č. 280/2009 Sb., daňový řád, ve znění pozdějších předpisů</w:t>
      </w:r>
    </w:p>
    <w:p w:rsidR="005C3F63" w:rsidRDefault="005C3F63">
      <w:pPr>
        <w:pStyle w:val="aff"/>
        <w:rPr>
          <w:rFonts w:ascii="Verdana" w:hAnsi="Verdana"/>
          <w:sz w:val="20"/>
          <w:szCs w:val="20"/>
          <w:lang w:val="cs-CZ"/>
        </w:rPr>
      </w:pPr>
    </w:p>
    <w:p w:rsidR="005C3F63" w:rsidRDefault="005C3F63">
      <w:pPr>
        <w:pStyle w:val="aff"/>
        <w:rPr>
          <w:rFonts w:ascii="Verdana" w:hAnsi="Verdana"/>
          <w:sz w:val="20"/>
          <w:szCs w:val="20"/>
          <w:lang w:val="sk-SK"/>
        </w:rPr>
      </w:pPr>
    </w:p>
    <w:p w:rsidR="005C3F63" w:rsidRDefault="006536E7">
      <w:pPr>
        <w:jc w:val="left"/>
        <w:rPr>
          <w:rFonts w:ascii="Verdana" w:eastAsia="MS Mincho" w:hAnsi="Verdana"/>
          <w:kern w:val="2"/>
          <w:sz w:val="20"/>
          <w:szCs w:val="20"/>
          <w:shd w:val="clear" w:color="auto" w:fill="FFFFFF"/>
          <w:lang w:val="sk-SK" w:eastAsia="ja-JP" w:bidi="ar-SA"/>
        </w:rPr>
      </w:pPr>
      <w:r>
        <w:rPr>
          <w:rFonts w:ascii="Verdana" w:hAnsi="Verdana"/>
          <w:sz w:val="20"/>
          <w:szCs w:val="20"/>
          <w:lang w:val="sk-SK"/>
        </w:rPr>
        <w:br w:type="page"/>
      </w:r>
    </w:p>
    <w:p w:rsidR="005C3F63" w:rsidRDefault="006536E7">
      <w:pPr>
        <w:pStyle w:val="1"/>
      </w:pPr>
      <w:bookmarkStart w:id="692" w:name="_Toc47951538"/>
      <w:r>
        <w:lastRenderedPageBreak/>
        <w:t xml:space="preserve">Statutory </w:t>
      </w:r>
      <w:r>
        <w:rPr>
          <w:lang w:val="sk-SK"/>
        </w:rPr>
        <w:t>S</w:t>
      </w:r>
      <w:r>
        <w:t xml:space="preserve">ocial and </w:t>
      </w:r>
      <w:r>
        <w:rPr>
          <w:lang w:val="sk-SK"/>
        </w:rPr>
        <w:t>H</w:t>
      </w:r>
      <w:r>
        <w:t>ealth</w:t>
      </w:r>
      <w:r>
        <w:rPr>
          <w:lang w:val="sk-SK"/>
        </w:rPr>
        <w:t xml:space="preserve"> I</w:t>
      </w:r>
      <w:r>
        <w:t xml:space="preserve">nsurance of </w:t>
      </w:r>
      <w:r>
        <w:rPr>
          <w:lang w:val="sk-SK"/>
        </w:rPr>
        <w:t>E</w:t>
      </w:r>
      <w:r>
        <w:t xml:space="preserve">ntrepreneurs and </w:t>
      </w:r>
      <w:r>
        <w:rPr>
          <w:lang w:val="sk-SK"/>
        </w:rPr>
        <w:t>E</w:t>
      </w:r>
      <w:r>
        <w:t>mployees in the Slovak Republic in 2020</w:t>
      </w:r>
      <w:bookmarkEnd w:id="692"/>
    </w:p>
    <w:p w:rsidR="005C3F63" w:rsidRDefault="006536E7">
      <w:pPr>
        <w:pStyle w:val="Autor"/>
      </w:pPr>
      <w:bookmarkStart w:id="693" w:name="_Toc47441633"/>
      <w:bookmarkStart w:id="694" w:name="_Toc47435458"/>
      <w:bookmarkStart w:id="695" w:name="_Toc47448327"/>
      <w:bookmarkStart w:id="696" w:name="_Toc47448848"/>
      <w:bookmarkStart w:id="697" w:name="_Toc47439796"/>
      <w:bookmarkStart w:id="698" w:name="_Toc47443675"/>
      <w:bookmarkStart w:id="699" w:name="_Toc47446372"/>
      <w:bookmarkStart w:id="700" w:name="_Toc47444606"/>
      <w:bookmarkStart w:id="701" w:name="_Toc47438986"/>
      <w:bookmarkStart w:id="702" w:name="_Toc47449323"/>
      <w:bookmarkStart w:id="703" w:name="_Toc47440114"/>
      <w:bookmarkStart w:id="704" w:name="_Toc47444290"/>
      <w:bookmarkStart w:id="705" w:name="_Toc47948804"/>
      <w:bookmarkStart w:id="706" w:name="_Toc47949316"/>
      <w:bookmarkStart w:id="707" w:name="_Toc47444447"/>
      <w:bookmarkStart w:id="708" w:name="_Toc47443442"/>
      <w:bookmarkStart w:id="709" w:name="_Toc47444139"/>
      <w:bookmarkStart w:id="710" w:name="_Toc47440886"/>
      <w:bookmarkStart w:id="711" w:name="_Toc47441213"/>
      <w:bookmarkStart w:id="712" w:name="_Toc47433550"/>
      <w:bookmarkStart w:id="713" w:name="_Toc47441700"/>
      <w:bookmarkStart w:id="714" w:name="_Toc47443574"/>
      <w:bookmarkStart w:id="715" w:name="_Toc47441513"/>
      <w:bookmarkStart w:id="716" w:name="_Toc47442693"/>
      <w:bookmarkStart w:id="717" w:name="_Toc47446112"/>
      <w:bookmarkStart w:id="718" w:name="_Toc47446714"/>
      <w:bookmarkStart w:id="719" w:name="_Toc47445737"/>
      <w:bookmarkStart w:id="720" w:name="_Toc47448069"/>
      <w:bookmarkStart w:id="721" w:name="_Toc47951474"/>
      <w:bookmarkStart w:id="722" w:name="_Toc47447933"/>
      <w:bookmarkStart w:id="723" w:name="_Toc47951381"/>
      <w:bookmarkStart w:id="724" w:name="_Toc47448123"/>
      <w:bookmarkStart w:id="725" w:name="_Toc47451164"/>
      <w:bookmarkStart w:id="726" w:name="_Toc47448205"/>
      <w:bookmarkStart w:id="727" w:name="_Toc47448567"/>
      <w:bookmarkStart w:id="728" w:name="_Toc47448622"/>
      <w:bookmarkStart w:id="729" w:name="_Toc47949002"/>
      <w:bookmarkStart w:id="730" w:name="_Toc47445960"/>
      <w:bookmarkStart w:id="731" w:name="_Toc47447987"/>
      <w:bookmarkStart w:id="732" w:name="_Toc47447168"/>
      <w:bookmarkStart w:id="733" w:name="_Toc47951539"/>
      <w:bookmarkStart w:id="734" w:name="_Toc47948743"/>
      <w:r>
        <w:rPr>
          <w:rStyle w:val="AutorChar"/>
          <w:b/>
        </w:rPr>
        <w:t>Renáta Pakšiová</w:t>
      </w:r>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r>
        <w:br/>
      </w:r>
    </w:p>
    <w:p w:rsidR="005C3F63" w:rsidRDefault="006536E7">
      <w:pPr>
        <w:jc w:val="center"/>
        <w:rPr>
          <w:rFonts w:ascii="Verdana" w:hAnsi="Verdana"/>
          <w:sz w:val="18"/>
          <w:szCs w:val="18"/>
        </w:rPr>
      </w:pPr>
      <w:r>
        <w:rPr>
          <w:rFonts w:ascii="Verdana" w:hAnsi="Verdana"/>
          <w:sz w:val="18"/>
          <w:szCs w:val="18"/>
          <w:vertAlign w:val="superscript"/>
        </w:rPr>
        <w:t xml:space="preserve"> </w:t>
      </w:r>
      <w:r>
        <w:rPr>
          <w:rFonts w:ascii="Verdana" w:hAnsi="Verdana"/>
          <w:sz w:val="18"/>
          <w:szCs w:val="18"/>
        </w:rPr>
        <w:t>University of Economics</w:t>
      </w:r>
    </w:p>
    <w:p w:rsidR="005C3F63" w:rsidRDefault="006536E7">
      <w:pPr>
        <w:jc w:val="center"/>
        <w:rPr>
          <w:rFonts w:ascii="Verdana" w:hAnsi="Verdana"/>
          <w:sz w:val="18"/>
          <w:szCs w:val="18"/>
        </w:rPr>
      </w:pPr>
      <w:r>
        <w:rPr>
          <w:rFonts w:ascii="Verdana" w:hAnsi="Verdana"/>
          <w:sz w:val="18"/>
          <w:szCs w:val="18"/>
        </w:rPr>
        <w:t>Faculty of Economic Informatics, Department of Accounting and Auditing</w:t>
      </w:r>
    </w:p>
    <w:p w:rsidR="005C3F63" w:rsidRDefault="006536E7">
      <w:pPr>
        <w:jc w:val="center"/>
        <w:rPr>
          <w:rFonts w:ascii="Verdana" w:hAnsi="Verdana"/>
          <w:sz w:val="18"/>
          <w:szCs w:val="18"/>
        </w:rPr>
      </w:pPr>
      <w:r>
        <w:rPr>
          <w:rFonts w:ascii="Verdana" w:hAnsi="Verdana"/>
          <w:sz w:val="18"/>
          <w:szCs w:val="18"/>
        </w:rPr>
        <w:t>Dolnozemská cesta 1, 852 35 Bratislava, Slovakia</w:t>
      </w:r>
    </w:p>
    <w:p w:rsidR="005C3F63" w:rsidRDefault="006536E7">
      <w:pPr>
        <w:jc w:val="center"/>
        <w:rPr>
          <w:rFonts w:ascii="Verdana" w:hAnsi="Verdana"/>
          <w:sz w:val="18"/>
          <w:szCs w:val="18"/>
          <w:lang w:val="en-GB"/>
        </w:rPr>
      </w:pPr>
      <w:r>
        <w:rPr>
          <w:rFonts w:ascii="Verdana" w:hAnsi="Verdana"/>
          <w:sz w:val="18"/>
          <w:szCs w:val="18"/>
          <w:lang w:val="en-GB"/>
        </w:rPr>
        <w:t>E-mail: renata.paksiova@euba.sk</w:t>
      </w:r>
    </w:p>
    <w:p w:rsidR="005C3F63" w:rsidRDefault="005C3F63">
      <w:pPr>
        <w:jc w:val="center"/>
        <w:rPr>
          <w:rFonts w:ascii="Verdana" w:hAnsi="Verdana"/>
          <w:sz w:val="18"/>
          <w:szCs w:val="18"/>
          <w:lang w:val="en-GB"/>
        </w:rPr>
      </w:pPr>
    </w:p>
    <w:p w:rsidR="005C3F63" w:rsidRDefault="006536E7">
      <w:pPr>
        <w:spacing w:after="120"/>
        <w:rPr>
          <w:rFonts w:ascii="Verdana" w:hAnsi="Verdana"/>
          <w:i/>
          <w:sz w:val="20"/>
          <w:szCs w:val="20"/>
          <w:lang w:val="sk-SK"/>
        </w:rPr>
      </w:pPr>
      <w:r>
        <w:rPr>
          <w:rFonts w:ascii="Verdana" w:hAnsi="Verdana"/>
          <w:b/>
          <w:i/>
          <w:sz w:val="20"/>
          <w:szCs w:val="20"/>
          <w:lang w:val="sk-SK"/>
        </w:rPr>
        <w:t xml:space="preserve">Abstract: </w:t>
      </w:r>
      <w:r>
        <w:rPr>
          <w:rFonts w:ascii="Verdana" w:hAnsi="Verdana"/>
          <w:i/>
          <w:sz w:val="20"/>
          <w:szCs w:val="20"/>
          <w:lang w:val="sk-SK"/>
        </w:rPr>
        <w:t>In some professions, individuals are often faced with the question of how to carry out their profession as effectively as possible. Most often, they decide on the form of its implementation in relation to the incurred costs / expenses related to the achievement of revenues / revenues. A major role, especially in professions where the associated costs of carrying them out are not significant and they have a choice between dependent activity and entrepreneurship, is crucial to the extent to which they are obliged to pay statutory social and health insurance. In this article, we will compare the burden of a natural person, entrepreneur and employee with statutory social and health insurance in the Slovak Republic.</w:t>
      </w:r>
    </w:p>
    <w:p w:rsidR="005C3F63" w:rsidRDefault="006536E7">
      <w:pPr>
        <w:spacing w:after="120"/>
        <w:rPr>
          <w:rFonts w:ascii="Verdana" w:hAnsi="Verdana"/>
          <w:i/>
          <w:sz w:val="20"/>
          <w:szCs w:val="20"/>
          <w:lang w:val="sk-SK"/>
        </w:rPr>
      </w:pPr>
      <w:r>
        <w:rPr>
          <w:rFonts w:ascii="Verdana" w:hAnsi="Verdana"/>
          <w:b/>
          <w:i/>
          <w:sz w:val="20"/>
          <w:szCs w:val="20"/>
          <w:lang w:val="sk-SK"/>
        </w:rPr>
        <w:t>Keywords:</w:t>
      </w:r>
      <w:r>
        <w:rPr>
          <w:rFonts w:ascii="Verdana" w:hAnsi="Verdana"/>
          <w:i/>
          <w:sz w:val="20"/>
          <w:szCs w:val="20"/>
          <w:lang w:val="sk-SK"/>
        </w:rPr>
        <w:t xml:space="preserve"> statutory social insurance, statutory helth insurance, entrepreneurs, employees</w:t>
      </w:r>
    </w:p>
    <w:p w:rsidR="005C3F63" w:rsidRDefault="006536E7">
      <w:pPr>
        <w:pStyle w:val="04-Anotacijostekstas"/>
        <w:spacing w:before="0" w:after="120"/>
        <w:ind w:left="0" w:right="-284"/>
        <w:jc w:val="left"/>
        <w:rPr>
          <w:rFonts w:ascii="Verdana" w:hAnsi="Verdana"/>
          <w:i/>
          <w:lang w:val="sk-SK"/>
        </w:rPr>
      </w:pPr>
      <w:r>
        <w:rPr>
          <w:rFonts w:ascii="Verdana" w:hAnsi="Verdana"/>
          <w:i/>
          <w:lang w:val="sk-SK"/>
        </w:rPr>
        <w:t xml:space="preserve">JEL codes: M10, M20, M50, M48  </w:t>
      </w:r>
    </w:p>
    <w:p w:rsidR="005C3F63" w:rsidRDefault="006536E7">
      <w:pPr>
        <w:pStyle w:val="1"/>
        <w:jc w:val="left"/>
        <w:rPr>
          <w:sz w:val="22"/>
          <w:szCs w:val="22"/>
          <w:lang w:val="sk-SK"/>
        </w:rPr>
      </w:pPr>
      <w:r>
        <w:rPr>
          <w:rStyle w:val="KapitolaChar"/>
          <w:b/>
          <w:lang w:val="sk-SK"/>
        </w:rPr>
        <w:t>1 Úvod / Introduction</w:t>
      </w:r>
    </w:p>
    <w:p w:rsidR="005C3F63" w:rsidRDefault="006536E7">
      <w:pPr>
        <w:spacing w:after="120"/>
        <w:rPr>
          <w:rFonts w:ascii="Verdana" w:hAnsi="Verdana"/>
          <w:sz w:val="20"/>
          <w:szCs w:val="20"/>
          <w:lang w:val="sk-SK"/>
        </w:rPr>
      </w:pPr>
      <w:r>
        <w:rPr>
          <w:rFonts w:ascii="Verdana" w:hAnsi="Verdana"/>
          <w:sz w:val="20"/>
          <w:szCs w:val="20"/>
          <w:lang w:val="sk-SK"/>
        </w:rPr>
        <w:t>Zákonné (povinné) sociálne poistenie a verejné zdravotné poistenie platené fyzickými osobami majú charakter povinného poistenia a predstavujú príjmovú stránku štátneho rozpočtu v národohospodárskom význame (Stanek, 2001) a sú každoročne k 1. januáru upravované minimálne v rozsahu vymeriavacích základov pre výpočet poistného a preddavkov na poistné. Už dlhšiu dobu prebieha odborná aj politická diskusia o možnosti zlúčenia a sprehľadnenia daňového systému a odvodového systému a jeho nastaveniu nielen v SR, ale ja v EU (Henke, Klaus-Dirk, 2007; Mazurek, 2014; Grossmann and  Strulik, 2019), plnenia a náhrad zo sociálneho poistenia (Kreider, 1999), ako aj zamestnania a minimálnej mzdy (Pavelka et al, 2014).</w:t>
      </w:r>
    </w:p>
    <w:p w:rsidR="005C3F63" w:rsidRDefault="006536E7">
      <w:pPr>
        <w:spacing w:after="120"/>
        <w:rPr>
          <w:rFonts w:ascii="Verdana" w:hAnsi="Verdana"/>
          <w:sz w:val="20"/>
          <w:szCs w:val="20"/>
          <w:lang w:val="sk-SK"/>
        </w:rPr>
      </w:pPr>
      <w:r>
        <w:rPr>
          <w:rFonts w:ascii="Verdana" w:hAnsi="Verdana"/>
          <w:sz w:val="20"/>
          <w:szCs w:val="20"/>
          <w:lang w:val="sk-SK"/>
        </w:rPr>
        <w:t xml:space="preserve">So zvyšovaním minimálnych a maximálnych vymeriavacích základov sa každoročne zvyšuje aj výška minimálnych a maximálnych súm povinných odvodov do Sociálnej a príslušnej zdravotnej poisťovne (v SR pôsobia 3 subjekty poskytujúce verejné zdravotné poistenie). Oba druhy zákonného poistenia sa týkajú tak fyzických osôb podnikateľov, ako aj zamestnancov, rozdiel je však v ich výške a spôsobe odvádzania príspevkov do poisťovní. V niektorých povolaniach sú fyzické osoby často postavené pred otázku, akým spôsobom svoju profesiu vykonávať čo najefektívnejšie. Najčastejšie sa rozhodujú práve o forme jej uskutočňovania vo vzťahu k vznikajúcim nákladom/výdavkom súvisiacich s dosahovaním výnosov/príjmov. Veľkú úlohu najmä v profesiách, kde nie sú významné pridružené náklady na ich uskutočňovanie a majú možnosť voľby medzi závislou činnosťou a podnikaním, je rozhodujúce práve to, v akej výške sú povinní platiť zákonné sociálne a zdravotné poistenie. </w:t>
      </w:r>
    </w:p>
    <w:p w:rsidR="005C3F63" w:rsidRDefault="006536E7">
      <w:pPr>
        <w:numPr>
          <w:ilvl w:val="1"/>
          <w:numId w:val="25"/>
        </w:numPr>
        <w:spacing w:after="120"/>
        <w:rPr>
          <w:rFonts w:ascii="Verdana" w:hAnsi="Verdana"/>
          <w:b/>
          <w:i/>
          <w:sz w:val="20"/>
          <w:szCs w:val="20"/>
          <w:lang w:val="sk-SK"/>
        </w:rPr>
      </w:pPr>
      <w:r>
        <w:rPr>
          <w:rFonts w:ascii="Verdana" w:hAnsi="Verdana"/>
          <w:b/>
          <w:i/>
          <w:sz w:val="20"/>
          <w:szCs w:val="20"/>
          <w:lang w:val="sk-SK"/>
        </w:rPr>
        <w:t>Základné pojmy a právne úpravy</w:t>
      </w:r>
    </w:p>
    <w:p w:rsidR="005C3F63" w:rsidRDefault="006536E7">
      <w:pPr>
        <w:spacing w:after="120"/>
        <w:rPr>
          <w:rFonts w:ascii="Verdana" w:hAnsi="Verdana"/>
          <w:sz w:val="20"/>
          <w:szCs w:val="20"/>
          <w:lang w:val="sk-SK"/>
        </w:rPr>
      </w:pPr>
      <w:r>
        <w:rPr>
          <w:rFonts w:ascii="Verdana" w:hAnsi="Verdana"/>
          <w:sz w:val="20"/>
          <w:szCs w:val="20"/>
          <w:lang w:val="sk-SK"/>
        </w:rPr>
        <w:t xml:space="preserve">V tomto príspevku pracujeme so základnými pojmami a právnymi úpravami, ktoré je potrebné v tejto časti špecifikovať. </w:t>
      </w:r>
    </w:p>
    <w:p w:rsidR="005C3F63" w:rsidRDefault="006536E7">
      <w:pPr>
        <w:spacing w:after="120"/>
        <w:rPr>
          <w:rFonts w:ascii="Verdana" w:hAnsi="Verdana"/>
          <w:sz w:val="20"/>
          <w:szCs w:val="20"/>
          <w:lang w:val="sk-SK"/>
        </w:rPr>
      </w:pPr>
      <w:r>
        <w:rPr>
          <w:rFonts w:ascii="Verdana" w:hAnsi="Verdana"/>
          <w:sz w:val="20"/>
          <w:szCs w:val="20"/>
          <w:lang w:val="sk-SK"/>
        </w:rPr>
        <w:t>Samostatne zárobkovo činná osoba (SZČO) je fyzická osoba, ktorá dovŕšila 18 rokov veku a v kalendárnom roku rozhodujúcom na vznik alebo na trvanie povinného nemocenského a povinného dôchodkového poistenia dosahovala príjmy z podnikania a z inej samostatnej zárobkovej činnosti podľa § 6 ods. 1 a 2 zákona č. 595/2003 Z. z. o dani z príjmov (2020), okrem fyzickej osoby, ktorá má podľa zmluvy o výkone osobnej asistencie vykonávať osobnú asistenciu fyzickej osobe s ťažkým zdravotným postihnutím.</w:t>
      </w:r>
    </w:p>
    <w:p w:rsidR="005C3F63" w:rsidRDefault="006536E7">
      <w:pPr>
        <w:spacing w:after="120"/>
        <w:rPr>
          <w:rFonts w:ascii="Verdana" w:hAnsi="Verdana"/>
          <w:sz w:val="20"/>
          <w:szCs w:val="20"/>
          <w:lang w:val="sk-SK"/>
        </w:rPr>
      </w:pPr>
      <w:r>
        <w:rPr>
          <w:rFonts w:ascii="Verdana" w:hAnsi="Verdana"/>
          <w:sz w:val="20"/>
          <w:szCs w:val="20"/>
          <w:lang w:val="sk-SK"/>
        </w:rPr>
        <w:lastRenderedPageBreak/>
        <w:t>Vznik, zánik, prerušenie, vylúčenie povinnosti byť poistený, charakteristika poistených osôb, kategórie poistencov, povinnosti poistencov a vznik povinného poistenia, vymeriavací základ, spôsob výpočtu, platenia a odvádzania jednotlivých druhov poistenia v súvislosti so sociálnym poistením do Sociálnej poisťovne ako aj nároky poistencov na dávky plynúce z jednotlivých druhov poistení upravuje zákon č. 461/2003 Z. z. o sociálnom poistení v z. n. p.(2020). Vznik, zánik, prerušenie, vylúčenie povinnosti byť poistený, charakteristika poistených osôb, kategórie poistencov, povinnosti poistencov, vymeriavací základ, spôsob výpočtu, platenia a odvádzania preddavkov na verejné zdravotné poistenie, ako aj vyčíslenie doplatku poistenia v ročnom zúčtovaní verejného zdravotného poistenia, spôsob použitia vybraného poistenia a ďalšie súvisiace otázky v súvislosti s verejným zdravotným poistením vo vzťahu k Verejným zdravotným poisťovniam upravuje zákon č. 580/2004 Z. z. o zdravotnom poistení a o zmene a doplnení zákona č. 95/2002 Z. z. o poisťovníctve a o zmene a doplnení niektorých zákonov v z. n. p. (2020). Povinné verejné zdravotné poistenie je poistenie, na základe ktorého sa poskytuje poistencom verejného zdravotného poistenia, za podmienok ustanovených zákonom o zdravotnom poistení, zdravotná starostlivosť a služby súvisiace s poskytovaním zdravotnej starostlivosti v rozsahu ustanovenom zákonom č. 576/2004 Z. z. o zdravotnej starostlivosti v z. n. p., službách súvisiacich s poskytovaním zdravotnej starostlivosti a o zmene a doplnení niektorých zákonov v z. n. p. (2020) , zákonom č. 577/2004 Z. z. v rozsahu zdravotnej starostlivosti uhrádzanej na základe verejného zdravotného poistenia a o úhradách za služby súvisiace s poskytovaním zdravotnej starostlivosti v z. n. p. (2020) a zákonom č. 363/2011 Z. z. o rozsahu a podmienkach úhrady liekov, zdravotníckych pomôcok a dietetických potravín na základe verejného zdravotného poistenia a o zmene a doplnení niektorých zákonov v z. n. p (2020).</w:t>
      </w:r>
    </w:p>
    <w:p w:rsidR="005C3F63" w:rsidRDefault="006536E7">
      <w:pPr>
        <w:spacing w:after="120"/>
        <w:rPr>
          <w:rFonts w:ascii="Verdana" w:hAnsi="Verdana"/>
          <w:sz w:val="20"/>
          <w:szCs w:val="20"/>
          <w:lang w:val="sk-SK"/>
        </w:rPr>
      </w:pPr>
      <w:r>
        <w:rPr>
          <w:rFonts w:ascii="Verdana" w:hAnsi="Verdana"/>
          <w:sz w:val="20"/>
          <w:szCs w:val="20"/>
          <w:lang w:val="sk-SK"/>
        </w:rPr>
        <w:t>Zákonník práce (2020) „Zákonník práce“ upravuje individuálne pracovnoprávne vzťahy v súvislosti s výkonom závislej práce fyzických osôb právnickými osobami alebo fyzickými osobami a taktiež kolektívne pracovnoprávne vzťahy. Podľa Zákonníka práce (§ 11 Zákonníka práce, 2020) je zamestnanec fyzická osoba, ktorá v pracovnoprávnych vzťahoch, a ak to ustanovuje osobitný predpis, aj v obdobných pracovných vzťahoch vykonáva pre zamestnávateľa závislú prácu. Zamestnávateľ určuje podmienky a spôsob uplatnenia tohto práva, ak Zákonník práce, osobitný predpis alebo medzinárodná zmluva, ktorou je Slovenská republika viazaná, neustanovuje inak.</w:t>
      </w:r>
    </w:p>
    <w:p w:rsidR="005C3F63" w:rsidRDefault="005C3F63">
      <w:pPr>
        <w:spacing w:after="120"/>
        <w:rPr>
          <w:rFonts w:ascii="Verdana" w:hAnsi="Verdana"/>
          <w:sz w:val="20"/>
          <w:szCs w:val="20"/>
          <w:lang w:val="sk-SK"/>
        </w:rPr>
      </w:pPr>
    </w:p>
    <w:p w:rsidR="005C3F63" w:rsidRDefault="006536E7">
      <w:pPr>
        <w:spacing w:after="120"/>
        <w:rPr>
          <w:rStyle w:val="KapitolaChar"/>
          <w:lang w:val="sk-SK"/>
        </w:rPr>
      </w:pPr>
      <w:r>
        <w:rPr>
          <w:rStyle w:val="KapitolaChar"/>
          <w:lang w:val="sk-SK"/>
        </w:rPr>
        <w:t>2 Metodológia a zdrojové údaje / Methodology and Data</w:t>
      </w:r>
    </w:p>
    <w:p w:rsidR="005C3F63" w:rsidRDefault="006536E7">
      <w:pPr>
        <w:spacing w:after="120"/>
        <w:rPr>
          <w:rFonts w:ascii="Verdana" w:hAnsi="Verdana"/>
          <w:sz w:val="20"/>
          <w:szCs w:val="20"/>
          <w:lang w:val="sk-SK"/>
        </w:rPr>
      </w:pPr>
      <w:r>
        <w:rPr>
          <w:rFonts w:ascii="Verdana" w:hAnsi="Verdana"/>
          <w:sz w:val="20"/>
          <w:szCs w:val="20"/>
          <w:lang w:val="sk-SK"/>
        </w:rPr>
        <w:t>Cieľom príspevku je východisková komparácia zaťaženia fyzickej osoby podnikateľa a zamestnanca v SR zákonným sociálnym a verejným zdravotným poistením v aktuálnych podmienkach platných v roku 2020 k dátumu 15.7.2020. V rámci analýzy vychádzame z aktuálnej právnej úpravy zákonného sociálneho poistenia a verejného zdravotného poistenia, kde zohľadňujeme aj aktuálne platné súvisiace právne predpisy týkajúce sa pracovnoprávnych vzťahov do takej miery, aby sme vedeli vyhodnotiť výhody a nevýhody dvoch foriem vykonávania činnosti (ako zamestnanec alebo ako SZČO) z pohľadu jedného variantného faktora – vznikajúcich nákladov/výdavkov na zákonné sociálne poistenie a verejné zdravotné poistenie. Pri analýze nie sú zohľadňované ďalšie pridružené faktory, ktoré rozhodnutie o forme vykonávania činnosti pre dosahovanie príjmov ovplyvňujú, ako napr. daňové zaťaženie, ani iné obmedzujúce faktory vyplývajúce z konkrétneho druhu vykonávanej činnosti (hygienické predpisy, predpisy bezpečnosti práce, komerčné poistenie pri výkone povolania atď.).</w:t>
      </w:r>
    </w:p>
    <w:p w:rsidR="005C3F63" w:rsidRDefault="005C3F63">
      <w:pPr>
        <w:spacing w:after="120"/>
        <w:rPr>
          <w:rFonts w:ascii="Verdana" w:hAnsi="Verdana" w:cs="Arial"/>
          <w:b/>
          <w:bCs/>
          <w:kern w:val="32"/>
          <w:sz w:val="22"/>
          <w:szCs w:val="32"/>
          <w:lang w:val="sk-SK" w:eastAsia="cs-CZ"/>
        </w:rPr>
      </w:pPr>
    </w:p>
    <w:p w:rsidR="005C3F63" w:rsidRDefault="006536E7">
      <w:pPr>
        <w:spacing w:after="120"/>
        <w:rPr>
          <w:rFonts w:ascii="Verdana" w:hAnsi="Verdana" w:cs="Arial"/>
          <w:b/>
          <w:bCs/>
          <w:kern w:val="32"/>
          <w:sz w:val="22"/>
          <w:szCs w:val="32"/>
          <w:lang w:val="sk-SK" w:eastAsia="cs-CZ"/>
        </w:rPr>
      </w:pPr>
      <w:r>
        <w:rPr>
          <w:rFonts w:ascii="Verdana" w:hAnsi="Verdana" w:cs="Arial"/>
          <w:b/>
          <w:bCs/>
          <w:kern w:val="32"/>
          <w:sz w:val="22"/>
          <w:szCs w:val="32"/>
          <w:lang w:val="sk-SK" w:eastAsia="cs-CZ"/>
        </w:rPr>
        <w:t>3 Výsledky a diskusia / Results nad Discussion</w:t>
      </w:r>
    </w:p>
    <w:p w:rsidR="005C3F63" w:rsidRDefault="006536E7">
      <w:pPr>
        <w:spacing w:after="120"/>
        <w:rPr>
          <w:rFonts w:ascii="Verdana" w:hAnsi="Verdana"/>
          <w:sz w:val="20"/>
          <w:szCs w:val="20"/>
          <w:lang w:val="sk-SK"/>
        </w:rPr>
      </w:pPr>
      <w:r>
        <w:rPr>
          <w:rFonts w:ascii="Verdana" w:hAnsi="Verdana"/>
          <w:sz w:val="20"/>
          <w:szCs w:val="20"/>
          <w:lang w:val="sk-SK"/>
        </w:rPr>
        <w:t xml:space="preserve">Najskôr si analyzujeme zákonné sociálne poistenie podnikateľ SZČO a jeho povinnosti vo vzťahu k vykonávaniu činnosti formou podnikania, neskôr pridáme zdravotné poistenie a nasledovať v poslednej podkapitole bude zákonné sociálne aj zdravotné poistenie analyzované u zamestnanca. </w:t>
      </w:r>
    </w:p>
    <w:p w:rsidR="005C3F63" w:rsidRDefault="006536E7">
      <w:pPr>
        <w:spacing w:after="120"/>
        <w:rPr>
          <w:rFonts w:ascii="Verdana" w:hAnsi="Verdana"/>
          <w:b/>
          <w:i/>
          <w:sz w:val="20"/>
          <w:szCs w:val="20"/>
          <w:lang w:val="sk-SK"/>
        </w:rPr>
      </w:pPr>
      <w:r>
        <w:rPr>
          <w:rFonts w:ascii="Verdana" w:hAnsi="Verdana"/>
          <w:b/>
          <w:i/>
          <w:sz w:val="20"/>
          <w:szCs w:val="20"/>
          <w:lang w:val="sk-SK"/>
        </w:rPr>
        <w:lastRenderedPageBreak/>
        <w:t xml:space="preserve">3.1 Zákonné sociálne poistenie SZČO </w:t>
      </w:r>
    </w:p>
    <w:p w:rsidR="005C3F63" w:rsidRDefault="006536E7">
      <w:pPr>
        <w:spacing w:after="120"/>
        <w:rPr>
          <w:rFonts w:ascii="Verdana" w:hAnsi="Verdana"/>
          <w:sz w:val="20"/>
          <w:szCs w:val="20"/>
          <w:lang w:val="sk-SK"/>
        </w:rPr>
      </w:pPr>
      <w:r>
        <w:rPr>
          <w:rFonts w:ascii="Verdana" w:hAnsi="Verdana"/>
          <w:sz w:val="20"/>
          <w:szCs w:val="20"/>
          <w:lang w:val="sk-SK"/>
        </w:rPr>
        <w:t xml:space="preserve">Povinne nemocensky a povinne dôchodkovo poistená SZČO platí poistné </w:t>
      </w:r>
    </w:p>
    <w:p w:rsidR="005C3F63" w:rsidRDefault="006536E7">
      <w:pPr>
        <w:spacing w:after="120"/>
        <w:rPr>
          <w:rFonts w:ascii="Verdana" w:hAnsi="Verdana"/>
          <w:sz w:val="20"/>
          <w:szCs w:val="20"/>
          <w:lang w:val="sk-SK"/>
        </w:rPr>
      </w:pPr>
      <w:r>
        <w:rPr>
          <w:rFonts w:ascii="Verdana" w:hAnsi="Verdana"/>
          <w:sz w:val="20"/>
          <w:szCs w:val="20"/>
          <w:lang w:val="sk-SK"/>
        </w:rPr>
        <w:t>- na nemocenské poistenie 4,4 % z vymeriavacieho základu,</w:t>
      </w:r>
    </w:p>
    <w:p w:rsidR="005C3F63" w:rsidRDefault="006536E7">
      <w:pPr>
        <w:spacing w:after="120"/>
        <w:rPr>
          <w:rFonts w:ascii="Verdana" w:hAnsi="Verdana"/>
          <w:sz w:val="20"/>
          <w:szCs w:val="20"/>
          <w:lang w:val="sk-SK"/>
        </w:rPr>
      </w:pPr>
      <w:r>
        <w:rPr>
          <w:rFonts w:ascii="Verdana" w:hAnsi="Verdana"/>
          <w:sz w:val="20"/>
          <w:szCs w:val="20"/>
          <w:lang w:val="sk-SK"/>
        </w:rPr>
        <w:t>- na starobné poistenie 18 % z vymeriavacieho základu, ak nie je sporiteľom starobného dôchodkového sporenia,</w:t>
      </w:r>
    </w:p>
    <w:p w:rsidR="005C3F63" w:rsidRDefault="006536E7">
      <w:pPr>
        <w:spacing w:after="120"/>
        <w:rPr>
          <w:rFonts w:ascii="Verdana" w:hAnsi="Verdana"/>
          <w:sz w:val="20"/>
          <w:szCs w:val="20"/>
          <w:lang w:val="sk-SK"/>
        </w:rPr>
      </w:pPr>
      <w:r>
        <w:rPr>
          <w:rFonts w:ascii="Verdana" w:hAnsi="Verdana"/>
          <w:sz w:val="20"/>
          <w:szCs w:val="20"/>
          <w:lang w:val="sk-SK"/>
        </w:rPr>
        <w:t>- na starobné poistenie 13,00 % z vymeriavacieho základu a na povinné príspevky na starobné dôchodkové sporenie 5,00 % z vymeriavacieho základu, ak je sporiteľom starobného dôchodkového sporenia (od roku 2017 sa sadzba povinných príspevkov na starobné dôchodkové sporenie zvyšuje o 0,25 % ročne až do výšky 6 %, primerane, t.j. o 0,25 % ročne sa zníži percentuálna sadzba poistného na starobné poistenie),</w:t>
      </w:r>
    </w:p>
    <w:p w:rsidR="005C3F63" w:rsidRDefault="006536E7">
      <w:pPr>
        <w:spacing w:after="120"/>
        <w:rPr>
          <w:rFonts w:ascii="Verdana" w:hAnsi="Verdana"/>
          <w:sz w:val="20"/>
          <w:szCs w:val="20"/>
          <w:lang w:val="sk-SK"/>
        </w:rPr>
      </w:pPr>
      <w:r>
        <w:rPr>
          <w:rFonts w:ascii="Verdana" w:hAnsi="Verdana"/>
          <w:sz w:val="20"/>
          <w:szCs w:val="20"/>
          <w:lang w:val="sk-SK"/>
        </w:rPr>
        <w:t>- na invalidné poistenie 6 % z vymeriavacieho základu,</w:t>
      </w:r>
    </w:p>
    <w:p w:rsidR="005C3F63" w:rsidRDefault="006536E7">
      <w:pPr>
        <w:spacing w:after="120"/>
        <w:rPr>
          <w:rFonts w:ascii="Verdana" w:hAnsi="Verdana"/>
          <w:sz w:val="20"/>
          <w:szCs w:val="20"/>
          <w:lang w:val="sk-SK"/>
        </w:rPr>
      </w:pPr>
      <w:r>
        <w:rPr>
          <w:rFonts w:ascii="Verdana" w:hAnsi="Verdana"/>
          <w:sz w:val="20"/>
          <w:szCs w:val="20"/>
          <w:lang w:val="sk-SK"/>
        </w:rPr>
        <w:t>- do rezervného fondu solidarity so sadzbou 4,75 % z vymeriavacieho základu.</w:t>
      </w:r>
    </w:p>
    <w:p w:rsidR="005C3F63" w:rsidRDefault="006536E7">
      <w:pPr>
        <w:spacing w:after="120"/>
        <w:rPr>
          <w:rFonts w:ascii="Verdana" w:hAnsi="Verdana"/>
          <w:sz w:val="20"/>
          <w:szCs w:val="20"/>
          <w:lang w:val="sk-SK"/>
        </w:rPr>
      </w:pPr>
      <w:r>
        <w:rPr>
          <w:rFonts w:ascii="Verdana" w:hAnsi="Verdana"/>
          <w:sz w:val="20"/>
          <w:szCs w:val="20"/>
          <w:lang w:val="sk-SK"/>
        </w:rPr>
        <w:t>Povinnosť platiť zákonné sociálne poistenie podnikateľovi SZČO v roku 2020 zaniká 30. júna 2020 (príp. 30. septembra 2020 ak bude mať predĺženú lehotu na podanie daňového priznania za rok 2019), ak jej príjem z podnikania a z inej samostatnej zárobkovej činnosti podľa osobitného predpisu alebo výnos súvisiaci s podnikaním a s inou samostatnou zárobkovou činnosťou za rok 2019 nebude vyšší ako 12-násobok minimálneho vymeriavacieho základu. To znamená, ak podnikateľ SZČO dosiahne za rok 2019 príjmy z podnikania a z inej samostatnej zárobkovej činnosti podľa osobitného predpisu alebo výnosy súvisiace s podnikaním a s inou samostatnou zárobkovou činnosťou vyššie ako 6 078,00 eur (0,5 x 12 x 1 013,00 EUR = 6 078,00 eur), bude tento zakladať povinnosť podnikateľovi SZČO platiť zákonné poistné nasledujúcich 12 mesiacov od 1. júla 2020 alebo od 1. októbra 2020, ak bude predĺžená lehota na podanie daňového priznania za rok 2019. SZČO, ktoré do 31. decembra 2019 platia poistné z minimálneho vymeriavacieho základu platného do 31. decembra 2019 (477,00 eur) alebo zo skutočne dosiahnutého vymeriavacieho základu v rozpätí od 477,01 eur do 506,49 eur, ktoré budú platiť poistné z  minimálneho vymeriavacieho základu 506,50 eur, a tiež tých podnikateľov SZČO, ktorých skutočne dosiahnutý vymeriavací základ je určený v rozpätí od maximálneho vymeriavacieho základu platného do 31. decembra 2019 (6 678,00 eur) do výšky nového maximálneho vymeriavacieho základu 7 091,00 eur, ktoré budú platiť poistné zo skutočne dosiahnutého vymeriavacieho základu z uvedeného rozpätia.</w:t>
      </w:r>
    </w:p>
    <w:p w:rsidR="005C3F63" w:rsidRDefault="006536E7">
      <w:pPr>
        <w:spacing w:after="120"/>
        <w:rPr>
          <w:rFonts w:ascii="Verdana" w:hAnsi="Verdana"/>
          <w:sz w:val="20"/>
          <w:szCs w:val="20"/>
          <w:lang w:val="sk-SK"/>
        </w:rPr>
      </w:pPr>
      <w:r>
        <w:rPr>
          <w:rFonts w:ascii="Verdana" w:hAnsi="Verdana"/>
          <w:sz w:val="20"/>
          <w:szCs w:val="20"/>
          <w:lang w:val="sk-SK"/>
        </w:rPr>
        <w:t>K 1. januáru 2020 došlo v súvislosti s verejným zdravotným poistením a sociálnym poistením najmä k zmenám v sumách limitov preddavkov na verejné zdravotné poistenie ako aj poistného na zákonné sociálne poistenie, odvíjajúce sa od zmeny limitov vymeriavacích základov. Ich výška sa počíta v závislosti od zmeny priemernej mesačnej mzdy v hospodárstve Slovenskej republiky, ktorú každý rok vyhlasuje Štatistický úrad SR. Priemerná mzda na Slovensku podľa štatistického úradu vlani medziročne vzrástla o 6,2 % z 954,00 eur (za rok 2017) na 1 013,00 eur (za rok 2018). Minimálny vymeriavací základ pre podnikateľa SZČO sa preto od začiatku januára 2020 upravuje smerom nahor takisto o 6,2 %, a to na 506,50 eura (z 477,00 eur). Pre podnikateľa SZČO to znamená, že sa jeho mesačné náklady spojené s odvodmi (sociálnymi aj zdravotnými) zvýšili o 13,91 eur v prípade, ak v predchádzajúcom roku odvádzal minimálnu výšku povinných odvodov. Kým v roku 2019 to bolo spolu 224,89 eur, v roku 2020 to už je 238,80 eur. Maximálna výška odvodov (spolu na sociálne aj zdravotné poistenie) nie je stanovená, keďže pre zdravotné poistenie nie je určený maximálny vymeriavací základ.</w:t>
      </w:r>
    </w:p>
    <w:p w:rsidR="005C3F63" w:rsidRDefault="006536E7">
      <w:pPr>
        <w:spacing w:after="120"/>
        <w:rPr>
          <w:rFonts w:ascii="Verdana" w:hAnsi="Verdana"/>
          <w:sz w:val="20"/>
          <w:szCs w:val="20"/>
          <w:lang w:val="sk-SK"/>
        </w:rPr>
      </w:pPr>
      <w:r>
        <w:rPr>
          <w:rFonts w:ascii="Verdana" w:hAnsi="Verdana"/>
          <w:sz w:val="20"/>
          <w:szCs w:val="20"/>
          <w:lang w:val="sk-SK"/>
        </w:rPr>
        <w:t>Zmenený minimálny aj maximálny vymeriavací základ sa vzťahuje na obdobie od januára 2020. Sociálna poisťovňa tieto zmeny oznámi živnostníkom a ostatným podnikateľom SZČO listovou zásielkou alebo do e-schránky, ak ju podnikatelia majú aktivovanú. Podnikatelia SZČO, ktorých sa zmena týka, dostanú oznámenia v januári 2020 a poistné v novej výške prvý krát zaplatia za január vo februári 2020, najneskôr do 10. februára 2020. Vypočítané poistné je úhradou za predošlý mesiac a zahŕňa platbu na všetky fondy sociálneho poistenia, ktoré je podnikateľ SZČO povinný uhrádzať.</w:t>
      </w:r>
    </w:p>
    <w:p w:rsidR="005C3F63" w:rsidRDefault="006536E7">
      <w:pPr>
        <w:spacing w:after="120"/>
        <w:rPr>
          <w:rFonts w:ascii="Verdana" w:hAnsi="Verdana"/>
          <w:sz w:val="20"/>
          <w:szCs w:val="20"/>
          <w:lang w:val="sk-SK"/>
        </w:rPr>
      </w:pPr>
      <w:r>
        <w:rPr>
          <w:rFonts w:ascii="Verdana" w:hAnsi="Verdana"/>
          <w:sz w:val="20"/>
          <w:szCs w:val="20"/>
          <w:lang w:val="sk-SK"/>
        </w:rPr>
        <w:lastRenderedPageBreak/>
        <w:t>Výška povinného poistného plateného podnikateľom SZČO do Sociálnej poisťovne, vypočítaná z nového vymeriavacieho základu 506,50 eura pre povinne poistenú samostatne zárobkovo činnú osobu, bude mesačne 167,89 eura. Výška odvodov do Sociálnej poisťovne sa mení (zvyšuje) aj podnikateľovi, ktorý v roku 2019 odvádzal sociálne poistenie z maximálneho vymeriavacieho základu, ale jeho skutočný vymeriavací základ bol vyšší, a to z dôvodu zvýšenia maximálneho vymeriavacieho základu v roku 2020. Maximálny vymeriavací základ na platenie odvodov do Sociálnej poisťovne predstavuje sedemnásobok priemernej mesačnej mzdy na Slovensku spred dvoch rokov. Nový maximálny vymeriavací základ na rok 2020 bude 7 091,00 eur (6 678,00 eur v roku 2019). Poistné vypočítané z tohto vymeriavacieho základu pre povinne poistenú SZČO je 2 350,66 eura (2 213,75 eur v roku 2019). Najvyššie možné sociálne odvody (mesačné poistné) pre podnikateľa SZČO za obdobie od 1. januára 2020 teda vzrástli o 136,91 eur (z 2 213,75 eura na 2 350,66 eura) mesačne. Prvý krát podnikatelia odviedli poistné podľa aktuálnych zmien za január 2020 vo februári 2020.</w:t>
      </w:r>
    </w:p>
    <w:p w:rsidR="005C3F63" w:rsidRDefault="006536E7">
      <w:pPr>
        <w:spacing w:after="120"/>
        <w:rPr>
          <w:rFonts w:ascii="Verdana" w:hAnsi="Verdana"/>
          <w:sz w:val="20"/>
          <w:szCs w:val="20"/>
          <w:lang w:val="sk-SK"/>
        </w:rPr>
      </w:pPr>
      <w:r>
        <w:rPr>
          <w:rFonts w:ascii="Verdana" w:hAnsi="Verdana"/>
          <w:sz w:val="20"/>
          <w:szCs w:val="20"/>
          <w:lang w:val="sk-SK"/>
        </w:rPr>
        <w:t>Tieto zmenené limity platia aj pre dobrovoľne poistenú osobu, ktorá si určila minimálny vymeriavací základ platný do 31. decembra 2019 alebo si vymeriavací základ určila v rozpätí súm od 477,01 eur do 506,49 eura, t. j. od 1. januára 2020 platí poistné z nového minimálneho vymeriavacieho základu 506,50  eur.</w:t>
      </w:r>
    </w:p>
    <w:p w:rsidR="005C3F63" w:rsidRDefault="006536E7">
      <w:pPr>
        <w:spacing w:after="120"/>
        <w:rPr>
          <w:rFonts w:ascii="Verdana" w:hAnsi="Verdana"/>
          <w:sz w:val="20"/>
          <w:szCs w:val="20"/>
          <w:lang w:val="sk-SK"/>
        </w:rPr>
      </w:pPr>
      <w:r>
        <w:rPr>
          <w:rFonts w:ascii="Verdana" w:hAnsi="Verdana"/>
          <w:sz w:val="20"/>
          <w:szCs w:val="20"/>
          <w:lang w:val="sk-SK"/>
        </w:rPr>
        <w:t xml:space="preserve">Vymeriavací základ na platenie poistného povinne nemocensky poistenej a povinne dôchodkovo poistenej SZČO od 1. júla 2020, resp. 1. októbra 2020 (ak bola predĺžená lehota na podanie daňového priznania za rok 2019), ktorá vykonávala činnosť SZČO v roku 2019 sa vypočíta nasledovne: </w:t>
      </w:r>
    </w:p>
    <w:p w:rsidR="005C3F63" w:rsidRDefault="006536E7">
      <w:pPr>
        <w:spacing w:after="120"/>
        <w:rPr>
          <w:rFonts w:ascii="Verdana" w:hAnsi="Verdana"/>
          <w:sz w:val="20"/>
          <w:szCs w:val="20"/>
          <w:lang w:val="sk-SK"/>
        </w:rPr>
      </w:pPr>
      <w:r>
        <w:rPr>
          <w:rFonts w:ascii="Verdana" w:hAnsi="Verdana"/>
          <w:i/>
          <w:sz w:val="20"/>
          <w:szCs w:val="20"/>
          <w:lang w:val="sk-SK"/>
        </w:rPr>
        <w:t>Vymeriavací základ = (Čiastkový základ dane za rok 2019 + zaplatené poistné na povinné verejné zdravotné poistenie, poistné na povinné sociálne poistenie a príspevky na starobné dôchodkové sporenie podnikateľa SZČO v roku 2019) : 1,486 : 12.</w:t>
      </w:r>
      <w:r>
        <w:rPr>
          <w:rFonts w:ascii="Verdana" w:hAnsi="Verdana"/>
          <w:sz w:val="20"/>
          <w:szCs w:val="20"/>
          <w:lang w:val="sk-SK"/>
        </w:rPr>
        <w:t xml:space="preserve"> Vymeriavací základ sa zaokrúhľuje na najbližší eurocent nadol.</w:t>
      </w:r>
    </w:p>
    <w:p w:rsidR="005C3F63" w:rsidRDefault="006536E7">
      <w:pPr>
        <w:spacing w:after="120"/>
        <w:rPr>
          <w:rFonts w:ascii="Verdana" w:hAnsi="Verdana"/>
          <w:sz w:val="20"/>
          <w:szCs w:val="20"/>
          <w:lang w:val="sk-SK"/>
        </w:rPr>
      </w:pPr>
      <w:r>
        <w:rPr>
          <w:rFonts w:ascii="Verdana" w:hAnsi="Verdana"/>
          <w:sz w:val="20"/>
          <w:szCs w:val="20"/>
          <w:lang w:val="sk-SK"/>
        </w:rPr>
        <w:t>Zhrnutie limitov sociálneho poistenia v roku 2020 - podnikateľa SZČO:</w:t>
      </w:r>
    </w:p>
    <w:p w:rsidR="005C3F63" w:rsidRDefault="006536E7">
      <w:pPr>
        <w:spacing w:after="120"/>
        <w:rPr>
          <w:rFonts w:ascii="Verdana" w:hAnsi="Verdana"/>
          <w:sz w:val="20"/>
          <w:szCs w:val="20"/>
          <w:lang w:val="sk-SK"/>
        </w:rPr>
      </w:pPr>
      <w:r>
        <w:rPr>
          <w:rFonts w:ascii="Verdana" w:hAnsi="Verdana"/>
          <w:sz w:val="20"/>
          <w:szCs w:val="20"/>
          <w:lang w:val="sk-SK"/>
        </w:rPr>
        <w:t>•</w:t>
      </w:r>
      <w:r>
        <w:rPr>
          <w:rFonts w:ascii="Verdana" w:hAnsi="Verdana"/>
          <w:sz w:val="20"/>
          <w:szCs w:val="20"/>
          <w:lang w:val="sk-SK"/>
        </w:rPr>
        <w:tab/>
        <w:t xml:space="preserve">Minimálny mesačný vymeriavací základ 506,50 eur. </w:t>
      </w:r>
    </w:p>
    <w:p w:rsidR="005C3F63" w:rsidRDefault="006536E7">
      <w:pPr>
        <w:spacing w:after="120"/>
        <w:rPr>
          <w:rFonts w:ascii="Verdana" w:hAnsi="Verdana"/>
          <w:sz w:val="20"/>
          <w:szCs w:val="20"/>
          <w:lang w:val="sk-SK"/>
        </w:rPr>
      </w:pPr>
      <w:r>
        <w:rPr>
          <w:rFonts w:ascii="Verdana" w:hAnsi="Verdana"/>
          <w:sz w:val="20"/>
          <w:szCs w:val="20"/>
          <w:lang w:val="sk-SK"/>
        </w:rPr>
        <w:t>Z toho vyplývajúce poistné na zákonné sociálne poistenie je mesačne 167,89 eur (pre SZČO, ktoré majú priznaný starobný dôchodok alebo predčasný starobný dôchodok, a pre SZČO, ktoré sú poberateľmi výsluhového dôchodku a dovŕšili dôchodkový vek, je mesačná suma poistného 137,50 eur, keďže neplatia poistné na invalidné poistenie).</w:t>
      </w:r>
    </w:p>
    <w:p w:rsidR="005C3F63" w:rsidRDefault="006536E7">
      <w:pPr>
        <w:spacing w:after="120"/>
        <w:rPr>
          <w:rFonts w:ascii="Verdana" w:hAnsi="Verdana"/>
          <w:sz w:val="20"/>
          <w:szCs w:val="20"/>
          <w:lang w:val="sk-SK"/>
        </w:rPr>
      </w:pPr>
      <w:r>
        <w:rPr>
          <w:rFonts w:ascii="Verdana" w:hAnsi="Verdana"/>
          <w:sz w:val="20"/>
          <w:szCs w:val="20"/>
          <w:lang w:val="sk-SK"/>
        </w:rPr>
        <w:t>•</w:t>
      </w:r>
      <w:r>
        <w:rPr>
          <w:rFonts w:ascii="Verdana" w:hAnsi="Verdana"/>
          <w:sz w:val="20"/>
          <w:szCs w:val="20"/>
          <w:lang w:val="sk-SK"/>
        </w:rPr>
        <w:tab/>
        <w:t>Maximálny mesačný vymeriavací základ 7 091,00 eur.</w:t>
      </w:r>
    </w:p>
    <w:p w:rsidR="005C3F63" w:rsidRDefault="006536E7">
      <w:pPr>
        <w:spacing w:after="120"/>
        <w:rPr>
          <w:rFonts w:ascii="Verdana" w:hAnsi="Verdana"/>
          <w:sz w:val="20"/>
          <w:szCs w:val="20"/>
          <w:lang w:val="sk-SK"/>
        </w:rPr>
      </w:pPr>
      <w:r>
        <w:rPr>
          <w:rFonts w:ascii="Verdana" w:hAnsi="Verdana"/>
          <w:sz w:val="20"/>
          <w:szCs w:val="20"/>
          <w:lang w:val="sk-SK"/>
        </w:rPr>
        <w:t>Z toho vyplývajúce poistné je na zákonné sociálne poistenie mesačne 2 350,66 eur (pre SZČO, ktoré majú priznaný starobný dôchodok alebo predčasný starobný dôchodok, a pre SZČO, ktoré sú poberateľmi výsluhového dôchodku a dovŕšili dôchodkový vek, je mesačná suma poistného 1 925,20 eur, keďže neplatia poistné na invalidné poistenie).</w:t>
      </w:r>
    </w:p>
    <w:p w:rsidR="005C3F63" w:rsidRDefault="005C3F63">
      <w:pPr>
        <w:spacing w:after="120"/>
        <w:rPr>
          <w:rFonts w:ascii="Verdana" w:hAnsi="Verdana"/>
          <w:sz w:val="20"/>
          <w:szCs w:val="20"/>
          <w:lang w:val="sk-SK"/>
        </w:rPr>
      </w:pPr>
    </w:p>
    <w:p w:rsidR="005C3F63" w:rsidRDefault="006536E7">
      <w:pPr>
        <w:spacing w:after="120"/>
        <w:rPr>
          <w:rFonts w:ascii="Verdana" w:hAnsi="Verdana"/>
          <w:b/>
          <w:i/>
          <w:sz w:val="20"/>
          <w:szCs w:val="20"/>
          <w:lang w:val="sk-SK"/>
        </w:rPr>
      </w:pPr>
      <w:r>
        <w:rPr>
          <w:rFonts w:ascii="Verdana" w:hAnsi="Verdana"/>
          <w:b/>
          <w:i/>
          <w:sz w:val="20"/>
          <w:szCs w:val="20"/>
          <w:lang w:val="sk-SK"/>
        </w:rPr>
        <w:t>3.2 Začínajúca SZČO</w:t>
      </w:r>
    </w:p>
    <w:p w:rsidR="005C3F63" w:rsidRDefault="006536E7">
      <w:pPr>
        <w:spacing w:after="120"/>
        <w:rPr>
          <w:rFonts w:ascii="Verdana" w:hAnsi="Verdana"/>
          <w:sz w:val="20"/>
          <w:szCs w:val="20"/>
          <w:lang w:val="sk-SK"/>
        </w:rPr>
      </w:pPr>
      <w:r>
        <w:rPr>
          <w:rFonts w:ascii="Verdana" w:hAnsi="Verdana"/>
          <w:sz w:val="20"/>
          <w:szCs w:val="20"/>
          <w:lang w:val="sk-SK"/>
        </w:rPr>
        <w:t>Začínajúca SZČO, ak vznikla v roku 2019, poistné do sociálnej poisťovne povinne neplatí do 1. júla (resp. 1. októbra) 2020, kedy sa posudzuje povinnosť platiť zákonné poistné do Sociálnej poisťovne v závislosti od príjmov dosiahnutých za rok 2019. Ak SZČO vznikla až v roku 2020, tak sa táto povinnosť posudzuje k 1. júlu (resp. 1. októbru) 2021 v závislosti od príjmov dosiahnutých za rok 2020. Podnikateľ SZČO sa môže prihlásiť do Sociálnej poisťovne a platiť sociálne poistenie vo zvolenom rozsahu (zvoleného z ponúknutých konkrétnych možností) dobrovoľne aj skôr ako jej vznikne povinnosť.</w:t>
      </w:r>
    </w:p>
    <w:p w:rsidR="005C3F63" w:rsidRDefault="005C3F63">
      <w:pPr>
        <w:spacing w:after="120"/>
        <w:rPr>
          <w:rFonts w:ascii="Verdana" w:hAnsi="Verdana"/>
          <w:sz w:val="20"/>
          <w:szCs w:val="20"/>
          <w:lang w:val="sk-SK"/>
        </w:rPr>
      </w:pPr>
    </w:p>
    <w:p w:rsidR="005C3F63" w:rsidRDefault="005C3F63">
      <w:pPr>
        <w:spacing w:after="120"/>
        <w:rPr>
          <w:rFonts w:ascii="Verdana" w:hAnsi="Verdana"/>
          <w:sz w:val="20"/>
          <w:szCs w:val="20"/>
          <w:lang w:val="sk-SK"/>
        </w:rPr>
      </w:pPr>
    </w:p>
    <w:p w:rsidR="005C3F63" w:rsidRDefault="005C3F63">
      <w:pPr>
        <w:spacing w:after="120"/>
        <w:rPr>
          <w:rFonts w:ascii="Verdana" w:hAnsi="Verdana"/>
          <w:sz w:val="20"/>
          <w:szCs w:val="20"/>
          <w:lang w:val="sk-SK"/>
        </w:rPr>
      </w:pPr>
    </w:p>
    <w:p w:rsidR="005C3F63" w:rsidRDefault="005C3F63">
      <w:pPr>
        <w:spacing w:after="120"/>
        <w:rPr>
          <w:rFonts w:ascii="Verdana" w:hAnsi="Verdana"/>
          <w:sz w:val="20"/>
          <w:szCs w:val="20"/>
          <w:lang w:val="sk-SK"/>
        </w:rPr>
      </w:pPr>
    </w:p>
    <w:p w:rsidR="005C3F63" w:rsidRDefault="006536E7">
      <w:pPr>
        <w:spacing w:after="120"/>
        <w:rPr>
          <w:rFonts w:ascii="Verdana" w:hAnsi="Verdana"/>
          <w:b/>
          <w:i/>
          <w:sz w:val="20"/>
          <w:szCs w:val="20"/>
          <w:lang w:val="sk-SK"/>
        </w:rPr>
      </w:pPr>
      <w:r>
        <w:rPr>
          <w:rFonts w:ascii="Verdana" w:hAnsi="Verdana"/>
          <w:b/>
          <w:i/>
          <w:sz w:val="20"/>
          <w:szCs w:val="20"/>
          <w:lang w:val="sk-SK"/>
        </w:rPr>
        <w:lastRenderedPageBreak/>
        <w:t xml:space="preserve">3.3 Verejné zdravotné poistenie SZČO </w:t>
      </w:r>
    </w:p>
    <w:p w:rsidR="005C3F63" w:rsidRDefault="006536E7">
      <w:pPr>
        <w:spacing w:after="120"/>
        <w:rPr>
          <w:rFonts w:ascii="Verdana" w:hAnsi="Verdana"/>
          <w:sz w:val="20"/>
          <w:szCs w:val="20"/>
          <w:lang w:val="sk-SK"/>
        </w:rPr>
      </w:pPr>
      <w:r>
        <w:rPr>
          <w:rFonts w:ascii="Verdana" w:hAnsi="Verdana"/>
          <w:sz w:val="20"/>
          <w:szCs w:val="20"/>
          <w:lang w:val="sk-SK"/>
        </w:rPr>
        <w:t xml:space="preserve">Od 1. januára 2017 novela zákona č. 580/2004 Z. z. o zdravotnom poistení a o zmene a doplnení zákona č. 95/2002 Z. z. o poisťovníctve a o zmene a doplnení niektorých zákonov v znení neskorších predpisov zrušila maximálny vymeriavací základ pre výpočet poistného  zamestnanca, podnikateľa SZČO a tiež samoplatiteľa, tak pri výpočte preddavkov na zdravotné poistenie, ako aj v ročnom zúčtovaní zdravotného poistenia. </w:t>
      </w:r>
    </w:p>
    <w:p w:rsidR="005C3F63" w:rsidRDefault="006536E7">
      <w:pPr>
        <w:spacing w:after="120"/>
        <w:rPr>
          <w:rFonts w:ascii="Verdana" w:hAnsi="Verdana"/>
          <w:sz w:val="20"/>
          <w:szCs w:val="20"/>
          <w:lang w:val="sk-SK"/>
        </w:rPr>
      </w:pPr>
      <w:r>
        <w:rPr>
          <w:rFonts w:ascii="Verdana" w:hAnsi="Verdana"/>
          <w:sz w:val="20"/>
          <w:szCs w:val="20"/>
          <w:lang w:val="sk-SK"/>
        </w:rPr>
        <w:t>Vymeriavací základ na platenie preddavkov poistného na zdravotné poistenie SZČO je zhodný s vymeriavacím základom pre zákonné sociálne poistenie.</w:t>
      </w:r>
    </w:p>
    <w:p w:rsidR="005C3F63" w:rsidRDefault="006536E7">
      <w:pPr>
        <w:spacing w:after="120"/>
        <w:rPr>
          <w:rFonts w:ascii="Verdana" w:hAnsi="Verdana"/>
          <w:i/>
          <w:sz w:val="20"/>
          <w:szCs w:val="20"/>
          <w:lang w:val="sk-SK"/>
        </w:rPr>
      </w:pPr>
      <w:r>
        <w:rPr>
          <w:rFonts w:ascii="Verdana" w:hAnsi="Verdana"/>
          <w:i/>
          <w:sz w:val="20"/>
          <w:szCs w:val="20"/>
          <w:lang w:val="sk-SK"/>
        </w:rPr>
        <w:t>Limity vymeriavacieho základu na zdravotné poistenie podnikateľa SZČO:</w:t>
      </w:r>
    </w:p>
    <w:p w:rsidR="005C3F63" w:rsidRDefault="006536E7">
      <w:pPr>
        <w:spacing w:after="120"/>
        <w:rPr>
          <w:rFonts w:ascii="Verdana" w:hAnsi="Verdana"/>
          <w:sz w:val="20"/>
          <w:szCs w:val="20"/>
          <w:lang w:val="sk-SK"/>
        </w:rPr>
      </w:pPr>
      <w:r>
        <w:rPr>
          <w:rFonts w:ascii="Verdana" w:hAnsi="Verdana"/>
          <w:sz w:val="20"/>
          <w:szCs w:val="20"/>
          <w:lang w:val="sk-SK"/>
        </w:rPr>
        <w:t>•</w:t>
      </w:r>
      <w:r>
        <w:rPr>
          <w:rFonts w:ascii="Verdana" w:hAnsi="Verdana"/>
          <w:sz w:val="20"/>
          <w:szCs w:val="20"/>
          <w:lang w:val="sk-SK"/>
        </w:rPr>
        <w:tab/>
        <w:t>Minimálny mesačný vymeriavací základ podnikateľa SZČO na platenie preddavkov na zdravotné poistenie pre povinne poistenú SZČO, ktorá nie je zároveň zamestnancom ani poistencom štátu pre rok 2020 je 506,50 eur.</w:t>
      </w:r>
    </w:p>
    <w:p w:rsidR="005C3F63" w:rsidRDefault="006536E7">
      <w:pPr>
        <w:spacing w:after="120"/>
        <w:rPr>
          <w:rFonts w:ascii="Verdana" w:hAnsi="Verdana"/>
          <w:sz w:val="20"/>
          <w:szCs w:val="20"/>
          <w:lang w:val="sk-SK"/>
        </w:rPr>
      </w:pPr>
      <w:r>
        <w:rPr>
          <w:rFonts w:ascii="Verdana" w:hAnsi="Verdana"/>
          <w:sz w:val="20"/>
          <w:szCs w:val="20"/>
          <w:lang w:val="sk-SK"/>
        </w:rPr>
        <w:t>•</w:t>
      </w:r>
      <w:r>
        <w:rPr>
          <w:rFonts w:ascii="Verdana" w:hAnsi="Verdana"/>
          <w:sz w:val="20"/>
          <w:szCs w:val="20"/>
          <w:lang w:val="sk-SK"/>
        </w:rPr>
        <w:tab/>
        <w:t>Maximálny mesačný vymeriavací základ na platenie preddavkov na zdravotné poistenie pre povinne poistenú SZČO, ktorá nie je zároveň zamestnancom ani poistencom štátu nie je určený.</w:t>
      </w:r>
    </w:p>
    <w:p w:rsidR="005C3F63" w:rsidRDefault="006536E7">
      <w:pPr>
        <w:spacing w:after="120"/>
        <w:rPr>
          <w:rFonts w:ascii="Verdana" w:hAnsi="Verdana"/>
          <w:sz w:val="20"/>
          <w:szCs w:val="20"/>
          <w:lang w:val="sk-SK"/>
        </w:rPr>
      </w:pPr>
      <w:r>
        <w:rPr>
          <w:rFonts w:ascii="Verdana" w:hAnsi="Verdana"/>
          <w:sz w:val="20"/>
          <w:szCs w:val="20"/>
          <w:lang w:val="sk-SK"/>
        </w:rPr>
        <w:t>Základná sadzba mesačného preddavku na verejné zdravotné poistenie je 14 % z mesačného vymeriavacieho základu. Pre osoby so zdravotným postihnutím 41 % a viac (s poklesom schopnosti vykonávať zárobkovú činnosť 41 % a viac v porovnaní so zdravou fyzickou osobou) platí polovičná sadzba, t. j. 7 % z mesačného vymeriavacieho základu. Preddavky na verejné zdravotné poistenie sa platia vždy mesiac dozadu. V roku 2020 sa platí preddavok na verejné zdravotné poistenie najmenej 70,91 eur (resp. 35,45 eur, osoba so zdravotným postihnutím 41 % a viac – platí polovicu zo štandardnej výšky preddavku). Preddavok sa počíta zo skutočne vypočítaného vymeriavacieho základu v tých prípadoch, ak je tento vyšší, ako minimálny mesačný vymeriavací základ 506,50 eur.</w:t>
      </w:r>
    </w:p>
    <w:p w:rsidR="005C3F63" w:rsidRDefault="005C3F63">
      <w:pPr>
        <w:spacing w:after="120"/>
        <w:rPr>
          <w:rFonts w:ascii="Verdana" w:hAnsi="Verdana"/>
          <w:sz w:val="20"/>
          <w:szCs w:val="20"/>
          <w:lang w:val="sk-SK"/>
        </w:rPr>
      </w:pPr>
    </w:p>
    <w:p w:rsidR="005C3F63" w:rsidRDefault="006536E7">
      <w:pPr>
        <w:spacing w:after="120"/>
        <w:rPr>
          <w:rFonts w:ascii="Verdana" w:hAnsi="Verdana"/>
          <w:b/>
          <w:i/>
          <w:sz w:val="20"/>
          <w:szCs w:val="20"/>
          <w:lang w:val="sk-SK"/>
        </w:rPr>
      </w:pPr>
      <w:r>
        <w:rPr>
          <w:rFonts w:ascii="Verdana" w:hAnsi="Verdana"/>
          <w:b/>
          <w:i/>
          <w:sz w:val="20"/>
          <w:szCs w:val="20"/>
          <w:lang w:val="sk-SK"/>
        </w:rPr>
        <w:t xml:space="preserve">3.4 Zamestnanec a jeho zákonné sociálne poistenie a verejné zdravotné poistenie </w:t>
      </w:r>
    </w:p>
    <w:p w:rsidR="005C3F63" w:rsidRDefault="006536E7">
      <w:pPr>
        <w:spacing w:after="120"/>
        <w:rPr>
          <w:rFonts w:ascii="Verdana" w:hAnsi="Verdana"/>
          <w:sz w:val="20"/>
          <w:szCs w:val="20"/>
          <w:lang w:val="sk-SK"/>
        </w:rPr>
      </w:pPr>
      <w:r>
        <w:rPr>
          <w:rFonts w:ascii="Verdana" w:hAnsi="Verdana"/>
          <w:sz w:val="20"/>
          <w:szCs w:val="20"/>
          <w:lang w:val="sk-SK"/>
        </w:rPr>
        <w:t>Za zamestnanca odvádza preddavok na zdravotné poistenie do príslušnej zdravotnej poisťovne zamestnanca, poistné na nemocenské poistenie, poistné na dôchodkové poistenie a poistné na poistenie v nezamestnanosti do Sociálnej poisťovne zamestnávateľ. Zamestnávateľ vykoná zrážku preddavku na zdravotné poistenie a poistného na jednotlivé druhy sociálneho poistenia, ktoré je povinný platiť zamestnanec z príjmu zamestnanca a túto spolu s poistným (resp. preddavkom), ktoré za zamestnanca platí zamestnávateľ odvedie zamestnávateľ do príslušných poisťovní – zdravotných poisťovní a Sociálnej poisťovne.</w:t>
      </w:r>
    </w:p>
    <w:p w:rsidR="005C3F63" w:rsidRDefault="006536E7">
      <w:pPr>
        <w:spacing w:after="120"/>
        <w:rPr>
          <w:rFonts w:ascii="Verdana" w:hAnsi="Verdana"/>
          <w:sz w:val="20"/>
          <w:szCs w:val="20"/>
          <w:lang w:val="sk-SK"/>
        </w:rPr>
      </w:pPr>
      <w:r>
        <w:rPr>
          <w:rFonts w:ascii="Verdana" w:hAnsi="Verdana"/>
          <w:sz w:val="20"/>
          <w:szCs w:val="20"/>
          <w:lang w:val="sk-SK"/>
        </w:rPr>
        <w:t>Vymeriavací základ zamestnanca je príjem zo zamestnania (zo závislej činnosti podľa § 5 ods. 1 písm. a) až h), k) a m) a ods. 2 a 3 zákona č. 595/2003 Z. z. o dani z príjmov v znení neskorších zmien a doplnkov.), okrem príjmov, ktoré nie sú predmetom dane alebo sú od dane oslobodené, príspevkov na doplnkové dôchodkové sporenie, ktoré platí zamestnávateľ za zamestnanca. Vymeriavací základ zamestnanca je aj podiel na zisku vyplatený obchodnou spoločnosťou alebo družstvom zamestnancovi bez účasti na základnom imaní tejto spoločnosti alebo družstva. Vymeriavacím základom zamestnanca sú všetky príjmy, z ktorých odvedie daň z príjmov zo závislej činnosti.</w:t>
      </w:r>
    </w:p>
    <w:p w:rsidR="005C3F63" w:rsidRDefault="006536E7">
      <w:pPr>
        <w:spacing w:after="120"/>
        <w:rPr>
          <w:rFonts w:ascii="Verdana" w:hAnsi="Verdana"/>
          <w:sz w:val="20"/>
          <w:szCs w:val="20"/>
          <w:lang w:val="sk-SK"/>
        </w:rPr>
      </w:pPr>
      <w:r>
        <w:rPr>
          <w:rFonts w:ascii="Verdana" w:hAnsi="Verdana"/>
          <w:sz w:val="20"/>
          <w:szCs w:val="20"/>
          <w:lang w:val="sk-SK"/>
        </w:rPr>
        <w:t>Ak zamestnancovi s právom na nepravidelný príjem, okrem fyzickej osoby v právnom vzťahu na základe dohôd o prácach vykonávaných mimo pracovného pomeru, ktorej bol vyplatený príjem zo závislej činnosti počas trvania dôchodkového poistenia, vymeriavací základ je pomerná časť tohto príjmu pripadajúca na každý kalendárny mesiac trvania tohto poistenia v poslednom kalendárnom roku okrem obdobia, za ktoré bolo zaplatené poistné na dôchodkové poistenie z maximálneho vymeriavacieho základu.</w:t>
      </w:r>
    </w:p>
    <w:p w:rsidR="005C3F63" w:rsidRDefault="006536E7">
      <w:pPr>
        <w:spacing w:after="120"/>
        <w:rPr>
          <w:rFonts w:ascii="Verdana" w:hAnsi="Verdana"/>
          <w:sz w:val="20"/>
          <w:szCs w:val="20"/>
          <w:lang w:val="sk-SK"/>
        </w:rPr>
      </w:pPr>
      <w:r>
        <w:rPr>
          <w:rFonts w:ascii="Verdana" w:hAnsi="Verdana"/>
          <w:sz w:val="20"/>
          <w:szCs w:val="20"/>
          <w:lang w:val="sk-SK"/>
        </w:rPr>
        <w:lastRenderedPageBreak/>
        <w:t>Minimálny vymeriavací základ pre zamestnanca nie je upravený, napriek tomu zamestnávateľ má podľa pracovnoprávnych predpisov povinnosť odmeňovať zamestnanca v súlade s ustanoveniami zákona o minimálnej mzde zamestnanca. Minimálna mzda pre rok 2020 je ustanovená na 580,00 eur (pre 1. stupeň náročnosti práce), ktorá sa pre vyššie stupne náročnosti práce ďalej násobí koeficientom minimálnej mzdy podľa § 120 ods. 4 Zákonníka práce. Za jednu odpracovanú hodinu je to 3,333 eur.  Minimálna mzda predstavuje najnižšiu možnú hrubú mzdu, ktorú musí zamestnávateľ vyplatiť za odpracovaný plný pracovný úväzok. V roku 2019 bola minimálna mzda na úrovni 520 eur a minimálna hodinová mzda bola vo výške 2,989 eur.</w:t>
      </w:r>
    </w:p>
    <w:p w:rsidR="005C3F63" w:rsidRDefault="006536E7">
      <w:pPr>
        <w:spacing w:after="120"/>
        <w:rPr>
          <w:rFonts w:ascii="Verdana" w:hAnsi="Verdana"/>
          <w:sz w:val="20"/>
          <w:szCs w:val="20"/>
          <w:lang w:val="sk-SK"/>
        </w:rPr>
      </w:pPr>
      <w:r>
        <w:rPr>
          <w:rFonts w:ascii="Verdana" w:hAnsi="Verdana"/>
          <w:sz w:val="20"/>
          <w:szCs w:val="20"/>
          <w:lang w:val="sk-SK"/>
        </w:rPr>
        <w:t xml:space="preserve">Na základe predchádzajúcej analýzy môžeme zhrnúť mesačné náklady na zákonné sociálne poistenie a verejné zdravotné poistenie v tabuľke 1. </w:t>
      </w:r>
    </w:p>
    <w:p w:rsidR="005C3F63" w:rsidRDefault="006536E7">
      <w:pPr>
        <w:spacing w:after="120"/>
        <w:jc w:val="center"/>
        <w:rPr>
          <w:rFonts w:ascii="Verdana" w:hAnsi="Verdana"/>
          <w:sz w:val="20"/>
          <w:szCs w:val="20"/>
          <w:lang w:val="sk-SK"/>
        </w:rPr>
      </w:pPr>
      <w:r>
        <w:rPr>
          <w:rFonts w:ascii="Verdana" w:hAnsi="Verdana"/>
          <w:b/>
          <w:sz w:val="20"/>
          <w:szCs w:val="20"/>
          <w:lang w:val="sk-SK"/>
        </w:rPr>
        <w:t>Tabuľka 1</w:t>
      </w:r>
      <w:r>
        <w:rPr>
          <w:rFonts w:ascii="Verdana" w:hAnsi="Verdana"/>
          <w:sz w:val="20"/>
          <w:szCs w:val="20"/>
          <w:lang w:val="sk-SK"/>
        </w:rPr>
        <w:t xml:space="preserve"> Mesačné náklady na zákonné sociálne poistenie a verejné zdravotné poistenie zamestnanca a SZČO</w:t>
      </w:r>
    </w:p>
    <w:tbl>
      <w:tblPr>
        <w:tblW w:w="0" w:type="auto"/>
        <w:tblBorders>
          <w:top w:val="single" w:sz="8" w:space="0" w:color="000000"/>
          <w:bottom w:val="single" w:sz="8" w:space="0" w:color="000000"/>
        </w:tblBorders>
        <w:tblLook w:val="04A0" w:firstRow="1" w:lastRow="0" w:firstColumn="1" w:lastColumn="0" w:noHBand="0" w:noVBand="1"/>
      </w:tblPr>
      <w:tblGrid>
        <w:gridCol w:w="1951"/>
        <w:gridCol w:w="2410"/>
        <w:gridCol w:w="2410"/>
        <w:gridCol w:w="2517"/>
      </w:tblGrid>
      <w:tr w:rsidR="005C3F63">
        <w:tc>
          <w:tcPr>
            <w:tcW w:w="1951" w:type="dxa"/>
            <w:tcBorders>
              <w:top w:val="single" w:sz="8" w:space="0" w:color="000000"/>
              <w:left w:val="nil"/>
              <w:bottom w:val="double" w:sz="4" w:space="0" w:color="auto"/>
              <w:right w:val="nil"/>
            </w:tcBorders>
          </w:tcPr>
          <w:p w:rsidR="005C3F63" w:rsidRDefault="006536E7">
            <w:pPr>
              <w:jc w:val="left"/>
              <w:rPr>
                <w:rFonts w:ascii="Verdana" w:hAnsi="Verdana"/>
                <w:b/>
                <w:i/>
                <w:iCs/>
                <w:sz w:val="20"/>
                <w:szCs w:val="20"/>
                <w:lang w:val="sk-SK"/>
              </w:rPr>
            </w:pPr>
            <w:r>
              <w:rPr>
                <w:rFonts w:ascii="Verdana" w:hAnsi="Verdana"/>
                <w:b/>
                <w:i/>
                <w:iCs/>
                <w:sz w:val="20"/>
                <w:szCs w:val="20"/>
                <w:lang w:val="sk-SK"/>
              </w:rPr>
              <w:t>Kategória</w:t>
            </w:r>
          </w:p>
        </w:tc>
        <w:tc>
          <w:tcPr>
            <w:tcW w:w="2410" w:type="dxa"/>
            <w:tcBorders>
              <w:top w:val="single" w:sz="8" w:space="0" w:color="000000"/>
              <w:left w:val="nil"/>
              <w:bottom w:val="double" w:sz="4" w:space="0" w:color="auto"/>
              <w:right w:val="nil"/>
            </w:tcBorders>
          </w:tcPr>
          <w:p w:rsidR="005C3F63" w:rsidRDefault="006536E7">
            <w:pPr>
              <w:jc w:val="left"/>
              <w:rPr>
                <w:rFonts w:ascii="Verdana" w:hAnsi="Verdana"/>
                <w:b/>
                <w:i/>
                <w:iCs/>
                <w:sz w:val="20"/>
                <w:szCs w:val="20"/>
                <w:lang w:val="sk-SK"/>
              </w:rPr>
            </w:pPr>
            <w:r>
              <w:rPr>
                <w:rFonts w:ascii="Verdana" w:hAnsi="Verdana"/>
                <w:b/>
                <w:i/>
                <w:iCs/>
                <w:sz w:val="20"/>
                <w:szCs w:val="20"/>
                <w:lang w:val="sk-SK"/>
              </w:rPr>
              <w:t xml:space="preserve">Verejné zdravotné poistenie </w:t>
            </w:r>
          </w:p>
        </w:tc>
        <w:tc>
          <w:tcPr>
            <w:tcW w:w="2410" w:type="dxa"/>
            <w:tcBorders>
              <w:top w:val="single" w:sz="8" w:space="0" w:color="000000"/>
              <w:left w:val="nil"/>
              <w:bottom w:val="double" w:sz="4" w:space="0" w:color="auto"/>
              <w:right w:val="nil"/>
            </w:tcBorders>
          </w:tcPr>
          <w:p w:rsidR="005C3F63" w:rsidRDefault="006536E7">
            <w:pPr>
              <w:jc w:val="left"/>
              <w:rPr>
                <w:rFonts w:ascii="Verdana" w:hAnsi="Verdana"/>
                <w:b/>
                <w:i/>
                <w:iCs/>
                <w:sz w:val="20"/>
                <w:szCs w:val="20"/>
                <w:lang w:val="sk-SK"/>
              </w:rPr>
            </w:pPr>
            <w:r>
              <w:rPr>
                <w:rFonts w:ascii="Verdana" w:hAnsi="Verdana"/>
                <w:b/>
                <w:i/>
                <w:iCs/>
                <w:sz w:val="20"/>
                <w:szCs w:val="20"/>
                <w:lang w:val="sk-SK"/>
              </w:rPr>
              <w:t>Zákonné sociálne poistenie - povinné</w:t>
            </w:r>
          </w:p>
        </w:tc>
        <w:tc>
          <w:tcPr>
            <w:tcW w:w="2517" w:type="dxa"/>
            <w:tcBorders>
              <w:top w:val="single" w:sz="8" w:space="0" w:color="000000"/>
              <w:left w:val="nil"/>
              <w:bottom w:val="double" w:sz="4" w:space="0" w:color="auto"/>
              <w:right w:val="nil"/>
            </w:tcBorders>
          </w:tcPr>
          <w:p w:rsidR="005C3F63" w:rsidRDefault="006536E7">
            <w:pPr>
              <w:jc w:val="left"/>
              <w:rPr>
                <w:rFonts w:ascii="Verdana" w:hAnsi="Verdana"/>
                <w:b/>
                <w:i/>
                <w:iCs/>
                <w:sz w:val="20"/>
                <w:szCs w:val="20"/>
                <w:lang w:val="sk-SK"/>
              </w:rPr>
            </w:pPr>
            <w:r>
              <w:rPr>
                <w:rFonts w:ascii="Verdana" w:hAnsi="Verdana"/>
                <w:b/>
                <w:i/>
                <w:iCs/>
                <w:sz w:val="20"/>
                <w:szCs w:val="20"/>
                <w:lang w:val="sk-SK"/>
              </w:rPr>
              <w:t xml:space="preserve">Zhrnutie </w:t>
            </w:r>
          </w:p>
        </w:tc>
      </w:tr>
      <w:tr w:rsidR="005C3F63">
        <w:tc>
          <w:tcPr>
            <w:tcW w:w="1951" w:type="dxa"/>
            <w:tcBorders>
              <w:top w:val="double" w:sz="4" w:space="0" w:color="auto"/>
              <w:left w:val="nil"/>
              <w:bottom w:val="single" w:sz="4" w:space="0" w:color="auto"/>
              <w:right w:val="nil"/>
            </w:tcBorders>
            <w:shd w:val="clear" w:color="auto" w:fill="FFFFFF"/>
          </w:tcPr>
          <w:p w:rsidR="005C3F63" w:rsidRDefault="006536E7">
            <w:pPr>
              <w:jc w:val="left"/>
              <w:rPr>
                <w:rFonts w:ascii="Verdana" w:hAnsi="Verdana"/>
                <w:b/>
                <w:sz w:val="20"/>
                <w:szCs w:val="20"/>
                <w:lang w:val="sk-SK"/>
              </w:rPr>
            </w:pPr>
            <w:r>
              <w:rPr>
                <w:rFonts w:ascii="Verdana" w:hAnsi="Verdana"/>
                <w:b/>
                <w:sz w:val="20"/>
                <w:szCs w:val="20"/>
                <w:lang w:val="sk-SK"/>
              </w:rPr>
              <w:t>Zamestnanci na základe pracovnej zmluvy bez zdravotného postihnutia.</w:t>
            </w:r>
          </w:p>
        </w:tc>
        <w:tc>
          <w:tcPr>
            <w:tcW w:w="2410" w:type="dxa"/>
            <w:tcBorders>
              <w:top w:val="double" w:sz="4" w:space="0" w:color="auto"/>
              <w:left w:val="nil"/>
              <w:bottom w:val="single" w:sz="4" w:space="0" w:color="auto"/>
              <w:right w:val="nil"/>
            </w:tcBorders>
            <w:shd w:val="clear" w:color="auto" w:fill="FFFFFF"/>
          </w:tcPr>
          <w:p w:rsidR="005C3F63" w:rsidRDefault="006536E7">
            <w:pPr>
              <w:jc w:val="left"/>
              <w:rPr>
                <w:rFonts w:ascii="Verdana" w:hAnsi="Verdana"/>
                <w:sz w:val="20"/>
                <w:szCs w:val="20"/>
                <w:lang w:val="sk-SK"/>
              </w:rPr>
            </w:pPr>
            <w:r>
              <w:rPr>
                <w:rFonts w:ascii="Verdana" w:hAnsi="Verdana"/>
                <w:b/>
                <w:i/>
                <w:iCs/>
                <w:sz w:val="20"/>
                <w:szCs w:val="20"/>
                <w:lang w:val="sk-SK"/>
              </w:rPr>
              <w:t>14 % z hrubej mzdy zamestnanca</w:t>
            </w:r>
            <w:r>
              <w:rPr>
                <w:rFonts w:ascii="Verdana" w:hAnsi="Verdana"/>
                <w:i/>
                <w:iCs/>
                <w:sz w:val="20"/>
                <w:szCs w:val="20"/>
                <w:lang w:val="sk-SK"/>
              </w:rPr>
              <w:t xml:space="preserve"> odvádzaná do zdravotnej poisťovne spolu za zamestnanca a zamestnávateľa (v % hrubej mzdy).</w:t>
            </w:r>
          </w:p>
          <w:p w:rsidR="005C3F63" w:rsidRDefault="006536E7">
            <w:pPr>
              <w:jc w:val="left"/>
              <w:rPr>
                <w:rFonts w:ascii="Verdana" w:hAnsi="Verdana"/>
                <w:sz w:val="20"/>
                <w:szCs w:val="20"/>
                <w:lang w:val="sk-SK"/>
              </w:rPr>
            </w:pPr>
            <w:r>
              <w:rPr>
                <w:rFonts w:ascii="Verdana" w:hAnsi="Verdana"/>
                <w:sz w:val="20"/>
                <w:szCs w:val="20"/>
                <w:lang w:val="sk-SK"/>
              </w:rPr>
              <w:t>(4% + 10% = 14) % hrubej mzdy</w:t>
            </w:r>
          </w:p>
          <w:p w:rsidR="005C3F63" w:rsidRDefault="006536E7">
            <w:pPr>
              <w:jc w:val="left"/>
              <w:rPr>
                <w:rFonts w:ascii="Verdana" w:hAnsi="Verdana"/>
                <w:b/>
                <w:sz w:val="20"/>
                <w:szCs w:val="20"/>
                <w:lang w:val="sk-SK"/>
              </w:rPr>
            </w:pPr>
            <w:r>
              <w:rPr>
                <w:rFonts w:ascii="Verdana" w:hAnsi="Verdana"/>
                <w:b/>
                <w:sz w:val="20"/>
                <w:szCs w:val="20"/>
                <w:lang w:val="sk-SK"/>
              </w:rPr>
              <w:t>Min. nie je určené</w:t>
            </w:r>
          </w:p>
          <w:p w:rsidR="005C3F63" w:rsidRDefault="006536E7">
            <w:pPr>
              <w:jc w:val="left"/>
              <w:rPr>
                <w:rFonts w:ascii="Verdana" w:hAnsi="Verdana"/>
                <w:sz w:val="20"/>
                <w:szCs w:val="20"/>
                <w:lang w:val="sk-SK"/>
              </w:rPr>
            </w:pPr>
            <w:r>
              <w:rPr>
                <w:rFonts w:ascii="Verdana" w:hAnsi="Verdana"/>
                <w:b/>
                <w:sz w:val="20"/>
                <w:szCs w:val="20"/>
                <w:lang w:val="sk-SK"/>
              </w:rPr>
              <w:t>Max. nie je určené</w:t>
            </w:r>
            <w:r>
              <w:rPr>
                <w:rFonts w:ascii="Verdana" w:hAnsi="Verdana"/>
                <w:sz w:val="20"/>
                <w:szCs w:val="20"/>
                <w:lang w:val="sk-SK"/>
              </w:rPr>
              <w:t xml:space="preserve"> </w:t>
            </w:r>
          </w:p>
        </w:tc>
        <w:tc>
          <w:tcPr>
            <w:tcW w:w="2410" w:type="dxa"/>
            <w:tcBorders>
              <w:top w:val="double" w:sz="4" w:space="0" w:color="auto"/>
              <w:left w:val="nil"/>
              <w:bottom w:val="single" w:sz="4" w:space="0" w:color="auto"/>
              <w:right w:val="nil"/>
            </w:tcBorders>
            <w:shd w:val="clear" w:color="auto" w:fill="FFFFFF"/>
          </w:tcPr>
          <w:p w:rsidR="005C3F63" w:rsidRDefault="006536E7">
            <w:pPr>
              <w:jc w:val="left"/>
              <w:rPr>
                <w:rFonts w:ascii="Verdana" w:hAnsi="Verdana"/>
                <w:i/>
                <w:iCs/>
                <w:sz w:val="20"/>
                <w:szCs w:val="20"/>
                <w:lang w:val="sk-SK"/>
              </w:rPr>
            </w:pPr>
            <w:r>
              <w:rPr>
                <w:rFonts w:ascii="Verdana" w:hAnsi="Verdana"/>
                <w:b/>
                <w:i/>
                <w:iCs/>
                <w:sz w:val="20"/>
                <w:szCs w:val="20"/>
                <w:lang w:val="sk-SK"/>
              </w:rPr>
              <w:t>34,6 % z hrubej mzdy zamestnanca</w:t>
            </w:r>
            <w:r>
              <w:rPr>
                <w:rFonts w:ascii="Verdana" w:hAnsi="Verdana"/>
                <w:i/>
                <w:iCs/>
                <w:sz w:val="20"/>
                <w:szCs w:val="20"/>
                <w:lang w:val="sk-SK"/>
              </w:rPr>
              <w:t xml:space="preserve"> odvádzaná do Sociálnej poisťovne spolu za zamestnanca a zamestnávateľa (v </w:t>
            </w:r>
          </w:p>
          <w:p w:rsidR="005C3F63" w:rsidRDefault="006536E7">
            <w:pPr>
              <w:jc w:val="left"/>
              <w:rPr>
                <w:rFonts w:ascii="Verdana" w:hAnsi="Verdana"/>
                <w:i/>
                <w:iCs/>
                <w:sz w:val="20"/>
                <w:szCs w:val="20"/>
                <w:lang w:val="sk-SK"/>
              </w:rPr>
            </w:pPr>
            <w:r>
              <w:rPr>
                <w:rFonts w:ascii="Verdana" w:hAnsi="Verdana"/>
                <w:i/>
                <w:iCs/>
                <w:sz w:val="20"/>
                <w:szCs w:val="20"/>
                <w:lang w:val="sk-SK"/>
              </w:rPr>
              <w:t>% hrubej mzdy).</w:t>
            </w:r>
          </w:p>
          <w:p w:rsidR="005C3F63" w:rsidRDefault="006536E7">
            <w:pPr>
              <w:jc w:val="left"/>
              <w:rPr>
                <w:rFonts w:ascii="Verdana" w:hAnsi="Verdana"/>
                <w:sz w:val="20"/>
                <w:szCs w:val="20"/>
                <w:lang w:val="sk-SK"/>
              </w:rPr>
            </w:pPr>
            <w:r>
              <w:rPr>
                <w:rFonts w:ascii="Verdana" w:hAnsi="Verdana"/>
                <w:sz w:val="20"/>
                <w:szCs w:val="20"/>
                <w:lang w:val="sk-SK"/>
              </w:rPr>
              <w:t>(9,4% + 25,2% = 34,6) % hrubej mzdy</w:t>
            </w:r>
          </w:p>
          <w:p w:rsidR="005C3F63" w:rsidRDefault="006536E7">
            <w:pPr>
              <w:jc w:val="left"/>
              <w:rPr>
                <w:rFonts w:ascii="Verdana" w:hAnsi="Verdana"/>
                <w:b/>
                <w:sz w:val="20"/>
                <w:szCs w:val="20"/>
                <w:lang w:val="sk-SK"/>
              </w:rPr>
            </w:pPr>
            <w:r>
              <w:rPr>
                <w:rFonts w:ascii="Verdana" w:hAnsi="Verdana"/>
                <w:b/>
                <w:sz w:val="20"/>
                <w:szCs w:val="20"/>
                <w:lang w:val="sk-SK"/>
              </w:rPr>
              <w:t>Min. nie je určené</w:t>
            </w:r>
          </w:p>
          <w:p w:rsidR="005C3F63" w:rsidRDefault="006536E7">
            <w:pPr>
              <w:jc w:val="left"/>
              <w:rPr>
                <w:rFonts w:ascii="Verdana" w:hAnsi="Verdana"/>
                <w:sz w:val="20"/>
                <w:szCs w:val="20"/>
                <w:lang w:val="sk-SK"/>
              </w:rPr>
            </w:pPr>
            <w:r>
              <w:rPr>
                <w:rFonts w:ascii="Verdana" w:hAnsi="Verdana"/>
                <w:b/>
                <w:sz w:val="20"/>
                <w:szCs w:val="20"/>
                <w:lang w:val="sk-SK"/>
              </w:rPr>
              <w:t>Max. 2 453,48 eur</w:t>
            </w:r>
          </w:p>
        </w:tc>
        <w:tc>
          <w:tcPr>
            <w:tcW w:w="2517" w:type="dxa"/>
            <w:tcBorders>
              <w:top w:val="double" w:sz="4" w:space="0" w:color="auto"/>
              <w:left w:val="nil"/>
              <w:bottom w:val="single" w:sz="4" w:space="0" w:color="auto"/>
              <w:right w:val="nil"/>
            </w:tcBorders>
            <w:shd w:val="clear" w:color="auto" w:fill="FFFFFF"/>
          </w:tcPr>
          <w:p w:rsidR="005C3F63" w:rsidRDefault="006536E7">
            <w:pPr>
              <w:jc w:val="left"/>
              <w:rPr>
                <w:rFonts w:ascii="Verdana" w:hAnsi="Verdana"/>
                <w:i/>
                <w:iCs/>
                <w:sz w:val="20"/>
                <w:szCs w:val="20"/>
                <w:lang w:val="sk-SK"/>
              </w:rPr>
            </w:pPr>
            <w:r>
              <w:rPr>
                <w:rFonts w:ascii="Verdana" w:hAnsi="Verdana"/>
                <w:i/>
                <w:iCs/>
                <w:sz w:val="20"/>
                <w:szCs w:val="20"/>
                <w:lang w:val="sk-SK"/>
              </w:rPr>
              <w:t xml:space="preserve">Náklady na zamestnanca -Celková suma hrubej mzdy plus náklady na zákonné sociálne a zdravotné poistenie platené zamestnávateľom (v % hrubej mzdy) sú </w:t>
            </w:r>
          </w:p>
          <w:p w:rsidR="005C3F63" w:rsidRDefault="006536E7">
            <w:pPr>
              <w:jc w:val="left"/>
              <w:rPr>
                <w:rFonts w:ascii="Verdana" w:hAnsi="Verdana"/>
                <w:b/>
                <w:sz w:val="20"/>
                <w:szCs w:val="20"/>
                <w:lang w:val="sk-SK"/>
              </w:rPr>
            </w:pPr>
            <w:r>
              <w:rPr>
                <w:rFonts w:ascii="Verdana" w:hAnsi="Verdana"/>
                <w:b/>
                <w:sz w:val="20"/>
                <w:szCs w:val="20"/>
                <w:lang w:val="sk-SK"/>
              </w:rPr>
              <w:t>135,2 % hrubej mzdy (t. j. cena práce/superhrubá mzda)</w:t>
            </w:r>
          </w:p>
          <w:p w:rsidR="005C3F63" w:rsidRDefault="006536E7">
            <w:pPr>
              <w:jc w:val="left"/>
              <w:rPr>
                <w:rFonts w:ascii="Verdana" w:hAnsi="Verdana"/>
                <w:b/>
                <w:sz w:val="20"/>
                <w:szCs w:val="20"/>
                <w:lang w:val="sk-SK"/>
              </w:rPr>
            </w:pPr>
            <w:r>
              <w:rPr>
                <w:rFonts w:ascii="Verdana" w:hAnsi="Verdana"/>
                <w:b/>
                <w:sz w:val="20"/>
                <w:szCs w:val="20"/>
                <w:lang w:val="sk-SK"/>
              </w:rPr>
              <w:t>Mzda po odpočítaní odvodov je 86,6% hrubej mzdy</w:t>
            </w:r>
          </w:p>
        </w:tc>
      </w:tr>
      <w:tr w:rsidR="005C3F63">
        <w:tc>
          <w:tcPr>
            <w:tcW w:w="1951" w:type="dxa"/>
            <w:tcBorders>
              <w:top w:val="single" w:sz="4" w:space="0" w:color="auto"/>
              <w:bottom w:val="single" w:sz="4" w:space="0" w:color="auto"/>
            </w:tcBorders>
            <w:shd w:val="clear" w:color="auto" w:fill="FFFFFF"/>
          </w:tcPr>
          <w:p w:rsidR="005C3F63" w:rsidRDefault="006536E7">
            <w:pPr>
              <w:jc w:val="left"/>
              <w:rPr>
                <w:rFonts w:ascii="Verdana" w:hAnsi="Verdana"/>
                <w:b/>
                <w:sz w:val="20"/>
                <w:szCs w:val="20"/>
                <w:lang w:val="sk-SK"/>
              </w:rPr>
            </w:pPr>
            <w:r>
              <w:rPr>
                <w:rFonts w:ascii="Verdana" w:hAnsi="Verdana"/>
                <w:b/>
                <w:sz w:val="20"/>
                <w:szCs w:val="20"/>
                <w:lang w:val="sk-SK"/>
              </w:rPr>
              <w:t>Podnikateľ SZČO</w:t>
            </w:r>
          </w:p>
        </w:tc>
        <w:tc>
          <w:tcPr>
            <w:tcW w:w="2410" w:type="dxa"/>
            <w:tcBorders>
              <w:top w:val="single" w:sz="4" w:space="0" w:color="auto"/>
              <w:bottom w:val="single" w:sz="4" w:space="0" w:color="auto"/>
            </w:tcBorders>
            <w:shd w:val="clear" w:color="auto" w:fill="FFFFFF"/>
          </w:tcPr>
          <w:p w:rsidR="005C3F63" w:rsidRDefault="006536E7">
            <w:pPr>
              <w:jc w:val="left"/>
              <w:rPr>
                <w:rFonts w:ascii="Verdana" w:hAnsi="Verdana"/>
                <w:b/>
                <w:sz w:val="20"/>
                <w:szCs w:val="20"/>
                <w:lang w:val="sk-SK"/>
              </w:rPr>
            </w:pPr>
            <w:r>
              <w:rPr>
                <w:rFonts w:ascii="Verdana" w:hAnsi="Verdana"/>
                <w:b/>
                <w:sz w:val="20"/>
                <w:szCs w:val="20"/>
                <w:lang w:val="sk-SK"/>
              </w:rPr>
              <w:t>14% zo skutočného vymeriavacieho základu</w:t>
            </w:r>
          </w:p>
          <w:p w:rsidR="005C3F63" w:rsidRDefault="006536E7">
            <w:pPr>
              <w:jc w:val="left"/>
              <w:rPr>
                <w:rFonts w:ascii="Verdana" w:hAnsi="Verdana"/>
                <w:b/>
                <w:sz w:val="20"/>
                <w:szCs w:val="20"/>
                <w:lang w:val="sk-SK"/>
              </w:rPr>
            </w:pPr>
            <w:r>
              <w:rPr>
                <w:rFonts w:ascii="Verdana" w:hAnsi="Verdana"/>
                <w:b/>
                <w:sz w:val="20"/>
                <w:szCs w:val="20"/>
                <w:lang w:val="sk-SK"/>
              </w:rPr>
              <w:t>Min 70,91 eur</w:t>
            </w:r>
          </w:p>
          <w:p w:rsidR="005C3F63" w:rsidRDefault="006536E7">
            <w:pPr>
              <w:jc w:val="left"/>
              <w:rPr>
                <w:rFonts w:ascii="Verdana" w:hAnsi="Verdana"/>
                <w:sz w:val="20"/>
                <w:szCs w:val="20"/>
                <w:lang w:val="sk-SK"/>
              </w:rPr>
            </w:pPr>
            <w:r>
              <w:rPr>
                <w:rFonts w:ascii="Verdana" w:hAnsi="Verdana"/>
                <w:b/>
                <w:sz w:val="20"/>
                <w:szCs w:val="20"/>
                <w:lang w:val="sk-SK"/>
              </w:rPr>
              <w:t>Max. nie je určené</w:t>
            </w:r>
          </w:p>
        </w:tc>
        <w:tc>
          <w:tcPr>
            <w:tcW w:w="2410" w:type="dxa"/>
            <w:tcBorders>
              <w:top w:val="single" w:sz="4" w:space="0" w:color="auto"/>
              <w:bottom w:val="single" w:sz="4" w:space="0" w:color="auto"/>
            </w:tcBorders>
            <w:shd w:val="clear" w:color="auto" w:fill="FFFFFF"/>
          </w:tcPr>
          <w:p w:rsidR="005C3F63" w:rsidRDefault="006536E7">
            <w:pPr>
              <w:jc w:val="left"/>
              <w:rPr>
                <w:rFonts w:ascii="Verdana" w:hAnsi="Verdana"/>
                <w:b/>
                <w:sz w:val="20"/>
                <w:szCs w:val="20"/>
                <w:lang w:val="sk-SK"/>
              </w:rPr>
            </w:pPr>
            <w:r>
              <w:rPr>
                <w:rFonts w:ascii="Verdana" w:hAnsi="Verdana"/>
                <w:b/>
                <w:sz w:val="20"/>
                <w:szCs w:val="20"/>
                <w:lang w:val="sk-SK"/>
              </w:rPr>
              <w:t>33,15% zo skutočného vymeriavacieho základu</w:t>
            </w:r>
          </w:p>
          <w:p w:rsidR="005C3F63" w:rsidRDefault="006536E7">
            <w:pPr>
              <w:jc w:val="left"/>
              <w:rPr>
                <w:rFonts w:ascii="Verdana" w:hAnsi="Verdana"/>
                <w:sz w:val="20"/>
                <w:szCs w:val="20"/>
                <w:lang w:val="sk-SK"/>
              </w:rPr>
            </w:pPr>
            <w:r>
              <w:rPr>
                <w:rFonts w:ascii="Verdana" w:hAnsi="Verdana"/>
                <w:b/>
                <w:sz w:val="20"/>
                <w:szCs w:val="20"/>
                <w:lang w:val="sk-SK"/>
              </w:rPr>
              <w:t>Min. 167,89 Max. 2 453,48 eur</w:t>
            </w:r>
          </w:p>
        </w:tc>
        <w:tc>
          <w:tcPr>
            <w:tcW w:w="2517" w:type="dxa"/>
            <w:tcBorders>
              <w:top w:val="single" w:sz="4" w:space="0" w:color="auto"/>
              <w:bottom w:val="single" w:sz="4" w:space="0" w:color="auto"/>
            </w:tcBorders>
            <w:shd w:val="clear" w:color="auto" w:fill="FFFFFF"/>
          </w:tcPr>
          <w:p w:rsidR="005C3F63" w:rsidRDefault="006536E7">
            <w:pPr>
              <w:jc w:val="left"/>
              <w:rPr>
                <w:rFonts w:ascii="Verdana" w:hAnsi="Verdana"/>
                <w:b/>
                <w:sz w:val="20"/>
                <w:szCs w:val="20"/>
                <w:lang w:val="sk-SK"/>
              </w:rPr>
            </w:pPr>
            <w:r>
              <w:rPr>
                <w:rFonts w:ascii="Verdana" w:hAnsi="Verdana"/>
                <w:b/>
                <w:sz w:val="20"/>
                <w:szCs w:val="20"/>
                <w:lang w:val="sk-SK"/>
              </w:rPr>
              <w:t>Skutočný vymeriavací základ znížený o odvody - 52,85% vymeriavacieho základu</w:t>
            </w:r>
          </w:p>
        </w:tc>
      </w:tr>
    </w:tbl>
    <w:p w:rsidR="005C3F63" w:rsidRDefault="006536E7">
      <w:pPr>
        <w:spacing w:after="120"/>
        <w:rPr>
          <w:rFonts w:ascii="Verdana" w:hAnsi="Verdana"/>
          <w:sz w:val="20"/>
          <w:szCs w:val="20"/>
          <w:lang w:val="sk-SK"/>
        </w:rPr>
      </w:pPr>
      <w:r>
        <w:rPr>
          <w:rFonts w:ascii="Verdana" w:hAnsi="Verdana"/>
          <w:sz w:val="18"/>
          <w:szCs w:val="18"/>
          <w:lang w:val="sk-SK"/>
        </w:rPr>
        <w:t>Zdroj: vlastné spracovanie</w:t>
      </w:r>
    </w:p>
    <w:p w:rsidR="005C3F63" w:rsidRDefault="006536E7">
      <w:pPr>
        <w:pStyle w:val="Kapitola"/>
        <w:rPr>
          <w:lang w:val="sk-SK"/>
        </w:rPr>
      </w:pPr>
      <w:r>
        <w:rPr>
          <w:lang w:val="sk-SK"/>
        </w:rPr>
        <w:t>Záver / Conclusions</w:t>
      </w:r>
    </w:p>
    <w:p w:rsidR="005C3F63" w:rsidRDefault="006536E7">
      <w:pPr>
        <w:spacing w:after="120"/>
        <w:rPr>
          <w:rFonts w:ascii="Verdana" w:hAnsi="Verdana"/>
          <w:sz w:val="20"/>
          <w:szCs w:val="20"/>
          <w:lang w:val="sk-SK"/>
        </w:rPr>
      </w:pPr>
      <w:r>
        <w:rPr>
          <w:rFonts w:ascii="Verdana" w:hAnsi="Verdana"/>
          <w:sz w:val="20"/>
          <w:szCs w:val="20"/>
          <w:lang w:val="sk-SK"/>
        </w:rPr>
        <w:t xml:space="preserve">Z uvedenej analýzy vyplýva, že uskutočňovanie činnosti, ktorú je možné v SR bez problémov vykonávať bez osobitných obmedzení (napr. na základe zákonníka práce) aj ako zamestnanec aj ako podnikateľ SZČO je, z pohľadu nákladov/výdavkov spojených so zákonnou odvodovou povinnosťou, výhodnejšie v porovnaní s vykonávaním činnosti ako zamestnanec, ak sú mesačné vymeriavacie základy také, aby sa nemuseli uplatniť minimálne sumy na zákonné sociálne a zdravotné poistenie, t.j. ak presahujú sumu 506,50 eur, vzhľadom na to, že vymeriavací základ viazaný na tú istú vykonanú činnosť, je spravidla nižší ako príslušná priznaná hrubá mzda zamestnanca, keďže sa postupuje podľa zákon(resp. paušálne) výdavky na uskutočnenie zdaniteľných príjmov, čo si zamestnanec uplatniť z hrubej mzdy nemôže, lebo vznikajúce náklady pri uskutočňovaní tejto činnosti sú nákladom zamestnávateľa. Podnikanie je tiež z tohto pohľadu výhodné na začiatku podnikania, kedy nie je povinnosť platiť zákonné sociálne poistenie prvých pár mesiacov (min. 6 mesiacov), keďže povinnosť platenia odvodov sa posudzuje k 1. júlu nasledujúceho roka. Výhoda uskutočňovania činnosti formou zamestnania je tá, že sa zamestnanec nemusí starať o súvisiace administratívne náležitosti, ani o výpočet a </w:t>
      </w:r>
      <w:r>
        <w:rPr>
          <w:rFonts w:ascii="Verdana" w:hAnsi="Verdana"/>
          <w:sz w:val="20"/>
          <w:szCs w:val="20"/>
          <w:lang w:val="sk-SK"/>
        </w:rPr>
        <w:lastRenderedPageBreak/>
        <w:t>odvod poistného do poisťovní, kdeže to je povinnosťou zamestnávateľa a zamestnanec na svoj účet mesačne dostane vyplatenú až čistú mzdu. Vzhľadom na ďalšie faktory, ktoré ovplyvňujú celkový čistý mesačný príjem pri vykonávanej činnosti, môžu byť tieto okolnosti predmetom ďalšej analýzy a výskumu na konkrétnych prípadových štúdiách.</w:t>
      </w:r>
    </w:p>
    <w:p w:rsidR="005C3F63" w:rsidRDefault="006536E7">
      <w:pPr>
        <w:pStyle w:val="Kapitola"/>
        <w:rPr>
          <w:lang w:val="sk-SK"/>
        </w:rPr>
      </w:pPr>
      <w:r>
        <w:rPr>
          <w:lang w:val="sk-SK"/>
        </w:rPr>
        <w:t>Príslušnosť ku grantovej úlohe / Acknowledgements</w:t>
      </w:r>
    </w:p>
    <w:p w:rsidR="005C3F63" w:rsidRDefault="006536E7">
      <w:pPr>
        <w:spacing w:after="120"/>
        <w:rPr>
          <w:rFonts w:ascii="Verdana" w:hAnsi="Verdana"/>
          <w:sz w:val="20"/>
          <w:szCs w:val="20"/>
          <w:lang w:val="sk-SK"/>
        </w:rPr>
      </w:pPr>
      <w:r>
        <w:rPr>
          <w:rFonts w:ascii="Verdana" w:hAnsi="Verdana"/>
          <w:sz w:val="20"/>
          <w:szCs w:val="20"/>
          <w:lang w:val="sk-SK"/>
        </w:rPr>
        <w:t xml:space="preserve">Príspevok bol spracovaný ako jeden z výstupov riešenia projektu APVV č. APVV-16-0602 „Zvyšovanie relevantnosti účtovných informácií v SR - od nákladov k hodnote“. </w:t>
      </w:r>
    </w:p>
    <w:p w:rsidR="005C3F63" w:rsidRDefault="006536E7">
      <w:pPr>
        <w:pStyle w:val="Kapitola"/>
        <w:rPr>
          <w:lang w:val="sk-SK"/>
        </w:rPr>
      </w:pPr>
      <w:r>
        <w:rPr>
          <w:lang w:val="sk-SK"/>
        </w:rPr>
        <w:t>Literárne zdroje a iné odkazy / Resources</w:t>
      </w:r>
    </w:p>
    <w:p w:rsidR="005C3F63" w:rsidRDefault="006536E7">
      <w:pPr>
        <w:pStyle w:val="aff"/>
        <w:rPr>
          <w:rFonts w:ascii="Verdana" w:hAnsi="Verdana"/>
          <w:sz w:val="20"/>
          <w:szCs w:val="20"/>
          <w:lang w:val="sk-SK"/>
        </w:rPr>
      </w:pPr>
      <w:r>
        <w:rPr>
          <w:rFonts w:ascii="Verdana" w:hAnsi="Verdana"/>
          <w:sz w:val="20"/>
          <w:szCs w:val="20"/>
          <w:lang w:val="sk-SK"/>
        </w:rPr>
        <w:t xml:space="preserve">Grossmann, V., Strulik, H. (2019). Optimal  Social  Insurance  and Health Inequality, </w:t>
      </w:r>
      <w:r>
        <w:rPr>
          <w:rFonts w:ascii="Verdana" w:hAnsi="Verdana"/>
          <w:i/>
          <w:sz w:val="20"/>
          <w:szCs w:val="20"/>
          <w:lang w:val="sk-SK"/>
        </w:rPr>
        <w:t>GERMAN ECONOMIC REVIEW</w:t>
      </w:r>
      <w:r>
        <w:rPr>
          <w:rFonts w:ascii="Verdana" w:hAnsi="Verdana"/>
          <w:sz w:val="20"/>
          <w:szCs w:val="20"/>
          <w:lang w:val="sk-SK"/>
        </w:rPr>
        <w:t>, 20(</w:t>
      </w:r>
      <w:r>
        <w:rPr>
          <w:rFonts w:ascii="Arial" w:hAnsi="Arial" w:cs="Arial"/>
          <w:sz w:val="20"/>
          <w:szCs w:val="20"/>
          <w:lang w:val="sk-SK"/>
        </w:rPr>
        <w:t>‏</w:t>
      </w:r>
      <w:r>
        <w:rPr>
          <w:rFonts w:ascii="Verdana" w:hAnsi="Verdana"/>
          <w:sz w:val="20"/>
          <w:szCs w:val="20"/>
          <w:lang w:val="sk-SK"/>
        </w:rPr>
        <w:t xml:space="preserve">4) , pp. </w:t>
      </w:r>
      <w:r>
        <w:rPr>
          <w:rFonts w:ascii="Arial" w:hAnsi="Arial" w:cs="Arial"/>
          <w:sz w:val="20"/>
          <w:szCs w:val="20"/>
          <w:lang w:val="sk-SK"/>
        </w:rPr>
        <w:t>‏</w:t>
      </w:r>
      <w:r>
        <w:rPr>
          <w:rFonts w:ascii="Verdana" w:hAnsi="Verdana" w:cs="Verdana"/>
          <w:sz w:val="20"/>
          <w:szCs w:val="20"/>
          <w:lang w:val="sk-SK"/>
        </w:rPr>
        <w:t> </w:t>
      </w:r>
      <w:r>
        <w:rPr>
          <w:rFonts w:ascii="Verdana" w:hAnsi="Verdana"/>
          <w:sz w:val="20"/>
          <w:szCs w:val="20"/>
          <w:lang w:val="sk-SK"/>
        </w:rPr>
        <w:t>E913-E948.</w:t>
      </w:r>
    </w:p>
    <w:p w:rsidR="005C3F63" w:rsidRDefault="006536E7">
      <w:pPr>
        <w:pStyle w:val="aff"/>
        <w:rPr>
          <w:rFonts w:ascii="Verdana" w:hAnsi="Verdana"/>
          <w:sz w:val="20"/>
          <w:szCs w:val="20"/>
          <w:lang w:val="sk-SK"/>
        </w:rPr>
      </w:pPr>
      <w:r>
        <w:rPr>
          <w:rFonts w:ascii="Verdana" w:hAnsi="Verdana"/>
          <w:sz w:val="20"/>
          <w:szCs w:val="20"/>
          <w:lang w:val="sk-SK"/>
        </w:rPr>
        <w:t xml:space="preserve">Henke, Klaus-Dirk. (2007). The future of private and public health insurance in Germany. </w:t>
      </w:r>
      <w:r>
        <w:rPr>
          <w:rFonts w:ascii="Verdana" w:hAnsi="Verdana"/>
          <w:i/>
          <w:sz w:val="20"/>
          <w:szCs w:val="20"/>
          <w:lang w:val="sk-SK"/>
        </w:rPr>
        <w:t>JAHRBUCHER FUR NATIONALOKONOMIE UND STATISTIK.</w:t>
      </w:r>
      <w:r>
        <w:rPr>
          <w:rFonts w:ascii="Verdana" w:hAnsi="Verdana"/>
          <w:sz w:val="20"/>
          <w:szCs w:val="20"/>
          <w:lang w:val="sk-SK"/>
        </w:rPr>
        <w:t xml:space="preserve"> 227(5-6), pp. 502-528.</w:t>
      </w:r>
    </w:p>
    <w:p w:rsidR="005C3F63" w:rsidRDefault="006536E7">
      <w:pPr>
        <w:pStyle w:val="aff"/>
        <w:rPr>
          <w:rFonts w:ascii="Verdana" w:hAnsi="Verdana"/>
          <w:sz w:val="20"/>
          <w:szCs w:val="20"/>
          <w:lang w:val="sk-SK"/>
        </w:rPr>
      </w:pPr>
      <w:r>
        <w:rPr>
          <w:rFonts w:ascii="Verdana" w:hAnsi="Verdana"/>
          <w:sz w:val="20"/>
          <w:szCs w:val="20"/>
          <w:lang w:val="sk-SK"/>
        </w:rPr>
        <w:t xml:space="preserve">Kreider, B (1999) Social security disability insurance: Applications, awards, and lifetime income flows. </w:t>
      </w:r>
      <w:r>
        <w:rPr>
          <w:rFonts w:ascii="Verdana" w:hAnsi="Verdana"/>
          <w:i/>
          <w:sz w:val="20"/>
          <w:szCs w:val="20"/>
          <w:lang w:val="sk-SK"/>
        </w:rPr>
        <w:t>JOURNAL OF LABOR ECONOMICS</w:t>
      </w:r>
      <w:r>
        <w:rPr>
          <w:rFonts w:ascii="Verdana" w:hAnsi="Verdana"/>
          <w:sz w:val="20"/>
          <w:szCs w:val="20"/>
          <w:lang w:val="sk-SK"/>
        </w:rPr>
        <w:t>. 17(4/1), pp.‏ 784-827.</w:t>
      </w:r>
    </w:p>
    <w:p w:rsidR="005C3F63" w:rsidRDefault="006536E7">
      <w:pPr>
        <w:pStyle w:val="aff"/>
        <w:rPr>
          <w:rFonts w:ascii="Verdana" w:hAnsi="Verdana"/>
          <w:sz w:val="20"/>
          <w:szCs w:val="20"/>
          <w:lang w:val="sk-SK"/>
        </w:rPr>
      </w:pPr>
      <w:r>
        <w:rPr>
          <w:rFonts w:ascii="Verdana" w:hAnsi="Verdana"/>
          <w:sz w:val="20"/>
          <w:szCs w:val="20"/>
          <w:lang w:val="sk-SK"/>
        </w:rPr>
        <w:t xml:space="preserve">Mazurek, E. (2014). </w:t>
      </w:r>
      <w:hyperlink r:id="rId207" w:tgtFrame="_blank" w:history="1">
        <w:r>
          <w:rPr>
            <w:rFonts w:ascii="Verdana" w:hAnsi="Verdana"/>
            <w:sz w:val="20"/>
            <w:szCs w:val="20"/>
            <w:lang w:val="sk-SK"/>
          </w:rPr>
          <w:t>THE INCOME TAX PROGRESION DEPENDING ON SOCIAL INSURANCE CONTRIBUTIONS IN POLAND</w:t>
        </w:r>
      </w:hyperlink>
      <w:r>
        <w:rPr>
          <w:rFonts w:ascii="Verdana" w:hAnsi="Verdana"/>
          <w:sz w:val="20"/>
          <w:szCs w:val="20"/>
          <w:lang w:val="sk-SK"/>
        </w:rPr>
        <w:t xml:space="preserve">. In: </w:t>
      </w:r>
      <w:r>
        <w:rPr>
          <w:rFonts w:ascii="Verdana" w:hAnsi="Verdana"/>
          <w:i/>
          <w:sz w:val="20"/>
          <w:szCs w:val="20"/>
          <w:lang w:val="sk-SK"/>
        </w:rPr>
        <w:t xml:space="preserve">Conference: 17th International Conference on Applications of Mathematics and Statistics in Economics (AMSE) Location: Jerzmanowice, POLAND , Date: </w:t>
      </w:r>
      <w:r>
        <w:rPr>
          <w:rFonts w:ascii="Arial" w:hAnsi="Arial" w:cs="Arial"/>
          <w:i/>
          <w:sz w:val="20"/>
          <w:szCs w:val="20"/>
          <w:lang w:val="sk-SK"/>
        </w:rPr>
        <w:t>‏</w:t>
      </w:r>
      <w:r>
        <w:rPr>
          <w:rFonts w:ascii="Verdana" w:hAnsi="Verdana" w:cs="Verdana"/>
          <w:i/>
          <w:sz w:val="20"/>
          <w:szCs w:val="20"/>
          <w:lang w:val="sk-SK"/>
        </w:rPr>
        <w:t> </w:t>
      </w:r>
      <w:r>
        <w:rPr>
          <w:rFonts w:ascii="Verdana" w:hAnsi="Verdana"/>
          <w:i/>
          <w:sz w:val="20"/>
          <w:szCs w:val="20"/>
          <w:lang w:val="sk-SK"/>
        </w:rPr>
        <w:t>AUG 27-31, 2014. Wroclaw Univ Econ; Matej Bel Univ Banska Bystrica; Univ Econ APPLICATIONS OF MATHEMATICS AND STATISTICS IN ECONOMICS</w:t>
      </w:r>
      <w:r>
        <w:rPr>
          <w:rFonts w:ascii="Verdana" w:hAnsi="Verdana"/>
          <w:sz w:val="20"/>
          <w:szCs w:val="20"/>
          <w:lang w:val="sk-SK"/>
        </w:rPr>
        <w:t xml:space="preserve"> , pp.: </w:t>
      </w:r>
      <w:r>
        <w:rPr>
          <w:rFonts w:ascii="Arial" w:hAnsi="Arial" w:cs="Arial"/>
          <w:sz w:val="20"/>
          <w:szCs w:val="20"/>
          <w:lang w:val="sk-SK"/>
        </w:rPr>
        <w:t>‏</w:t>
      </w:r>
      <w:r>
        <w:rPr>
          <w:rFonts w:ascii="Verdana" w:hAnsi="Verdana" w:cs="Verdana"/>
          <w:sz w:val="20"/>
          <w:szCs w:val="20"/>
          <w:lang w:val="sk-SK"/>
        </w:rPr>
        <w:t> </w:t>
      </w:r>
      <w:r>
        <w:rPr>
          <w:rFonts w:ascii="Verdana" w:hAnsi="Verdana"/>
          <w:sz w:val="20"/>
          <w:szCs w:val="20"/>
          <w:lang w:val="sk-SK"/>
        </w:rPr>
        <w:t>190-199.</w:t>
      </w:r>
    </w:p>
    <w:p w:rsidR="005C3F63" w:rsidRDefault="006536E7">
      <w:pPr>
        <w:pStyle w:val="aff"/>
        <w:rPr>
          <w:rFonts w:ascii="Verdana" w:hAnsi="Verdana"/>
          <w:i/>
          <w:sz w:val="20"/>
          <w:szCs w:val="20"/>
          <w:lang w:val="sk-SK"/>
        </w:rPr>
      </w:pPr>
      <w:r>
        <w:rPr>
          <w:rFonts w:ascii="Verdana" w:hAnsi="Verdana"/>
          <w:sz w:val="20"/>
          <w:szCs w:val="20"/>
          <w:lang w:val="sk-SK"/>
        </w:rPr>
        <w:t xml:space="preserve">Pavelka , T., Skala, M., Cadil, J. (2014) SELECTED ISSUES OF THE MINIMUM WAGE IN THE CZECH REPUBLIC. </w:t>
      </w:r>
      <w:r>
        <w:rPr>
          <w:rFonts w:ascii="Verdana" w:hAnsi="Verdana"/>
          <w:i/>
          <w:sz w:val="20"/>
          <w:szCs w:val="20"/>
          <w:lang w:val="sk-SK"/>
        </w:rPr>
        <w:t>E &amp; M EKONOMIE A MANAGEMENT</w:t>
      </w:r>
      <w:r>
        <w:rPr>
          <w:rFonts w:ascii="Verdana" w:hAnsi="Verdana"/>
          <w:sz w:val="20"/>
          <w:szCs w:val="20"/>
          <w:lang w:val="sk-SK"/>
        </w:rPr>
        <w:t>. 17(4), pp. 30-45.</w:t>
      </w:r>
    </w:p>
    <w:p w:rsidR="005C3F63" w:rsidRDefault="006536E7">
      <w:pPr>
        <w:pStyle w:val="aff"/>
        <w:rPr>
          <w:rFonts w:ascii="Verdana" w:hAnsi="Verdana"/>
          <w:sz w:val="20"/>
          <w:szCs w:val="20"/>
          <w:lang w:val="sk-SK"/>
        </w:rPr>
      </w:pPr>
      <w:r>
        <w:rPr>
          <w:rFonts w:ascii="Verdana" w:hAnsi="Verdana"/>
          <w:sz w:val="20"/>
          <w:szCs w:val="20"/>
          <w:lang w:val="sk-SK"/>
        </w:rPr>
        <w:t xml:space="preserve">Stanek, P. (2001). </w:t>
      </w:r>
      <w:hyperlink r:id="rId208" w:tgtFrame="_blank" w:history="1">
        <w:r>
          <w:rPr>
            <w:rFonts w:ascii="Verdana" w:hAnsi="Verdana"/>
            <w:sz w:val="20"/>
            <w:szCs w:val="20"/>
            <w:lang w:val="sk-SK"/>
          </w:rPr>
          <w:t>State budget and the enterprising sphere</w:t>
        </w:r>
      </w:hyperlink>
      <w:r>
        <w:rPr>
          <w:rFonts w:ascii="Verdana" w:hAnsi="Verdana"/>
          <w:sz w:val="20"/>
          <w:szCs w:val="20"/>
          <w:lang w:val="sk-SK"/>
        </w:rPr>
        <w:t xml:space="preserve">. </w:t>
      </w:r>
      <w:hyperlink r:id="rId209" w:tgtFrame="_blank" w:history="1">
        <w:r>
          <w:rPr>
            <w:rFonts w:ascii="Verdana" w:hAnsi="Verdana"/>
            <w:i/>
            <w:sz w:val="20"/>
            <w:szCs w:val="20"/>
            <w:lang w:val="sk-SK"/>
          </w:rPr>
          <w:t xml:space="preserve">EKONOMICKY CASOPIS. </w:t>
        </w:r>
      </w:hyperlink>
      <w:r>
        <w:rPr>
          <w:rFonts w:ascii="Verdana" w:hAnsi="Verdana"/>
          <w:sz w:val="20"/>
          <w:szCs w:val="20"/>
          <w:lang w:val="sk-SK"/>
        </w:rPr>
        <w:t xml:space="preserve">49(3), pp. </w:t>
      </w:r>
      <w:r>
        <w:rPr>
          <w:rFonts w:ascii="Arial" w:hAnsi="Arial" w:cs="Arial"/>
          <w:sz w:val="20"/>
          <w:szCs w:val="20"/>
          <w:lang w:val="sk-SK"/>
        </w:rPr>
        <w:t>‏</w:t>
      </w:r>
      <w:r>
        <w:rPr>
          <w:rFonts w:ascii="Verdana" w:hAnsi="Verdana" w:cs="Verdana"/>
          <w:sz w:val="20"/>
          <w:szCs w:val="20"/>
          <w:lang w:val="sk-SK"/>
        </w:rPr>
        <w:t> </w:t>
      </w:r>
      <w:r>
        <w:rPr>
          <w:rFonts w:ascii="Verdana" w:hAnsi="Verdana"/>
          <w:sz w:val="20"/>
          <w:szCs w:val="20"/>
          <w:lang w:val="sk-SK"/>
        </w:rPr>
        <w:t>499-515.</w:t>
      </w:r>
    </w:p>
    <w:p w:rsidR="005C3F63" w:rsidRDefault="006536E7">
      <w:pPr>
        <w:pStyle w:val="aff"/>
        <w:rPr>
          <w:rFonts w:ascii="Verdana" w:hAnsi="Verdana"/>
          <w:sz w:val="20"/>
          <w:szCs w:val="20"/>
          <w:lang w:val="sk-SK"/>
        </w:rPr>
      </w:pPr>
      <w:r>
        <w:rPr>
          <w:rFonts w:ascii="Verdana" w:hAnsi="Verdana"/>
          <w:sz w:val="20"/>
          <w:szCs w:val="20"/>
          <w:lang w:val="sk-SK"/>
        </w:rPr>
        <w:t xml:space="preserve">Zákon o dani z príjmov. </w:t>
      </w:r>
      <w:r>
        <w:rPr>
          <w:rFonts w:ascii="Verdana" w:hAnsi="Verdana"/>
          <w:i/>
          <w:sz w:val="20"/>
          <w:szCs w:val="20"/>
          <w:lang w:val="sk-SK"/>
        </w:rPr>
        <w:t>Zákon č. 595/2003 Z. z. o dani z príjmov</w:t>
      </w:r>
      <w:r>
        <w:rPr>
          <w:rFonts w:ascii="Verdana" w:hAnsi="Verdana"/>
          <w:sz w:val="20"/>
          <w:szCs w:val="20"/>
          <w:lang w:val="sk-SK"/>
        </w:rPr>
        <w:t> v z. n. p. SR, 2020.</w:t>
      </w:r>
    </w:p>
    <w:p w:rsidR="005C3F63" w:rsidRDefault="006536E7">
      <w:pPr>
        <w:pStyle w:val="aff"/>
        <w:rPr>
          <w:rFonts w:ascii="Verdana" w:hAnsi="Verdana"/>
          <w:sz w:val="20"/>
          <w:szCs w:val="20"/>
          <w:lang w:val="sk-SK"/>
        </w:rPr>
      </w:pPr>
      <w:r>
        <w:rPr>
          <w:rFonts w:ascii="Verdana" w:hAnsi="Verdana"/>
          <w:sz w:val="20"/>
          <w:szCs w:val="20"/>
          <w:lang w:val="sk-SK"/>
        </w:rPr>
        <w:t xml:space="preserve">Zákon o minimálnej mzde. </w:t>
      </w:r>
      <w:r>
        <w:rPr>
          <w:rFonts w:ascii="Verdana" w:hAnsi="Verdana"/>
          <w:i/>
          <w:sz w:val="20"/>
          <w:szCs w:val="20"/>
          <w:lang w:val="sk-SK"/>
        </w:rPr>
        <w:t>Zákon č. 663/2007 Z. z. o minimálnej mzde v z.n.p</w:t>
      </w:r>
      <w:r>
        <w:rPr>
          <w:rFonts w:ascii="Verdana" w:hAnsi="Verdana"/>
          <w:sz w:val="20"/>
          <w:szCs w:val="20"/>
          <w:lang w:val="sk-SK"/>
        </w:rPr>
        <w:t>. SR, 2020.</w:t>
      </w:r>
    </w:p>
    <w:p w:rsidR="005C3F63" w:rsidRDefault="006536E7">
      <w:pPr>
        <w:pStyle w:val="aff"/>
        <w:rPr>
          <w:rFonts w:ascii="Verdana" w:hAnsi="Verdana"/>
          <w:sz w:val="20"/>
          <w:szCs w:val="20"/>
          <w:lang w:val="sk-SK"/>
        </w:rPr>
      </w:pPr>
      <w:r>
        <w:rPr>
          <w:rFonts w:ascii="Verdana" w:hAnsi="Verdana"/>
          <w:sz w:val="20"/>
          <w:szCs w:val="20"/>
          <w:lang w:val="sk-SK"/>
        </w:rPr>
        <w:t>Zákon o sociálnom poistení. Zákon č. 461/2003 Z. z. o sociálnom poistení v z. n. p. SR, 2020 .</w:t>
      </w:r>
    </w:p>
    <w:p w:rsidR="005C3F63" w:rsidRDefault="006536E7">
      <w:pPr>
        <w:pStyle w:val="aff"/>
        <w:rPr>
          <w:rFonts w:ascii="Verdana" w:hAnsi="Verdana"/>
          <w:sz w:val="20"/>
          <w:szCs w:val="20"/>
          <w:lang w:val="sk-SK"/>
        </w:rPr>
      </w:pPr>
      <w:r>
        <w:rPr>
          <w:rFonts w:ascii="Verdana" w:hAnsi="Verdana"/>
          <w:sz w:val="20"/>
          <w:szCs w:val="20"/>
          <w:lang w:val="sk-SK"/>
        </w:rPr>
        <w:t>Zákon o zdravotnom poistení. </w:t>
      </w:r>
      <w:r>
        <w:rPr>
          <w:rFonts w:ascii="Verdana" w:hAnsi="Verdana"/>
          <w:i/>
          <w:sz w:val="20"/>
          <w:szCs w:val="20"/>
          <w:lang w:val="sk-SK"/>
        </w:rPr>
        <w:t>Zákon č. 580/2004 Z. z. o zdravotnom poistení a o zmene a doplnení zákona č. 95/2002 Z. z. o poisťovníctve a o zmene a doplnení niektorých zákonov</w:t>
      </w:r>
      <w:r>
        <w:rPr>
          <w:rFonts w:ascii="Verdana" w:hAnsi="Verdana"/>
          <w:sz w:val="20"/>
          <w:szCs w:val="20"/>
          <w:lang w:val="sk-SK"/>
        </w:rPr>
        <w:t xml:space="preserve"> v z. n. p. SR, 2020. </w:t>
      </w:r>
    </w:p>
    <w:p w:rsidR="005C3F63" w:rsidRDefault="006536E7">
      <w:pPr>
        <w:pStyle w:val="aff"/>
        <w:rPr>
          <w:rFonts w:ascii="Verdana" w:hAnsi="Verdana"/>
          <w:sz w:val="20"/>
          <w:szCs w:val="20"/>
          <w:lang w:val="sk-SK"/>
        </w:rPr>
      </w:pPr>
      <w:r>
        <w:rPr>
          <w:rFonts w:ascii="Verdana" w:hAnsi="Verdana"/>
          <w:sz w:val="20"/>
          <w:szCs w:val="20"/>
          <w:lang w:val="sk-SK"/>
        </w:rPr>
        <w:t>Zákon o zdravotnej starostlivosti. </w:t>
      </w:r>
      <w:r>
        <w:rPr>
          <w:rFonts w:ascii="Verdana" w:hAnsi="Verdana"/>
          <w:i/>
          <w:sz w:val="20"/>
          <w:szCs w:val="20"/>
          <w:lang w:val="sk-SK"/>
        </w:rPr>
        <w:t>Zákon č. 576/2004 Z. z. o zdravotnej starostlivosti v z. n. p.</w:t>
      </w:r>
      <w:r>
        <w:rPr>
          <w:rFonts w:ascii="Verdana" w:hAnsi="Verdana"/>
          <w:sz w:val="20"/>
          <w:szCs w:val="20"/>
          <w:lang w:val="sk-SK"/>
        </w:rPr>
        <w:t> SR, 2020. </w:t>
      </w:r>
    </w:p>
    <w:p w:rsidR="005C3F63" w:rsidRDefault="006536E7">
      <w:pPr>
        <w:pStyle w:val="aff"/>
        <w:rPr>
          <w:rFonts w:ascii="Verdana" w:hAnsi="Verdana"/>
          <w:sz w:val="20"/>
          <w:szCs w:val="20"/>
          <w:lang w:val="sk-SK"/>
        </w:rPr>
      </w:pPr>
      <w:r>
        <w:rPr>
          <w:rFonts w:ascii="Verdana" w:hAnsi="Verdana"/>
          <w:sz w:val="20"/>
          <w:szCs w:val="20"/>
          <w:lang w:val="sk-SK"/>
        </w:rPr>
        <w:t>Zákon o  rozsahu zdravotnej starostlivosti uhrádzanej na základe verejného zdravotného poistenia a o úhradách za služby súvisiace s poskytovaním zdravotnej starostlivosti. </w:t>
      </w:r>
      <w:r>
        <w:rPr>
          <w:rFonts w:ascii="Verdana" w:hAnsi="Verdana"/>
          <w:i/>
          <w:sz w:val="20"/>
          <w:szCs w:val="20"/>
          <w:lang w:val="sk-SK"/>
        </w:rPr>
        <w:t>Zákon č. 577/2004 Z. z. v rozsahu zdravotnej starostlivosti uhrádzanej na základe verejného zdravotného poistenia a o úhradách za služby súvisiace s poskytovaním zdravotnej starostlivosti v z. n. p.</w:t>
      </w:r>
      <w:r>
        <w:rPr>
          <w:rFonts w:ascii="Verdana" w:hAnsi="Verdana"/>
          <w:sz w:val="20"/>
          <w:szCs w:val="20"/>
          <w:lang w:val="sk-SK"/>
        </w:rPr>
        <w:t> SR, 2020. </w:t>
      </w:r>
    </w:p>
    <w:p w:rsidR="005C3F63" w:rsidRDefault="006536E7">
      <w:pPr>
        <w:pStyle w:val="aff"/>
        <w:rPr>
          <w:rFonts w:ascii="Verdana" w:hAnsi="Verdana"/>
          <w:sz w:val="20"/>
          <w:szCs w:val="20"/>
          <w:lang w:val="sk-SK"/>
        </w:rPr>
      </w:pPr>
      <w:r>
        <w:rPr>
          <w:rFonts w:ascii="Verdana" w:hAnsi="Verdana"/>
          <w:sz w:val="20"/>
          <w:szCs w:val="20"/>
          <w:lang w:val="sk-SK"/>
        </w:rPr>
        <w:t>Zákon o rozsahu a podmienkach úhrady liekov, zdravotníckych pomôcok a dietetických potravín na základe verejného zdravotného poistenia. </w:t>
      </w:r>
      <w:r>
        <w:rPr>
          <w:rFonts w:ascii="Verdana" w:hAnsi="Verdana"/>
          <w:i/>
          <w:sz w:val="20"/>
          <w:szCs w:val="20"/>
          <w:lang w:val="sk-SK"/>
        </w:rPr>
        <w:t>Zákon č. 363/2011 Z. z. o rozsahu a podmienkach úhrady liekov, zdravotníckych pomôcok a dietetických potravín na základe verejného zdravotného poistenia a o zmene a doplnení niektorých zákonov v z. n. p.</w:t>
      </w:r>
      <w:r>
        <w:rPr>
          <w:rFonts w:ascii="Verdana" w:hAnsi="Verdana"/>
          <w:sz w:val="20"/>
          <w:szCs w:val="20"/>
          <w:lang w:val="sk-SK"/>
        </w:rPr>
        <w:t> SR, 2020.</w:t>
      </w:r>
    </w:p>
    <w:p w:rsidR="005C3F63" w:rsidRDefault="006536E7">
      <w:pPr>
        <w:pStyle w:val="aff"/>
        <w:rPr>
          <w:rFonts w:ascii="Verdana" w:hAnsi="Verdana"/>
          <w:sz w:val="20"/>
          <w:szCs w:val="20"/>
          <w:lang w:val="sk-SK"/>
        </w:rPr>
      </w:pPr>
      <w:r>
        <w:rPr>
          <w:rFonts w:ascii="Verdana" w:hAnsi="Verdana"/>
          <w:sz w:val="20"/>
          <w:szCs w:val="20"/>
          <w:lang w:val="sk-SK"/>
        </w:rPr>
        <w:t xml:space="preserve">Zákonník práce. </w:t>
      </w:r>
      <w:r>
        <w:rPr>
          <w:rFonts w:ascii="Verdana" w:hAnsi="Verdana"/>
          <w:i/>
          <w:sz w:val="20"/>
          <w:szCs w:val="20"/>
          <w:lang w:val="sk-SK"/>
        </w:rPr>
        <w:t>Zákon č. 311/2001 Z. z.</w:t>
      </w:r>
      <w:r>
        <w:rPr>
          <w:rFonts w:ascii="Verdana" w:hAnsi="Verdana"/>
          <w:sz w:val="20"/>
          <w:szCs w:val="20"/>
          <w:lang w:val="sk-SK"/>
        </w:rPr>
        <w:t xml:space="preserve"> Zákonník práce v z. n. p., 2020. </w:t>
      </w:r>
    </w:p>
    <w:p w:rsidR="005C3F63" w:rsidRDefault="006536E7">
      <w:pPr>
        <w:jc w:val="left"/>
        <w:rPr>
          <w:rFonts w:ascii="Verdana" w:eastAsia="MS Mincho" w:hAnsi="Verdana"/>
          <w:kern w:val="2"/>
          <w:sz w:val="20"/>
          <w:szCs w:val="20"/>
          <w:shd w:val="clear" w:color="auto" w:fill="FFFFFF"/>
          <w:lang w:val="sk-SK" w:eastAsia="ja-JP" w:bidi="ar-SA"/>
        </w:rPr>
      </w:pPr>
      <w:r>
        <w:rPr>
          <w:rFonts w:ascii="Verdana" w:hAnsi="Verdana"/>
          <w:sz w:val="20"/>
          <w:szCs w:val="20"/>
          <w:lang w:val="sk-SK"/>
        </w:rPr>
        <w:br w:type="page"/>
      </w:r>
    </w:p>
    <w:p w:rsidR="005C3F63" w:rsidRDefault="006536E7">
      <w:pPr>
        <w:pStyle w:val="1"/>
      </w:pPr>
      <w:bookmarkStart w:id="735" w:name="_Toc47951540"/>
      <w:r>
        <w:lastRenderedPageBreak/>
        <w:t>Possibilities for Voluntary IFRS Adoption in the Slovak Republic</w:t>
      </w:r>
      <w:bookmarkEnd w:id="735"/>
    </w:p>
    <w:p w:rsidR="005C3F63" w:rsidRDefault="006536E7">
      <w:pPr>
        <w:pStyle w:val="Autor"/>
      </w:pPr>
      <w:bookmarkStart w:id="736" w:name="_Toc47440117"/>
      <w:bookmarkStart w:id="737" w:name="_Toc47435461"/>
      <w:bookmarkStart w:id="738" w:name="_Toc47440889"/>
      <w:bookmarkStart w:id="739" w:name="_Toc47439799"/>
      <w:bookmarkStart w:id="740" w:name="_Toc47443677"/>
      <w:bookmarkStart w:id="741" w:name="_Toc47444449"/>
      <w:bookmarkStart w:id="742" w:name="_Toc47446114"/>
      <w:bookmarkStart w:id="743" w:name="_Toc47441516"/>
      <w:bookmarkStart w:id="744" w:name="_Toc47444292"/>
      <w:bookmarkStart w:id="745" w:name="_Toc47441703"/>
      <w:bookmarkStart w:id="746" w:name="_Toc47448850"/>
      <w:bookmarkStart w:id="747" w:name="_Toc47948745"/>
      <w:bookmarkStart w:id="748" w:name="_Toc47448624"/>
      <w:bookmarkStart w:id="749" w:name="_Toc47438989"/>
      <w:bookmarkStart w:id="750" w:name="_Toc47948806"/>
      <w:bookmarkStart w:id="751" w:name="_Toc47448125"/>
      <w:bookmarkStart w:id="752" w:name="_Toc47446374"/>
      <w:bookmarkStart w:id="753" w:name="_Toc47445739"/>
      <w:bookmarkStart w:id="754" w:name="_Toc47442696"/>
      <w:bookmarkStart w:id="755" w:name="_Toc47448329"/>
      <w:bookmarkStart w:id="756" w:name="_Toc47448207"/>
      <w:bookmarkStart w:id="757" w:name="_Toc47433553"/>
      <w:bookmarkStart w:id="758" w:name="_Toc47447935"/>
      <w:bookmarkStart w:id="759" w:name="_Toc47447170"/>
      <w:bookmarkStart w:id="760" w:name="_Toc47444141"/>
      <w:bookmarkStart w:id="761" w:name="_Toc47449325"/>
      <w:bookmarkStart w:id="762" w:name="_Toc47448569"/>
      <w:bookmarkStart w:id="763" w:name="_Toc47949004"/>
      <w:bookmarkStart w:id="764" w:name="_Toc47444608"/>
      <w:bookmarkStart w:id="765" w:name="_Toc47451166"/>
      <w:bookmarkStart w:id="766" w:name="_Toc47445962"/>
      <w:bookmarkStart w:id="767" w:name="_Toc47441216"/>
      <w:bookmarkStart w:id="768" w:name="_Toc47448071"/>
      <w:bookmarkStart w:id="769" w:name="_Toc47447989"/>
      <w:bookmarkStart w:id="770" w:name="_Toc47441636"/>
      <w:bookmarkStart w:id="771" w:name="_Toc47443444"/>
      <w:bookmarkStart w:id="772" w:name="_Toc47443576"/>
      <w:bookmarkStart w:id="773" w:name="_Toc47949318"/>
      <w:bookmarkStart w:id="774" w:name="_Toc47951383"/>
      <w:bookmarkStart w:id="775" w:name="_Toc47446716"/>
      <w:bookmarkStart w:id="776" w:name="_Toc47951476"/>
      <w:bookmarkStart w:id="777" w:name="_Toc47951541"/>
      <w:r>
        <w:rPr>
          <w:rStyle w:val="AutorChar"/>
          <w:b/>
        </w:rPr>
        <w:t>Branislav Parajka</w:t>
      </w:r>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p>
    <w:p w:rsidR="005C3F63" w:rsidRDefault="006536E7">
      <w:pPr>
        <w:jc w:val="center"/>
        <w:rPr>
          <w:rFonts w:ascii="Verdana" w:hAnsi="Verdana"/>
          <w:sz w:val="18"/>
          <w:szCs w:val="18"/>
        </w:rPr>
      </w:pPr>
      <w:r>
        <w:rPr>
          <w:rFonts w:ascii="Verdana" w:hAnsi="Verdana"/>
          <w:sz w:val="18"/>
          <w:szCs w:val="18"/>
        </w:rPr>
        <w:t>University of Economics in Bratislava</w:t>
      </w:r>
    </w:p>
    <w:p w:rsidR="005C3F63" w:rsidRDefault="006536E7">
      <w:pPr>
        <w:jc w:val="center"/>
        <w:rPr>
          <w:rFonts w:ascii="Verdana" w:hAnsi="Verdana"/>
          <w:sz w:val="18"/>
          <w:szCs w:val="18"/>
        </w:rPr>
      </w:pPr>
      <w:r>
        <w:rPr>
          <w:rFonts w:ascii="Verdana" w:hAnsi="Verdana"/>
          <w:sz w:val="18"/>
          <w:szCs w:val="18"/>
        </w:rPr>
        <w:t>Faculty of Economic Informatics, Department of Accounting and Auditing</w:t>
      </w:r>
    </w:p>
    <w:p w:rsidR="005C3F63" w:rsidRDefault="006536E7">
      <w:pPr>
        <w:jc w:val="center"/>
        <w:rPr>
          <w:rFonts w:ascii="Verdana" w:hAnsi="Verdana"/>
          <w:sz w:val="18"/>
          <w:szCs w:val="18"/>
        </w:rPr>
      </w:pPr>
      <w:r>
        <w:rPr>
          <w:rFonts w:ascii="Verdana" w:hAnsi="Verdana"/>
          <w:sz w:val="18"/>
          <w:szCs w:val="18"/>
        </w:rPr>
        <w:t>Dolnozemská cesta 1/b, 852 35 Bratislava, Slovakia</w:t>
      </w:r>
    </w:p>
    <w:p w:rsidR="005C3F63" w:rsidRDefault="006536E7">
      <w:pPr>
        <w:jc w:val="center"/>
        <w:rPr>
          <w:rFonts w:ascii="Verdana" w:hAnsi="Verdana"/>
          <w:sz w:val="18"/>
          <w:szCs w:val="18"/>
          <w:lang w:val="en-GB"/>
        </w:rPr>
      </w:pPr>
      <w:r>
        <w:rPr>
          <w:rFonts w:ascii="Verdana" w:hAnsi="Verdana"/>
          <w:sz w:val="18"/>
          <w:szCs w:val="18"/>
          <w:lang w:val="en-GB"/>
        </w:rPr>
        <w:t>E-mail: branislav.parajka@euba.sk</w:t>
      </w:r>
    </w:p>
    <w:p w:rsidR="005C3F63" w:rsidRDefault="005C3F63">
      <w:pPr>
        <w:rPr>
          <w:rFonts w:ascii="Verdana" w:hAnsi="Verdana"/>
          <w:sz w:val="22"/>
          <w:lang w:val="en-GB"/>
        </w:rPr>
      </w:pPr>
    </w:p>
    <w:p w:rsidR="005C3F63" w:rsidRDefault="006536E7">
      <w:pPr>
        <w:spacing w:after="120"/>
        <w:rPr>
          <w:rFonts w:ascii="Verdana" w:hAnsi="Verdana"/>
          <w:i/>
          <w:sz w:val="20"/>
          <w:szCs w:val="20"/>
          <w:lang w:val="sk-SK"/>
        </w:rPr>
      </w:pPr>
      <w:r>
        <w:rPr>
          <w:rFonts w:ascii="Verdana" w:hAnsi="Verdana"/>
          <w:b/>
          <w:i/>
          <w:sz w:val="20"/>
          <w:szCs w:val="20"/>
        </w:rPr>
        <w:t xml:space="preserve">Abstract: </w:t>
      </w:r>
      <w:r>
        <w:rPr>
          <w:rFonts w:ascii="Verdana" w:hAnsi="Verdana"/>
          <w:i/>
          <w:sz w:val="20"/>
          <w:szCs w:val="20"/>
        </w:rPr>
        <w:t xml:space="preserve">This paper is focused on possible voluntary IFRS adoption in the Slovak republic. The study was performed on 2018 index of Top 100 companies based on total revenues. In this group of companies are included financial statements prepared in accordance with IFRS or national accounting legislation. We try to find out if there is an evidence of voluntary IFRS adoption by any company included the index. Benefits of accepting IFRS by companies are generally known and often discussed nevertheless some Slovak companies of top 100 present their financial statements according the national accounting rules by legislation or by their own decision. </w:t>
      </w:r>
    </w:p>
    <w:p w:rsidR="005C3F63" w:rsidRDefault="006536E7">
      <w:pPr>
        <w:spacing w:after="120"/>
        <w:rPr>
          <w:rFonts w:ascii="Verdana" w:hAnsi="Verdana"/>
          <w:i/>
          <w:sz w:val="20"/>
          <w:szCs w:val="20"/>
        </w:rPr>
      </w:pPr>
      <w:r>
        <w:rPr>
          <w:rFonts w:ascii="Verdana" w:hAnsi="Verdana"/>
          <w:b/>
          <w:i/>
          <w:sz w:val="20"/>
          <w:szCs w:val="20"/>
        </w:rPr>
        <w:t>Keywords:</w:t>
      </w:r>
      <w:r>
        <w:rPr>
          <w:rFonts w:ascii="Verdana" w:hAnsi="Verdana"/>
          <w:i/>
          <w:sz w:val="20"/>
          <w:szCs w:val="20"/>
        </w:rPr>
        <w:t xml:space="preserve"> accounting regulation in the Slovak republic, financial reporting, IFRS</w:t>
      </w:r>
    </w:p>
    <w:p w:rsidR="005C3F63" w:rsidRDefault="006536E7">
      <w:pPr>
        <w:spacing w:after="120"/>
        <w:rPr>
          <w:rFonts w:ascii="Verdana" w:hAnsi="Verdana"/>
          <w:i/>
          <w:sz w:val="20"/>
          <w:szCs w:val="20"/>
        </w:rPr>
      </w:pPr>
      <w:r>
        <w:rPr>
          <w:rFonts w:ascii="Verdana" w:hAnsi="Verdana"/>
          <w:i/>
          <w:sz w:val="20"/>
          <w:szCs w:val="20"/>
          <w:lang w:val="sk-SK"/>
        </w:rPr>
        <w:t xml:space="preserve">JEL codes: M48 </w:t>
      </w:r>
    </w:p>
    <w:p w:rsidR="005C3F63" w:rsidRDefault="006536E7">
      <w:pPr>
        <w:pStyle w:val="Kapitola"/>
      </w:pPr>
      <w:r>
        <w:rPr>
          <w:rStyle w:val="KapitolaChar"/>
          <w:b/>
          <w:bCs/>
        </w:rPr>
        <w:t xml:space="preserve">1 </w:t>
      </w:r>
      <w:r>
        <w:rPr>
          <w:rStyle w:val="KapitolaChar"/>
          <w:b/>
          <w:bCs/>
          <w:lang w:val="sk-SK"/>
        </w:rPr>
        <w:t>Úvod</w:t>
      </w:r>
      <w:r>
        <w:rPr>
          <w:rStyle w:val="KapitolaChar"/>
          <w:b/>
          <w:bCs/>
        </w:rPr>
        <w:t xml:space="preserve"> / Introduction </w:t>
      </w:r>
    </w:p>
    <w:p w:rsidR="005C3F63" w:rsidRDefault="006536E7">
      <w:pPr>
        <w:spacing w:after="120"/>
        <w:rPr>
          <w:rFonts w:ascii="Verdana" w:hAnsi="Verdana"/>
          <w:sz w:val="20"/>
          <w:szCs w:val="20"/>
          <w:lang w:val="sk-SK"/>
        </w:rPr>
      </w:pPr>
      <w:r>
        <w:rPr>
          <w:rFonts w:ascii="Verdana" w:hAnsi="Verdana"/>
          <w:sz w:val="20"/>
          <w:szCs w:val="20"/>
          <w:lang w:val="sk-SK"/>
        </w:rPr>
        <w:t>Tento príspevok sa zaoberá možnosťou dobrovoľnej aplikácie štandardov IFRS podnikateľskými účtovnými jednotkami v Slovenskej republike. Účtovníctvo je v Slovenskej republike veľmi podrobne regulované legislatívou, konkrétne zákonom NR SR č. 431/2002 Z. z. o účtovníctve v znení neskorších predpisov (zákon o účtovníctve) ako aj súvisiacimi predpismi. Štandardy IFRS boli v Slovenskej republike formálne prijaté v roku 2004 implementáciou nariadenia Európskeho parlamentu a Rady (ES) č. 1606/2002 z 19. júla 2002 o uplatňovaní medzinárodných účtovných štandardov. Všetky konsolidované účtovné závierky sa zostavujú v súlade s IAS/IFRS od roku 2005; aplikácia na individuálne účtovné závierky vybraných účtovných jednotiek je povinná od roku 2006.</w:t>
      </w:r>
    </w:p>
    <w:p w:rsidR="005C3F63" w:rsidRDefault="006536E7">
      <w:pPr>
        <w:spacing w:after="120"/>
        <w:rPr>
          <w:rFonts w:ascii="Verdana" w:hAnsi="Verdana"/>
          <w:sz w:val="20"/>
          <w:szCs w:val="20"/>
          <w:lang w:val="sk-SK"/>
        </w:rPr>
      </w:pPr>
      <w:r>
        <w:rPr>
          <w:rFonts w:ascii="Verdana" w:hAnsi="Verdana"/>
          <w:sz w:val="20"/>
          <w:szCs w:val="20"/>
          <w:lang w:val="sk-SK"/>
        </w:rPr>
        <w:t>Pozitívne účinky prijatia IFRS sú všeobecne známe, napríklad Ball (2006) konštatuje, že aplikáciou IFRS sa dosiahnu presné a komplexné informácie zverejnené v účtovných závierkach. Tumpach (2006) pozitívne hodnotí kvalitu štandardov IFRS, ale upozorňuje však na však pochybnosti o správnej implementácií v Slovenskej republike z dôvodu chýbajúceho kvalitného prekladu štandardov do slovenského jazyka v čase ich prijatia. K aplikácií IFRS v Slovenskej republike sa viacero domácich autorov stavia čiastočne skepticky. Podľa Kubaščíkovej a Pakšiovej (2015) sú výsledky finančnej analýzy významne ovplyvnené výberom účtovného rámca IFRS namiesto slovenských predpisov z dôvodu odlišných účtovných zásad. Tumpach, Máziková &amp; Kuceková (2015) našli dôkazy o tom, že informácie zverejnené v poznámkach účtovných závierok zostavených v súlade s IFRS sú často len predpripraveným textom alebo kópiou informácií zverejnených v minulosti bez priamej súvislosti s vykazovaným obdobím. Konštatujú, že takéto konanie je pomerne bežné napriek tomu, že všetky účtovné závierky zostavené v súlade s IFRS sú povinne auditované. Nedostatky zavedenia IFRS v Slovenskej republike odhaľuje aj štúdia Tumpach (2016), ktorá sa uskutočnila na 148 spoločnostiach, ktoré boli povinné zostaviť účtovnú závierku v súlade s IFRS (pravdepodobne ide o všetky účtovné závierky, ktoré boli zostavené podľa IFRS za vybrané obdobie).</w:t>
      </w:r>
    </w:p>
    <w:p w:rsidR="005C3F63" w:rsidRDefault="006536E7">
      <w:pPr>
        <w:spacing w:after="120"/>
        <w:rPr>
          <w:rFonts w:ascii="Verdana" w:hAnsi="Verdana"/>
          <w:sz w:val="20"/>
          <w:szCs w:val="20"/>
          <w:lang w:val="cs-CZ"/>
        </w:rPr>
      </w:pPr>
      <w:r>
        <w:rPr>
          <w:rFonts w:ascii="Verdana" w:hAnsi="Verdana"/>
          <w:sz w:val="20"/>
          <w:szCs w:val="20"/>
          <w:lang w:val="sk-SK"/>
        </w:rPr>
        <w:t xml:space="preserve">Účtovný systém v Slovenskej republike je regulovaný veľmi podrobným spôsobom, ktorý má korene v bývalej centrálne plánovanej štátnej ekonomike. Zavedenie koncepcie „slobodného trhového hospodárstva“ začiatkom 90. rokov zmenilo filozofiu účtovníctva, ale neintegrovalo úplne účtovné politiky uznávané v iných krajinách, ale dodržiavalo prísne pravidlá vydané štátnymi regulátormi. Tomuto problému sa venuje Šlosárová &amp; Šlosár (2005), pretože jednou z hlavných paradigiem súčasného účtovníctva je poskytovať pravdivé a porovnateľné informácie v účtovnej závierke. Blahušiaková (2017) </w:t>
      </w:r>
      <w:r>
        <w:rPr>
          <w:rFonts w:ascii="Verdana" w:hAnsi="Verdana"/>
          <w:sz w:val="20"/>
          <w:szCs w:val="20"/>
          <w:lang w:val="sk-SK"/>
        </w:rPr>
        <w:lastRenderedPageBreak/>
        <w:t>poukazuje na to, že väčšina zmien v legislatíve a regulácii účtovníctva v Slovenskej republike po roku 2002 sa uskutočnila prijatím nariadení EÚ</w:t>
      </w:r>
      <w:r>
        <w:rPr>
          <w:rFonts w:ascii="Verdana" w:hAnsi="Verdana"/>
          <w:sz w:val="20"/>
          <w:szCs w:val="20"/>
          <w:lang w:val="cs-CZ"/>
        </w:rPr>
        <w:t xml:space="preserve">. </w:t>
      </w:r>
    </w:p>
    <w:p w:rsidR="005C3F63" w:rsidRDefault="006536E7">
      <w:pPr>
        <w:spacing w:before="240" w:after="120"/>
        <w:jc w:val="left"/>
        <w:rPr>
          <w:rFonts w:ascii="Verdana" w:hAnsi="Verdana" w:cs="Arial"/>
          <w:bCs/>
          <w:kern w:val="32"/>
          <w:sz w:val="18"/>
          <w:szCs w:val="18"/>
          <w:lang w:val="cs-CZ" w:eastAsia="cs-CZ" w:bidi="ar-SA"/>
        </w:rPr>
      </w:pPr>
      <w:r>
        <w:rPr>
          <w:rStyle w:val="KapitolaChar"/>
          <w:lang w:val="cs-CZ"/>
        </w:rPr>
        <w:t xml:space="preserve">2 </w:t>
      </w:r>
      <w:r>
        <w:rPr>
          <w:rStyle w:val="KapitolaChar"/>
          <w:lang w:val="sk-SK"/>
        </w:rPr>
        <w:t>Metodológia</w:t>
      </w:r>
      <w:r>
        <w:rPr>
          <w:rStyle w:val="KapitolaChar"/>
        </w:rPr>
        <w:t xml:space="preserve"> a </w:t>
      </w:r>
      <w:r>
        <w:rPr>
          <w:rStyle w:val="KapitolaChar"/>
          <w:lang w:val="sk-SK"/>
        </w:rPr>
        <w:t>zdrojové údaje</w:t>
      </w:r>
      <w:r>
        <w:rPr>
          <w:rStyle w:val="KapitolaChar"/>
          <w:lang w:val="cs-CZ"/>
        </w:rPr>
        <w:t xml:space="preserve"> / </w:t>
      </w:r>
      <w:r>
        <w:rPr>
          <w:rStyle w:val="KapitolaChar"/>
        </w:rPr>
        <w:t>Methodology</w:t>
      </w:r>
      <w:r>
        <w:rPr>
          <w:rStyle w:val="KapitolaChar"/>
          <w:lang w:val="cs-CZ"/>
        </w:rPr>
        <w:t xml:space="preserve"> and Data</w:t>
      </w:r>
      <w:r>
        <w:rPr>
          <w:rFonts w:ascii="Verdana" w:hAnsi="Verdana"/>
          <w:b/>
          <w:sz w:val="22"/>
          <w:lang w:val="cs-CZ"/>
        </w:rPr>
        <w:t xml:space="preserve"> </w:t>
      </w:r>
    </w:p>
    <w:p w:rsidR="005C3F63" w:rsidRDefault="006536E7">
      <w:pPr>
        <w:spacing w:after="120"/>
        <w:rPr>
          <w:rFonts w:ascii="Verdana" w:hAnsi="Verdana"/>
          <w:sz w:val="20"/>
          <w:szCs w:val="20"/>
          <w:lang w:val="sk-SK"/>
        </w:rPr>
      </w:pPr>
      <w:r>
        <w:rPr>
          <w:rFonts w:ascii="Verdana" w:hAnsi="Verdana"/>
          <w:sz w:val="20"/>
          <w:szCs w:val="20"/>
          <w:lang w:val="sk-SK"/>
        </w:rPr>
        <w:t xml:space="preserve">Predmetom skúmania je overiť možnosť dobrovoľnej aplikácie štandardov IFRS podnikateľskými subjektami v Slovenskej republike. Skúmanie pozostávalo z analýzy legislatívneho postavenia štandardov IFRS v rámci národnej úpravy účtovníctva v Slovenskej republike, najmä príslušných ustanovení zákona o účtovníctve. Základné predpoklady aplikácie IFRS sú uvedené nižšie. </w:t>
      </w:r>
    </w:p>
    <w:p w:rsidR="005C3F63" w:rsidRDefault="006536E7">
      <w:pPr>
        <w:spacing w:after="120"/>
        <w:rPr>
          <w:rFonts w:ascii="Verdana" w:hAnsi="Verdana"/>
          <w:sz w:val="20"/>
          <w:szCs w:val="20"/>
          <w:lang w:val="sk-SK"/>
        </w:rPr>
      </w:pPr>
      <w:r>
        <w:rPr>
          <w:rFonts w:ascii="Verdana" w:hAnsi="Verdana"/>
          <w:sz w:val="20"/>
          <w:szCs w:val="20"/>
          <w:lang w:val="sk-SK"/>
        </w:rPr>
        <w:t xml:space="preserve">Účtovné jednotky v Slovenskej republike sú rozdelené podľa zákona o účtovníctve do 3 veľkostných skupín na základe hodnoty majetku (netto), čistého obratu a priemerného prepočítaného počtu zamestnancov (sleduje sa splnenie, resp. prekročenie dvoch podmienok za dve po sebe bezprostredne predchádzajúce účtovné obdobia). Zaradenie účtovnej jednotky do konkrétnej veľkostnej skupiny má vplyv na vybrané účtovné politiky ako aj na rozsah a obsah jej účtovnej závierky. Veľká účtovná jednotka, ktorá je obchodnou spoločnosťou, po splnení aspoň dvoch stanovených podmienok za dve po sebe idúce účtovné obdobia je povinná zostavovať účtovnú závierku v súlade s IFRS. Prehľad veľkostných kritérií je uvedený v tabuľke 1.   </w:t>
      </w:r>
      <w:r>
        <w:rPr>
          <w:rFonts w:ascii="Verdana" w:hAnsi="Verdana"/>
          <w:sz w:val="20"/>
          <w:szCs w:val="20"/>
          <w:lang w:val="sk-SK"/>
        </w:rPr>
        <w:tab/>
        <w:t xml:space="preserve">    </w:t>
      </w:r>
    </w:p>
    <w:p w:rsidR="005C3F63" w:rsidRDefault="006536E7">
      <w:pPr>
        <w:spacing w:after="120"/>
        <w:jc w:val="center"/>
        <w:rPr>
          <w:rFonts w:ascii="Verdana" w:hAnsi="Verdana"/>
          <w:sz w:val="20"/>
          <w:szCs w:val="20"/>
          <w:lang w:val="sk-SK"/>
        </w:rPr>
      </w:pPr>
      <w:r>
        <w:rPr>
          <w:rFonts w:ascii="Verdana" w:hAnsi="Verdana"/>
          <w:b/>
          <w:sz w:val="20"/>
          <w:szCs w:val="20"/>
          <w:lang w:val="sk-SK"/>
        </w:rPr>
        <w:t>Tabuľka 1</w:t>
      </w:r>
      <w:r>
        <w:rPr>
          <w:rFonts w:ascii="Verdana" w:hAnsi="Verdana"/>
          <w:sz w:val="20"/>
          <w:szCs w:val="20"/>
          <w:lang w:val="sk-SK"/>
        </w:rPr>
        <w:t xml:space="preserve"> Rozdelenie účtovných jednotiek podľa veľkostných kritérií</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200"/>
        <w:gridCol w:w="1701"/>
        <w:gridCol w:w="1701"/>
        <w:gridCol w:w="1701"/>
        <w:gridCol w:w="1701"/>
      </w:tblGrid>
      <w:tr w:rsidR="005C3F63">
        <w:trPr>
          <w:trHeight w:val="780"/>
          <w:jc w:val="center"/>
        </w:trPr>
        <w:tc>
          <w:tcPr>
            <w:tcW w:w="2200" w:type="dxa"/>
            <w:shd w:val="clear" w:color="auto" w:fill="auto"/>
            <w:noWrap/>
            <w:vAlign w:val="center"/>
          </w:tcPr>
          <w:p w:rsidR="005C3F63" w:rsidRDefault="005C3F63">
            <w:pPr>
              <w:pStyle w:val="TableContent"/>
              <w:rPr>
                <w:rFonts w:ascii="Verdana" w:hAnsi="Verdana" w:cs="Times New Roman"/>
                <w:lang w:val="sk-SK"/>
              </w:rPr>
            </w:pPr>
          </w:p>
        </w:tc>
        <w:tc>
          <w:tcPr>
            <w:tcW w:w="1701" w:type="dxa"/>
            <w:shd w:val="clear" w:color="auto" w:fill="auto"/>
            <w:vAlign w:val="center"/>
          </w:tcPr>
          <w:p w:rsidR="005C3F63" w:rsidRDefault="006536E7">
            <w:pPr>
              <w:pStyle w:val="Table"/>
              <w:jc w:val="center"/>
              <w:rPr>
                <w:rFonts w:ascii="Verdana" w:hAnsi="Verdana" w:cs="Times New Roman"/>
                <w:lang w:val="sk-SK"/>
              </w:rPr>
            </w:pPr>
            <w:r>
              <w:rPr>
                <w:rFonts w:ascii="Verdana" w:hAnsi="Verdana" w:cs="Times New Roman"/>
                <w:lang w:val="sk-SK"/>
              </w:rPr>
              <w:t>Mikro účtovná jednotka</w:t>
            </w:r>
          </w:p>
        </w:tc>
        <w:tc>
          <w:tcPr>
            <w:tcW w:w="1701" w:type="dxa"/>
            <w:shd w:val="clear" w:color="auto" w:fill="auto"/>
            <w:vAlign w:val="center"/>
          </w:tcPr>
          <w:p w:rsidR="005C3F63" w:rsidRDefault="006536E7">
            <w:pPr>
              <w:pStyle w:val="Table"/>
              <w:jc w:val="center"/>
              <w:rPr>
                <w:rFonts w:ascii="Verdana" w:hAnsi="Verdana" w:cs="Times New Roman"/>
                <w:lang w:val="sk-SK"/>
              </w:rPr>
            </w:pPr>
            <w:r>
              <w:rPr>
                <w:rFonts w:ascii="Verdana" w:hAnsi="Verdana" w:cs="Times New Roman"/>
                <w:lang w:val="sk-SK"/>
              </w:rPr>
              <w:t>Malá účtovná jednotka</w:t>
            </w:r>
          </w:p>
        </w:tc>
        <w:tc>
          <w:tcPr>
            <w:tcW w:w="1701" w:type="dxa"/>
            <w:tcBorders>
              <w:right w:val="double" w:sz="4" w:space="0" w:color="auto"/>
            </w:tcBorders>
            <w:shd w:val="clear" w:color="auto" w:fill="auto"/>
            <w:vAlign w:val="center"/>
          </w:tcPr>
          <w:p w:rsidR="005C3F63" w:rsidRDefault="006536E7">
            <w:pPr>
              <w:pStyle w:val="Table"/>
              <w:jc w:val="center"/>
              <w:rPr>
                <w:rFonts w:ascii="Verdana" w:hAnsi="Verdana" w:cs="Times New Roman"/>
                <w:lang w:val="sk-SK"/>
              </w:rPr>
            </w:pPr>
            <w:r>
              <w:rPr>
                <w:rFonts w:ascii="Verdana" w:hAnsi="Verdana" w:cs="Times New Roman"/>
                <w:lang w:val="sk-SK"/>
              </w:rPr>
              <w:t>Veľká účtovná jednotka</w:t>
            </w:r>
          </w:p>
        </w:tc>
        <w:tc>
          <w:tcPr>
            <w:tcW w:w="1701" w:type="dxa"/>
            <w:tcBorders>
              <w:left w:val="double" w:sz="4" w:space="0" w:color="auto"/>
            </w:tcBorders>
            <w:shd w:val="clear" w:color="auto" w:fill="auto"/>
            <w:vAlign w:val="center"/>
          </w:tcPr>
          <w:p w:rsidR="005C3F63" w:rsidRDefault="006536E7">
            <w:pPr>
              <w:pStyle w:val="Table"/>
              <w:jc w:val="center"/>
              <w:rPr>
                <w:rFonts w:ascii="Verdana" w:hAnsi="Verdana" w:cs="Times New Roman"/>
                <w:lang w:val="sk-SK"/>
              </w:rPr>
            </w:pPr>
            <w:r>
              <w:rPr>
                <w:rFonts w:ascii="Verdana" w:hAnsi="Verdana" w:cs="Times New Roman"/>
                <w:lang w:val="sk-SK"/>
              </w:rPr>
              <w:t>Aplikácia IFRS</w:t>
            </w:r>
          </w:p>
        </w:tc>
      </w:tr>
      <w:tr w:rsidR="005C3F63">
        <w:trPr>
          <w:trHeight w:val="300"/>
          <w:jc w:val="center"/>
        </w:trPr>
        <w:tc>
          <w:tcPr>
            <w:tcW w:w="2200" w:type="dxa"/>
            <w:shd w:val="clear" w:color="auto" w:fill="auto"/>
            <w:noWrap/>
            <w:vAlign w:val="center"/>
          </w:tcPr>
          <w:p w:rsidR="005C3F63" w:rsidRDefault="006536E7">
            <w:pPr>
              <w:pStyle w:val="Table"/>
              <w:rPr>
                <w:rFonts w:ascii="Verdana" w:hAnsi="Verdana" w:cs="Times New Roman"/>
                <w:lang w:val="sk-SK"/>
              </w:rPr>
            </w:pPr>
            <w:r>
              <w:rPr>
                <w:rFonts w:ascii="Verdana" w:hAnsi="Verdana" w:cs="Times New Roman"/>
                <w:lang w:val="sk-SK"/>
              </w:rPr>
              <w:t xml:space="preserve">Majetok  </w:t>
            </w:r>
            <w:r>
              <w:rPr>
                <w:rFonts w:ascii="Verdana" w:hAnsi="Verdana" w:cs="Times New Roman"/>
                <w:b w:val="0"/>
                <w:lang w:val="sk-SK"/>
              </w:rPr>
              <w:t>(</w:t>
            </w:r>
            <w:r>
              <w:rPr>
                <w:rFonts w:ascii="Verdana" w:hAnsi="Verdana" w:cs="Times New Roman"/>
                <w:b w:val="0"/>
                <w:bCs/>
                <w:lang w:val="sk-SK"/>
              </w:rPr>
              <w:t>EUR)</w:t>
            </w:r>
          </w:p>
        </w:tc>
        <w:tc>
          <w:tcPr>
            <w:tcW w:w="1701" w:type="dxa"/>
            <w:shd w:val="clear" w:color="auto" w:fill="auto"/>
            <w:noWrap/>
            <w:vAlign w:val="center"/>
          </w:tcPr>
          <w:p w:rsidR="005C3F63" w:rsidRDefault="006536E7">
            <w:pPr>
              <w:pStyle w:val="TableContent"/>
              <w:jc w:val="center"/>
              <w:rPr>
                <w:rFonts w:ascii="Verdana" w:hAnsi="Verdana" w:cs="Times New Roman"/>
                <w:lang w:val="sk-SK"/>
              </w:rPr>
            </w:pPr>
            <w:r>
              <w:rPr>
                <w:rFonts w:ascii="Verdana" w:hAnsi="Verdana" w:cs="Times New Roman"/>
                <w:lang w:val="sk-SK"/>
              </w:rPr>
              <w:t>do 350 000</w:t>
            </w:r>
          </w:p>
        </w:tc>
        <w:tc>
          <w:tcPr>
            <w:tcW w:w="1701" w:type="dxa"/>
            <w:shd w:val="clear" w:color="auto" w:fill="auto"/>
            <w:noWrap/>
            <w:vAlign w:val="center"/>
          </w:tcPr>
          <w:p w:rsidR="005C3F63" w:rsidRDefault="006536E7">
            <w:pPr>
              <w:pStyle w:val="TableContent"/>
              <w:jc w:val="center"/>
              <w:rPr>
                <w:rFonts w:ascii="Verdana" w:hAnsi="Verdana" w:cs="Times New Roman"/>
                <w:lang w:val="sk-SK"/>
              </w:rPr>
            </w:pPr>
            <w:r>
              <w:rPr>
                <w:rFonts w:ascii="Verdana" w:hAnsi="Verdana" w:cs="Times New Roman"/>
                <w:lang w:val="sk-SK"/>
              </w:rPr>
              <w:t>do 4 000 000</w:t>
            </w:r>
          </w:p>
        </w:tc>
        <w:tc>
          <w:tcPr>
            <w:tcW w:w="1701" w:type="dxa"/>
            <w:tcBorders>
              <w:right w:val="double" w:sz="4" w:space="0" w:color="auto"/>
            </w:tcBorders>
            <w:shd w:val="clear" w:color="auto" w:fill="auto"/>
            <w:noWrap/>
            <w:vAlign w:val="center"/>
          </w:tcPr>
          <w:p w:rsidR="005C3F63" w:rsidRDefault="006536E7">
            <w:pPr>
              <w:pStyle w:val="TableContent"/>
              <w:jc w:val="center"/>
              <w:rPr>
                <w:rFonts w:ascii="Verdana" w:hAnsi="Verdana" w:cs="Times New Roman"/>
                <w:lang w:val="sk-SK"/>
              </w:rPr>
            </w:pPr>
            <w:r>
              <w:rPr>
                <w:rFonts w:ascii="Verdana" w:hAnsi="Verdana" w:cs="Times New Roman"/>
                <w:lang w:val="sk-SK"/>
              </w:rPr>
              <w:t>nad 4 000 000</w:t>
            </w:r>
          </w:p>
        </w:tc>
        <w:tc>
          <w:tcPr>
            <w:tcW w:w="1701" w:type="dxa"/>
            <w:tcBorders>
              <w:left w:val="double" w:sz="4" w:space="0" w:color="auto"/>
            </w:tcBorders>
            <w:shd w:val="clear" w:color="auto" w:fill="auto"/>
            <w:noWrap/>
            <w:vAlign w:val="center"/>
          </w:tcPr>
          <w:p w:rsidR="005C3F63" w:rsidRDefault="006536E7">
            <w:pPr>
              <w:pStyle w:val="TableContent"/>
              <w:jc w:val="center"/>
              <w:rPr>
                <w:rFonts w:ascii="Verdana" w:hAnsi="Verdana" w:cs="Times New Roman"/>
                <w:lang w:val="sk-SK"/>
              </w:rPr>
            </w:pPr>
            <w:r>
              <w:rPr>
                <w:rFonts w:ascii="Verdana" w:hAnsi="Verdana" w:cs="Times New Roman"/>
                <w:lang w:val="sk-SK"/>
              </w:rPr>
              <w:t xml:space="preserve">nad </w:t>
            </w:r>
          </w:p>
          <w:p w:rsidR="005C3F63" w:rsidRDefault="006536E7">
            <w:pPr>
              <w:pStyle w:val="TableContent"/>
              <w:jc w:val="center"/>
              <w:rPr>
                <w:rFonts w:ascii="Verdana" w:hAnsi="Verdana" w:cs="Times New Roman"/>
                <w:lang w:val="sk-SK"/>
              </w:rPr>
            </w:pPr>
            <w:r>
              <w:rPr>
                <w:rFonts w:ascii="Verdana" w:hAnsi="Verdana" w:cs="Times New Roman"/>
                <w:lang w:val="sk-SK"/>
              </w:rPr>
              <w:t>170 000 000*</w:t>
            </w:r>
          </w:p>
        </w:tc>
      </w:tr>
      <w:tr w:rsidR="005C3F63">
        <w:trPr>
          <w:trHeight w:val="300"/>
          <w:jc w:val="center"/>
        </w:trPr>
        <w:tc>
          <w:tcPr>
            <w:tcW w:w="2200" w:type="dxa"/>
            <w:shd w:val="clear" w:color="auto" w:fill="auto"/>
            <w:noWrap/>
            <w:vAlign w:val="center"/>
          </w:tcPr>
          <w:p w:rsidR="005C3F63" w:rsidRDefault="006536E7">
            <w:pPr>
              <w:pStyle w:val="Table"/>
              <w:rPr>
                <w:rFonts w:ascii="Verdana" w:hAnsi="Verdana" w:cs="Times New Roman"/>
                <w:b w:val="0"/>
                <w:bCs/>
                <w:lang w:val="sk-SK"/>
              </w:rPr>
            </w:pPr>
            <w:r>
              <w:rPr>
                <w:rFonts w:ascii="Verdana" w:hAnsi="Verdana" w:cs="Times New Roman"/>
                <w:lang w:val="sk-SK"/>
              </w:rPr>
              <w:t xml:space="preserve">Čistý obrat </w:t>
            </w:r>
            <w:r>
              <w:rPr>
                <w:rFonts w:ascii="Verdana" w:hAnsi="Verdana" w:cs="Times New Roman"/>
                <w:b w:val="0"/>
                <w:lang w:val="sk-SK"/>
              </w:rPr>
              <w:t>(EUR)</w:t>
            </w:r>
          </w:p>
        </w:tc>
        <w:tc>
          <w:tcPr>
            <w:tcW w:w="1701" w:type="dxa"/>
            <w:shd w:val="clear" w:color="auto" w:fill="auto"/>
            <w:noWrap/>
            <w:vAlign w:val="center"/>
          </w:tcPr>
          <w:p w:rsidR="005C3F63" w:rsidRDefault="006536E7">
            <w:pPr>
              <w:pStyle w:val="TableContent"/>
              <w:jc w:val="center"/>
              <w:rPr>
                <w:rFonts w:ascii="Verdana" w:hAnsi="Verdana" w:cs="Times New Roman"/>
                <w:lang w:val="sk-SK"/>
              </w:rPr>
            </w:pPr>
            <w:r>
              <w:rPr>
                <w:rFonts w:ascii="Verdana" w:hAnsi="Verdana" w:cs="Times New Roman"/>
                <w:lang w:val="sk-SK"/>
              </w:rPr>
              <w:t>do 700 000</w:t>
            </w:r>
          </w:p>
        </w:tc>
        <w:tc>
          <w:tcPr>
            <w:tcW w:w="1701" w:type="dxa"/>
            <w:shd w:val="clear" w:color="auto" w:fill="auto"/>
            <w:noWrap/>
            <w:vAlign w:val="center"/>
          </w:tcPr>
          <w:p w:rsidR="005C3F63" w:rsidRDefault="006536E7">
            <w:pPr>
              <w:pStyle w:val="TableContent"/>
              <w:jc w:val="center"/>
              <w:rPr>
                <w:rFonts w:ascii="Verdana" w:hAnsi="Verdana" w:cs="Times New Roman"/>
                <w:lang w:val="sk-SK"/>
              </w:rPr>
            </w:pPr>
            <w:r>
              <w:rPr>
                <w:rFonts w:ascii="Verdana" w:hAnsi="Verdana" w:cs="Times New Roman"/>
                <w:lang w:val="sk-SK"/>
              </w:rPr>
              <w:t>do 8 000 000</w:t>
            </w:r>
          </w:p>
        </w:tc>
        <w:tc>
          <w:tcPr>
            <w:tcW w:w="1701" w:type="dxa"/>
            <w:tcBorders>
              <w:right w:val="double" w:sz="4" w:space="0" w:color="auto"/>
            </w:tcBorders>
            <w:shd w:val="clear" w:color="auto" w:fill="auto"/>
            <w:noWrap/>
            <w:vAlign w:val="center"/>
          </w:tcPr>
          <w:p w:rsidR="005C3F63" w:rsidRDefault="006536E7">
            <w:pPr>
              <w:pStyle w:val="TableContent"/>
              <w:jc w:val="center"/>
              <w:rPr>
                <w:rFonts w:ascii="Verdana" w:hAnsi="Verdana" w:cs="Times New Roman"/>
                <w:lang w:val="sk-SK"/>
              </w:rPr>
            </w:pPr>
            <w:r>
              <w:rPr>
                <w:rFonts w:ascii="Verdana" w:hAnsi="Verdana" w:cs="Times New Roman"/>
                <w:lang w:val="sk-SK"/>
              </w:rPr>
              <w:t>nad 8 000 000</w:t>
            </w:r>
          </w:p>
        </w:tc>
        <w:tc>
          <w:tcPr>
            <w:tcW w:w="1701" w:type="dxa"/>
            <w:tcBorders>
              <w:left w:val="double" w:sz="4" w:space="0" w:color="auto"/>
            </w:tcBorders>
            <w:shd w:val="clear" w:color="auto" w:fill="auto"/>
            <w:noWrap/>
            <w:vAlign w:val="center"/>
          </w:tcPr>
          <w:p w:rsidR="005C3F63" w:rsidRDefault="006536E7">
            <w:pPr>
              <w:pStyle w:val="TableContent"/>
              <w:jc w:val="center"/>
              <w:rPr>
                <w:rFonts w:ascii="Verdana" w:hAnsi="Verdana" w:cs="Times New Roman"/>
                <w:lang w:val="sk-SK"/>
              </w:rPr>
            </w:pPr>
            <w:r>
              <w:rPr>
                <w:rFonts w:ascii="Verdana" w:hAnsi="Verdana" w:cs="Times New Roman"/>
                <w:lang w:val="sk-SK"/>
              </w:rPr>
              <w:t xml:space="preserve">nad </w:t>
            </w:r>
          </w:p>
          <w:p w:rsidR="005C3F63" w:rsidRDefault="006536E7">
            <w:pPr>
              <w:pStyle w:val="TableContent"/>
              <w:jc w:val="center"/>
              <w:rPr>
                <w:rFonts w:ascii="Verdana" w:hAnsi="Verdana" w:cs="Times New Roman"/>
                <w:lang w:val="sk-SK"/>
              </w:rPr>
            </w:pPr>
            <w:r>
              <w:rPr>
                <w:rFonts w:ascii="Verdana" w:hAnsi="Verdana" w:cs="Times New Roman"/>
                <w:lang w:val="sk-SK"/>
              </w:rPr>
              <w:t>170 000 000</w:t>
            </w:r>
          </w:p>
        </w:tc>
      </w:tr>
      <w:tr w:rsidR="005C3F63">
        <w:trPr>
          <w:trHeight w:val="300"/>
          <w:jc w:val="center"/>
        </w:trPr>
        <w:tc>
          <w:tcPr>
            <w:tcW w:w="2200" w:type="dxa"/>
            <w:shd w:val="clear" w:color="auto" w:fill="auto"/>
            <w:noWrap/>
            <w:vAlign w:val="center"/>
          </w:tcPr>
          <w:p w:rsidR="005C3F63" w:rsidRDefault="006536E7">
            <w:pPr>
              <w:pStyle w:val="Table"/>
              <w:rPr>
                <w:rFonts w:ascii="Verdana" w:hAnsi="Verdana" w:cs="Times New Roman"/>
                <w:lang w:val="sk-SK"/>
              </w:rPr>
            </w:pPr>
            <w:r>
              <w:rPr>
                <w:rFonts w:ascii="Verdana" w:hAnsi="Verdana" w:cs="Times New Roman"/>
                <w:lang w:val="sk-SK"/>
              </w:rPr>
              <w:t>Počet zamestnancov</w:t>
            </w:r>
          </w:p>
        </w:tc>
        <w:tc>
          <w:tcPr>
            <w:tcW w:w="1701" w:type="dxa"/>
            <w:shd w:val="clear" w:color="auto" w:fill="auto"/>
            <w:noWrap/>
            <w:vAlign w:val="center"/>
          </w:tcPr>
          <w:p w:rsidR="005C3F63" w:rsidRDefault="006536E7">
            <w:pPr>
              <w:pStyle w:val="TableContent"/>
              <w:jc w:val="center"/>
              <w:rPr>
                <w:rFonts w:ascii="Verdana" w:hAnsi="Verdana" w:cs="Times New Roman"/>
                <w:lang w:val="sk-SK"/>
              </w:rPr>
            </w:pPr>
            <w:r>
              <w:rPr>
                <w:rFonts w:ascii="Verdana" w:hAnsi="Verdana" w:cs="Times New Roman"/>
                <w:lang w:val="sk-SK"/>
              </w:rPr>
              <w:t xml:space="preserve"> do 10</w:t>
            </w:r>
          </w:p>
        </w:tc>
        <w:tc>
          <w:tcPr>
            <w:tcW w:w="1701" w:type="dxa"/>
            <w:shd w:val="clear" w:color="auto" w:fill="auto"/>
            <w:noWrap/>
            <w:vAlign w:val="center"/>
          </w:tcPr>
          <w:p w:rsidR="005C3F63" w:rsidRDefault="006536E7">
            <w:pPr>
              <w:pStyle w:val="TableContent"/>
              <w:jc w:val="center"/>
              <w:rPr>
                <w:rFonts w:ascii="Verdana" w:hAnsi="Verdana" w:cs="Times New Roman"/>
                <w:lang w:val="sk-SK"/>
              </w:rPr>
            </w:pPr>
            <w:r>
              <w:rPr>
                <w:rFonts w:ascii="Verdana" w:hAnsi="Verdana" w:cs="Times New Roman"/>
                <w:lang w:val="sk-SK"/>
              </w:rPr>
              <w:t>do 50</w:t>
            </w:r>
          </w:p>
        </w:tc>
        <w:tc>
          <w:tcPr>
            <w:tcW w:w="1701" w:type="dxa"/>
            <w:tcBorders>
              <w:right w:val="double" w:sz="4" w:space="0" w:color="auto"/>
            </w:tcBorders>
            <w:shd w:val="clear" w:color="auto" w:fill="auto"/>
            <w:noWrap/>
            <w:vAlign w:val="center"/>
          </w:tcPr>
          <w:p w:rsidR="005C3F63" w:rsidRDefault="006536E7">
            <w:pPr>
              <w:pStyle w:val="TableContent"/>
              <w:jc w:val="center"/>
              <w:rPr>
                <w:rFonts w:ascii="Verdana" w:hAnsi="Verdana" w:cs="Times New Roman"/>
                <w:lang w:val="sk-SK"/>
              </w:rPr>
            </w:pPr>
            <w:r>
              <w:rPr>
                <w:rFonts w:ascii="Verdana" w:hAnsi="Verdana" w:cs="Times New Roman"/>
                <w:lang w:val="sk-SK"/>
              </w:rPr>
              <w:t>nad 50</w:t>
            </w:r>
          </w:p>
        </w:tc>
        <w:tc>
          <w:tcPr>
            <w:tcW w:w="1701" w:type="dxa"/>
            <w:tcBorders>
              <w:left w:val="double" w:sz="4" w:space="0" w:color="auto"/>
            </w:tcBorders>
            <w:shd w:val="clear" w:color="auto" w:fill="auto"/>
            <w:noWrap/>
            <w:vAlign w:val="center"/>
          </w:tcPr>
          <w:p w:rsidR="005C3F63" w:rsidRDefault="006536E7">
            <w:pPr>
              <w:pStyle w:val="TableContent"/>
              <w:jc w:val="center"/>
              <w:rPr>
                <w:rFonts w:ascii="Verdana" w:hAnsi="Verdana" w:cs="Times New Roman"/>
                <w:lang w:val="sk-SK"/>
              </w:rPr>
            </w:pPr>
            <w:r>
              <w:rPr>
                <w:rFonts w:ascii="Verdana" w:hAnsi="Verdana" w:cs="Times New Roman"/>
                <w:lang w:val="sk-SK"/>
              </w:rPr>
              <w:t>nad 2 000</w:t>
            </w:r>
          </w:p>
        </w:tc>
      </w:tr>
    </w:tbl>
    <w:p w:rsidR="005C3F63" w:rsidRDefault="006536E7">
      <w:pPr>
        <w:pStyle w:val="af4"/>
        <w:rPr>
          <w:rFonts w:ascii="Verdana" w:hAnsi="Verdana"/>
          <w:b w:val="0"/>
          <w:bCs w:val="0"/>
          <w:sz w:val="18"/>
          <w:szCs w:val="18"/>
          <w:lang w:val="sk-SK"/>
        </w:rPr>
      </w:pPr>
      <w:r>
        <w:rPr>
          <w:rFonts w:ascii="Verdana" w:hAnsi="Verdana"/>
          <w:b w:val="0"/>
          <w:bCs w:val="0"/>
          <w:sz w:val="18"/>
          <w:szCs w:val="18"/>
          <w:lang w:val="sk-SK"/>
        </w:rPr>
        <w:t>* Celkový majetok pre aplikáciu IFRS vykázaný v historickej, neupravenej hodnote (brutto)</w:t>
      </w:r>
    </w:p>
    <w:p w:rsidR="005C3F63" w:rsidRDefault="006536E7">
      <w:pPr>
        <w:spacing w:after="240"/>
        <w:jc w:val="center"/>
        <w:rPr>
          <w:rFonts w:ascii="Verdana" w:hAnsi="Verdana"/>
          <w:sz w:val="18"/>
          <w:szCs w:val="18"/>
          <w:lang w:val="sk-SK"/>
        </w:rPr>
      </w:pPr>
      <w:r>
        <w:rPr>
          <w:rFonts w:ascii="Verdana" w:hAnsi="Verdana"/>
          <w:b/>
          <w:bCs/>
          <w:i/>
          <w:iCs/>
          <w:sz w:val="18"/>
          <w:szCs w:val="18"/>
          <w:lang w:val="sk-SK"/>
        </w:rPr>
        <w:t xml:space="preserve"> </w:t>
      </w:r>
      <w:r>
        <w:rPr>
          <w:rFonts w:ascii="Verdana" w:hAnsi="Verdana"/>
          <w:sz w:val="18"/>
          <w:szCs w:val="18"/>
          <w:lang w:val="sk-SK"/>
        </w:rPr>
        <w:t xml:space="preserve">Zdroj: </w:t>
      </w:r>
      <w:r>
        <w:rPr>
          <w:rFonts w:ascii="Verdana" w:hAnsi="Verdana"/>
          <w:bCs/>
          <w:iCs/>
          <w:sz w:val="18"/>
          <w:szCs w:val="18"/>
          <w:lang w:val="sk-SK"/>
        </w:rPr>
        <w:t>autor na základe zákona o účtovníctve</w:t>
      </w:r>
    </w:p>
    <w:p w:rsidR="005C3F63" w:rsidRDefault="006536E7">
      <w:pPr>
        <w:spacing w:after="120"/>
        <w:rPr>
          <w:rFonts w:ascii="Verdana" w:hAnsi="Verdana"/>
          <w:sz w:val="20"/>
          <w:szCs w:val="20"/>
          <w:lang w:val="sk-SK"/>
        </w:rPr>
      </w:pPr>
      <w:r>
        <w:rPr>
          <w:rFonts w:ascii="Verdana" w:hAnsi="Verdana"/>
          <w:sz w:val="20"/>
          <w:szCs w:val="20"/>
          <w:lang w:val="sk-SK"/>
        </w:rPr>
        <w:t>Vykazovanie podľa IFRS je podľa veľkostných kritérií povinné len pre obchodné spoločnosti, ako už bolo uvedené vyššie. Ostatné právne formy účtovných jednotiek, ako napríklad fyzické osoby s živnostenským oprávnením, štátne podniky alebo iné subjekty, nesmú uplatňovať IFRS.</w:t>
      </w:r>
    </w:p>
    <w:p w:rsidR="005C3F63" w:rsidRDefault="006536E7">
      <w:pPr>
        <w:spacing w:after="120"/>
        <w:rPr>
          <w:rFonts w:ascii="Verdana" w:hAnsi="Verdana"/>
          <w:sz w:val="20"/>
          <w:szCs w:val="20"/>
          <w:lang w:val="sk-SK"/>
        </w:rPr>
      </w:pPr>
      <w:r>
        <w:rPr>
          <w:rFonts w:ascii="Verdana" w:hAnsi="Verdana"/>
          <w:sz w:val="20"/>
          <w:szCs w:val="20"/>
          <w:lang w:val="sk-SK"/>
        </w:rPr>
        <w:t>Často sa zovšeobecňuje, že všetky verejne obchodované subjekty a subjekty verejného záujmu sú povinné zostaviť svoju účtovnú závierku v súlade s IFRS. Nižšie uvádzame podrobné skúmanie podmienok stanovených zákonom o účtovníctve. Všetky účtovné jednotky so sídlom v Slovenskej republike sa musia riadiť zákonom o účtovníctve. Všetky účtovné jednotky, ktoré emitovali cenné papiere a tieto boli prijaté na obchodovanie na regulovanom trhu ktoréhokoľvek členského štátu Európskej únie sú podľa zákona o účtovníctve považované za subjekty verejného záujmu. Na druhej strane, nie všetky subjekty verejného záujmu sú povinné používať IFRS, ale niektoré tak môžu učiniť dobrovoľne, resp. povinne po splnení veľkostných kritérií uvádzaných v Tabuľke 1. (Ondrušová &amp; Kňažková, 2017</w:t>
      </w:r>
      <w:r>
        <w:rPr>
          <w:rFonts w:ascii="Verdana" w:hAnsi="Verdana"/>
          <w:bCs/>
          <w:sz w:val="20"/>
          <w:szCs w:val="20"/>
          <w:lang w:val="sk-SK"/>
        </w:rPr>
        <w:t>)</w:t>
      </w:r>
      <w:r>
        <w:rPr>
          <w:rFonts w:ascii="Verdana" w:hAnsi="Verdana"/>
          <w:sz w:val="20"/>
          <w:szCs w:val="20"/>
          <w:lang w:val="sk-SK"/>
        </w:rPr>
        <w:t xml:space="preserve">. Podrobné vymedzenie subjektov verejného záujmu a ich povinnosť zostavovať  účtovnú závierku podľa IFRS je uvedená v tabuľke 2. </w:t>
      </w:r>
    </w:p>
    <w:p w:rsidR="005C3F63" w:rsidRDefault="006536E7">
      <w:pPr>
        <w:spacing w:after="120"/>
        <w:jc w:val="center"/>
        <w:rPr>
          <w:rFonts w:ascii="Verdana" w:hAnsi="Verdana"/>
          <w:sz w:val="20"/>
          <w:szCs w:val="20"/>
          <w:lang w:val="sk-SK"/>
        </w:rPr>
      </w:pPr>
      <w:r>
        <w:rPr>
          <w:rFonts w:ascii="Verdana" w:hAnsi="Verdana"/>
          <w:b/>
          <w:sz w:val="20"/>
          <w:szCs w:val="20"/>
          <w:lang w:val="sk-SK"/>
        </w:rPr>
        <w:t>Tabuľka 2</w:t>
      </w:r>
      <w:r>
        <w:rPr>
          <w:rFonts w:ascii="Verdana" w:hAnsi="Verdana"/>
          <w:sz w:val="20"/>
          <w:szCs w:val="20"/>
          <w:lang w:val="sk-SK"/>
        </w:rPr>
        <w:t xml:space="preserve"> Povinnosť zostavovať účtovnú závierku podľa IFRS pre subjekty verejného záujmu</w:t>
      </w:r>
    </w:p>
    <w:tbl>
      <w:tblPr>
        <w:tblW w:w="9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5"/>
        <w:gridCol w:w="3166"/>
        <w:gridCol w:w="3166"/>
      </w:tblGrid>
      <w:tr w:rsidR="005C3F63">
        <w:tc>
          <w:tcPr>
            <w:tcW w:w="3165" w:type="dxa"/>
          </w:tcPr>
          <w:p w:rsidR="005C3F63" w:rsidRDefault="006536E7">
            <w:pPr>
              <w:jc w:val="center"/>
              <w:rPr>
                <w:rFonts w:ascii="Verdana" w:hAnsi="Verdana"/>
                <w:b/>
                <w:sz w:val="20"/>
                <w:szCs w:val="20"/>
                <w:lang w:val="sk-SK"/>
              </w:rPr>
            </w:pPr>
            <w:r>
              <w:rPr>
                <w:rFonts w:ascii="Verdana" w:hAnsi="Verdana"/>
                <w:b/>
                <w:sz w:val="20"/>
                <w:szCs w:val="20"/>
                <w:lang w:val="sk-SK"/>
              </w:rPr>
              <w:t>Subjekty verejného záujmu s povinnou aplikáciou IFRS</w:t>
            </w:r>
          </w:p>
        </w:tc>
        <w:tc>
          <w:tcPr>
            <w:tcW w:w="3166" w:type="dxa"/>
          </w:tcPr>
          <w:p w:rsidR="005C3F63" w:rsidRDefault="006536E7">
            <w:pPr>
              <w:jc w:val="center"/>
              <w:rPr>
                <w:rFonts w:ascii="Verdana" w:hAnsi="Verdana"/>
                <w:b/>
                <w:sz w:val="20"/>
                <w:szCs w:val="20"/>
                <w:lang w:val="sk-SK"/>
              </w:rPr>
            </w:pPr>
            <w:r>
              <w:rPr>
                <w:rFonts w:ascii="Verdana" w:hAnsi="Verdana"/>
                <w:b/>
                <w:sz w:val="20"/>
                <w:szCs w:val="20"/>
                <w:lang w:val="sk-SK"/>
              </w:rPr>
              <w:t>Subjekty verejného záujmu s dobrovoľnou aplikáciou IFRS *</w:t>
            </w:r>
          </w:p>
        </w:tc>
        <w:tc>
          <w:tcPr>
            <w:tcW w:w="3166" w:type="dxa"/>
          </w:tcPr>
          <w:p w:rsidR="005C3F63" w:rsidRDefault="006536E7">
            <w:pPr>
              <w:jc w:val="center"/>
              <w:rPr>
                <w:rFonts w:ascii="Verdana" w:hAnsi="Verdana"/>
                <w:b/>
                <w:sz w:val="20"/>
                <w:szCs w:val="20"/>
                <w:lang w:val="sk-SK"/>
              </w:rPr>
            </w:pPr>
            <w:r>
              <w:rPr>
                <w:rFonts w:ascii="Verdana" w:hAnsi="Verdana"/>
                <w:b/>
                <w:sz w:val="20"/>
                <w:szCs w:val="20"/>
                <w:lang w:val="sk-SK"/>
              </w:rPr>
              <w:t>Subjekty verejného záujmu bez povinnosti aplikovať IFRS *</w:t>
            </w:r>
          </w:p>
        </w:tc>
      </w:tr>
      <w:tr w:rsidR="005C3F63">
        <w:tc>
          <w:tcPr>
            <w:tcW w:w="3165" w:type="dxa"/>
          </w:tcPr>
          <w:p w:rsidR="005C3F63" w:rsidRDefault="006536E7">
            <w:pPr>
              <w:rPr>
                <w:rFonts w:ascii="Verdana" w:hAnsi="Verdana"/>
                <w:bCs/>
                <w:sz w:val="20"/>
                <w:szCs w:val="20"/>
                <w:lang w:val="sk-SK"/>
              </w:rPr>
            </w:pPr>
            <w:r>
              <w:rPr>
                <w:rFonts w:ascii="Verdana" w:hAnsi="Verdana"/>
                <w:bCs/>
                <w:sz w:val="20"/>
                <w:szCs w:val="20"/>
                <w:lang w:val="sk-SK"/>
              </w:rPr>
              <w:t>banka,  pobočka zahraničnej banky,</w:t>
            </w:r>
          </w:p>
          <w:p w:rsidR="005C3F63" w:rsidRDefault="006536E7">
            <w:pPr>
              <w:jc w:val="left"/>
              <w:rPr>
                <w:rFonts w:ascii="Verdana" w:hAnsi="Verdana"/>
                <w:bCs/>
                <w:sz w:val="20"/>
                <w:szCs w:val="20"/>
                <w:lang w:val="sk-SK"/>
              </w:rPr>
            </w:pPr>
            <w:r>
              <w:rPr>
                <w:rFonts w:ascii="Verdana" w:hAnsi="Verdana"/>
                <w:bCs/>
                <w:sz w:val="20"/>
                <w:szCs w:val="20"/>
                <w:lang w:val="sk-SK"/>
              </w:rPr>
              <w:lastRenderedPageBreak/>
              <w:t xml:space="preserve">pobočka zahraničnej finančnej inštitúcie </w:t>
            </w:r>
          </w:p>
        </w:tc>
        <w:tc>
          <w:tcPr>
            <w:tcW w:w="3166" w:type="dxa"/>
          </w:tcPr>
          <w:p w:rsidR="005C3F63" w:rsidRDefault="006536E7">
            <w:pPr>
              <w:jc w:val="left"/>
              <w:rPr>
                <w:rFonts w:ascii="Verdana" w:hAnsi="Verdana"/>
                <w:bCs/>
                <w:sz w:val="20"/>
                <w:szCs w:val="20"/>
                <w:lang w:val="sk-SK"/>
              </w:rPr>
            </w:pPr>
            <w:r>
              <w:rPr>
                <w:rFonts w:ascii="Verdana" w:hAnsi="Verdana"/>
                <w:bCs/>
                <w:sz w:val="20"/>
                <w:szCs w:val="20"/>
                <w:lang w:val="sk-SK"/>
              </w:rPr>
              <w:lastRenderedPageBreak/>
              <w:t>platobná inštitúcia,</w:t>
            </w:r>
          </w:p>
          <w:p w:rsidR="005C3F63" w:rsidRDefault="006536E7">
            <w:pPr>
              <w:jc w:val="left"/>
              <w:rPr>
                <w:rFonts w:ascii="Verdana" w:hAnsi="Verdana"/>
                <w:bCs/>
                <w:sz w:val="20"/>
                <w:szCs w:val="20"/>
                <w:lang w:val="sk-SK"/>
              </w:rPr>
            </w:pPr>
            <w:r>
              <w:rPr>
                <w:rFonts w:ascii="Verdana" w:hAnsi="Verdana"/>
                <w:bCs/>
                <w:sz w:val="20"/>
                <w:szCs w:val="20"/>
                <w:lang w:val="sk-SK"/>
              </w:rPr>
              <w:t xml:space="preserve">inštitúcia elektronických </w:t>
            </w:r>
            <w:r>
              <w:rPr>
                <w:rFonts w:ascii="Verdana" w:hAnsi="Verdana"/>
                <w:bCs/>
                <w:sz w:val="20"/>
                <w:szCs w:val="20"/>
                <w:lang w:val="sk-SK"/>
              </w:rPr>
              <w:lastRenderedPageBreak/>
              <w:t>peňazí</w:t>
            </w:r>
          </w:p>
        </w:tc>
        <w:tc>
          <w:tcPr>
            <w:tcW w:w="3166" w:type="dxa"/>
          </w:tcPr>
          <w:p w:rsidR="005C3F63" w:rsidRDefault="006536E7">
            <w:pPr>
              <w:jc w:val="left"/>
              <w:rPr>
                <w:rFonts w:ascii="Verdana" w:hAnsi="Verdana"/>
                <w:bCs/>
                <w:sz w:val="20"/>
                <w:szCs w:val="20"/>
                <w:lang w:val="sk-SK"/>
              </w:rPr>
            </w:pPr>
            <w:r>
              <w:rPr>
                <w:rFonts w:ascii="Verdana" w:hAnsi="Verdana"/>
                <w:bCs/>
                <w:sz w:val="20"/>
                <w:szCs w:val="20"/>
                <w:lang w:val="sk-SK"/>
              </w:rPr>
              <w:lastRenderedPageBreak/>
              <w:t>Exportno-importná banka Slovenskej republiky</w:t>
            </w:r>
          </w:p>
        </w:tc>
      </w:tr>
      <w:tr w:rsidR="005C3F63">
        <w:tc>
          <w:tcPr>
            <w:tcW w:w="3165" w:type="dxa"/>
          </w:tcPr>
          <w:p w:rsidR="005C3F63" w:rsidRDefault="006536E7">
            <w:pPr>
              <w:rPr>
                <w:rFonts w:ascii="Verdana" w:hAnsi="Verdana"/>
                <w:bCs/>
                <w:sz w:val="20"/>
                <w:szCs w:val="20"/>
                <w:lang w:val="sk-SK"/>
              </w:rPr>
            </w:pPr>
            <w:r>
              <w:rPr>
                <w:rFonts w:ascii="Verdana" w:hAnsi="Verdana"/>
                <w:bCs/>
                <w:sz w:val="20"/>
                <w:szCs w:val="20"/>
                <w:lang w:val="sk-SK"/>
              </w:rPr>
              <w:lastRenderedPageBreak/>
              <w:t xml:space="preserve">poisťovňa (okrem zdravotnej poisťovne), </w:t>
            </w:r>
          </w:p>
          <w:p w:rsidR="005C3F63" w:rsidRDefault="006536E7">
            <w:pPr>
              <w:jc w:val="left"/>
              <w:rPr>
                <w:rFonts w:ascii="Verdana" w:hAnsi="Verdana"/>
                <w:bCs/>
                <w:sz w:val="20"/>
                <w:szCs w:val="20"/>
                <w:lang w:val="sk-SK"/>
              </w:rPr>
            </w:pPr>
            <w:r>
              <w:rPr>
                <w:rFonts w:ascii="Verdana" w:hAnsi="Verdana"/>
                <w:bCs/>
                <w:sz w:val="20"/>
                <w:szCs w:val="20"/>
                <w:lang w:val="sk-SK"/>
              </w:rPr>
              <w:t xml:space="preserve">pobočka zahraničnej poisťovne, </w:t>
            </w:r>
          </w:p>
          <w:p w:rsidR="005C3F63" w:rsidRDefault="006536E7">
            <w:pPr>
              <w:rPr>
                <w:rFonts w:ascii="Verdana" w:hAnsi="Verdana"/>
                <w:bCs/>
                <w:sz w:val="20"/>
                <w:szCs w:val="20"/>
                <w:lang w:val="sk-SK"/>
              </w:rPr>
            </w:pPr>
            <w:r>
              <w:rPr>
                <w:rFonts w:ascii="Verdana" w:hAnsi="Verdana"/>
                <w:bCs/>
                <w:sz w:val="20"/>
                <w:szCs w:val="20"/>
                <w:lang w:val="sk-SK"/>
              </w:rPr>
              <w:t>zaisťovňa,</w:t>
            </w:r>
          </w:p>
          <w:p w:rsidR="005C3F63" w:rsidRDefault="006536E7">
            <w:pPr>
              <w:jc w:val="left"/>
              <w:rPr>
                <w:rFonts w:ascii="Verdana" w:hAnsi="Verdana"/>
                <w:bCs/>
                <w:sz w:val="20"/>
                <w:szCs w:val="20"/>
                <w:lang w:val="sk-SK"/>
              </w:rPr>
            </w:pPr>
            <w:r>
              <w:rPr>
                <w:rFonts w:ascii="Verdana" w:hAnsi="Verdana"/>
                <w:bCs/>
                <w:sz w:val="20"/>
                <w:szCs w:val="20"/>
                <w:lang w:val="sk-SK"/>
              </w:rPr>
              <w:t xml:space="preserve">pobočka zahraničnej zaisťovne </w:t>
            </w:r>
          </w:p>
          <w:p w:rsidR="005C3F63" w:rsidRDefault="005C3F63">
            <w:pPr>
              <w:rPr>
                <w:rFonts w:ascii="Verdana" w:hAnsi="Verdana"/>
                <w:bCs/>
                <w:sz w:val="20"/>
                <w:szCs w:val="20"/>
                <w:lang w:val="sk-SK"/>
              </w:rPr>
            </w:pPr>
          </w:p>
        </w:tc>
        <w:tc>
          <w:tcPr>
            <w:tcW w:w="3166" w:type="dxa"/>
          </w:tcPr>
          <w:p w:rsidR="005C3F63" w:rsidRDefault="006536E7">
            <w:pPr>
              <w:rPr>
                <w:rFonts w:ascii="Verdana" w:hAnsi="Verdana"/>
                <w:bCs/>
                <w:sz w:val="20"/>
                <w:szCs w:val="20"/>
                <w:lang w:val="sk-SK"/>
              </w:rPr>
            </w:pPr>
            <w:r>
              <w:rPr>
                <w:rFonts w:ascii="Verdana" w:hAnsi="Verdana"/>
                <w:bCs/>
                <w:sz w:val="20"/>
                <w:szCs w:val="20"/>
                <w:lang w:val="sk-SK"/>
              </w:rPr>
              <w:t>správcovská spoločnosť,</w:t>
            </w:r>
          </w:p>
          <w:p w:rsidR="005C3F63" w:rsidRDefault="006536E7">
            <w:pPr>
              <w:jc w:val="left"/>
              <w:rPr>
                <w:rFonts w:ascii="Verdana" w:hAnsi="Verdana"/>
                <w:bCs/>
                <w:sz w:val="20"/>
                <w:szCs w:val="20"/>
                <w:lang w:val="sk-SK"/>
              </w:rPr>
            </w:pPr>
            <w:r>
              <w:rPr>
                <w:rFonts w:ascii="Verdana" w:hAnsi="Verdana"/>
                <w:bCs/>
                <w:sz w:val="20"/>
                <w:szCs w:val="20"/>
                <w:lang w:val="sk-SK"/>
              </w:rPr>
              <w:t>pobočka zahraničnej správcovskej spoločnosti</w:t>
            </w:r>
          </w:p>
        </w:tc>
        <w:tc>
          <w:tcPr>
            <w:tcW w:w="3166" w:type="dxa"/>
          </w:tcPr>
          <w:p w:rsidR="005C3F63" w:rsidRDefault="006536E7">
            <w:pPr>
              <w:rPr>
                <w:rFonts w:ascii="Verdana" w:hAnsi="Verdana"/>
                <w:bCs/>
                <w:sz w:val="20"/>
                <w:szCs w:val="20"/>
                <w:lang w:val="sk-SK"/>
              </w:rPr>
            </w:pPr>
            <w:r>
              <w:rPr>
                <w:rFonts w:ascii="Verdana" w:hAnsi="Verdana"/>
                <w:bCs/>
                <w:sz w:val="20"/>
                <w:szCs w:val="20"/>
                <w:lang w:val="sk-SK"/>
              </w:rPr>
              <w:t>zdravotná poisťovňa</w:t>
            </w:r>
          </w:p>
        </w:tc>
      </w:tr>
      <w:tr w:rsidR="005C3F63">
        <w:tc>
          <w:tcPr>
            <w:tcW w:w="3165" w:type="dxa"/>
          </w:tcPr>
          <w:p w:rsidR="005C3F63" w:rsidRDefault="006536E7">
            <w:pPr>
              <w:jc w:val="left"/>
              <w:rPr>
                <w:rFonts w:ascii="Verdana" w:hAnsi="Verdana"/>
                <w:bCs/>
                <w:sz w:val="20"/>
                <w:szCs w:val="20"/>
                <w:lang w:val="sk-SK"/>
              </w:rPr>
            </w:pPr>
            <w:r>
              <w:rPr>
                <w:rFonts w:ascii="Verdana" w:hAnsi="Verdana"/>
                <w:bCs/>
                <w:sz w:val="20"/>
                <w:szCs w:val="20"/>
                <w:lang w:val="sk-SK"/>
              </w:rPr>
              <w:t xml:space="preserve">dôchodková správcovská spoločnosť, </w:t>
            </w:r>
          </w:p>
          <w:p w:rsidR="005C3F63" w:rsidRDefault="006536E7">
            <w:pPr>
              <w:jc w:val="left"/>
              <w:rPr>
                <w:rFonts w:ascii="Verdana" w:hAnsi="Verdana"/>
                <w:bCs/>
                <w:sz w:val="20"/>
                <w:szCs w:val="20"/>
                <w:lang w:val="sk-SK"/>
              </w:rPr>
            </w:pPr>
            <w:r>
              <w:rPr>
                <w:rFonts w:ascii="Verdana" w:hAnsi="Verdana"/>
                <w:bCs/>
                <w:sz w:val="20"/>
                <w:szCs w:val="20"/>
                <w:lang w:val="sk-SK"/>
              </w:rPr>
              <w:t>doplnková dôchodková spoločnosť</w:t>
            </w:r>
          </w:p>
        </w:tc>
        <w:tc>
          <w:tcPr>
            <w:tcW w:w="3166" w:type="dxa"/>
          </w:tcPr>
          <w:p w:rsidR="005C3F63" w:rsidRDefault="006536E7">
            <w:pPr>
              <w:jc w:val="left"/>
              <w:rPr>
                <w:rFonts w:ascii="Verdana" w:hAnsi="Verdana"/>
                <w:bCs/>
                <w:sz w:val="20"/>
                <w:szCs w:val="20"/>
                <w:lang w:val="sk-SK"/>
              </w:rPr>
            </w:pPr>
            <w:r>
              <w:rPr>
                <w:rFonts w:ascii="Verdana" w:hAnsi="Verdana"/>
                <w:bCs/>
                <w:sz w:val="20"/>
                <w:szCs w:val="20"/>
                <w:lang w:val="sk-SK"/>
              </w:rPr>
              <w:t>obchodník s cennými papiermi</w:t>
            </w:r>
          </w:p>
        </w:tc>
        <w:tc>
          <w:tcPr>
            <w:tcW w:w="3166" w:type="dxa"/>
          </w:tcPr>
          <w:p w:rsidR="005C3F63" w:rsidRDefault="006536E7">
            <w:pPr>
              <w:rPr>
                <w:rFonts w:ascii="Verdana" w:hAnsi="Verdana"/>
                <w:bCs/>
                <w:sz w:val="20"/>
                <w:szCs w:val="20"/>
                <w:lang w:val="sk-SK"/>
              </w:rPr>
            </w:pPr>
            <w:r>
              <w:rPr>
                <w:rFonts w:ascii="Verdana" w:hAnsi="Verdana"/>
                <w:bCs/>
                <w:sz w:val="20"/>
                <w:szCs w:val="20"/>
                <w:lang w:val="sk-SK"/>
              </w:rPr>
              <w:t>dôchodkový fond</w:t>
            </w:r>
          </w:p>
        </w:tc>
      </w:tr>
      <w:tr w:rsidR="005C3F63">
        <w:tc>
          <w:tcPr>
            <w:tcW w:w="3165" w:type="dxa"/>
          </w:tcPr>
          <w:p w:rsidR="005C3F63" w:rsidRDefault="006536E7">
            <w:pPr>
              <w:rPr>
                <w:rFonts w:ascii="Verdana" w:hAnsi="Verdana"/>
                <w:bCs/>
                <w:sz w:val="20"/>
                <w:szCs w:val="20"/>
                <w:lang w:val="sk-SK"/>
              </w:rPr>
            </w:pPr>
            <w:r>
              <w:rPr>
                <w:rFonts w:ascii="Verdana" w:hAnsi="Verdana"/>
                <w:bCs/>
                <w:sz w:val="20"/>
                <w:szCs w:val="20"/>
                <w:lang w:val="sk-SK"/>
              </w:rPr>
              <w:t>Burza cenných papierov</w:t>
            </w:r>
          </w:p>
        </w:tc>
        <w:tc>
          <w:tcPr>
            <w:tcW w:w="3166" w:type="dxa"/>
          </w:tcPr>
          <w:p w:rsidR="005C3F63" w:rsidRDefault="006536E7">
            <w:pPr>
              <w:jc w:val="left"/>
              <w:rPr>
                <w:rFonts w:ascii="Verdana" w:hAnsi="Verdana"/>
                <w:bCs/>
                <w:sz w:val="20"/>
                <w:szCs w:val="20"/>
                <w:lang w:val="sk-SK"/>
              </w:rPr>
            </w:pPr>
            <w:r>
              <w:rPr>
                <w:rFonts w:ascii="Verdana" w:hAnsi="Verdana"/>
                <w:bCs/>
                <w:sz w:val="20"/>
                <w:szCs w:val="20"/>
                <w:lang w:val="sk-SK"/>
              </w:rPr>
              <w:t xml:space="preserve">Účtovná jednotka, ktorá emitovala cenné papiere, ktoré boli prijaté na obchodovanie na </w:t>
            </w:r>
            <w:r>
              <w:rPr>
                <w:rFonts w:ascii="Verdana" w:hAnsi="Verdana"/>
                <w:sz w:val="20"/>
                <w:szCs w:val="20"/>
                <w:lang w:val="sk-SK"/>
              </w:rPr>
              <w:t>regulovanom trhu ktoréhokoľvek členského štátu EÚ</w:t>
            </w:r>
          </w:p>
        </w:tc>
        <w:tc>
          <w:tcPr>
            <w:tcW w:w="3166" w:type="dxa"/>
          </w:tcPr>
          <w:p w:rsidR="005C3F63" w:rsidRDefault="006536E7">
            <w:pPr>
              <w:jc w:val="left"/>
              <w:rPr>
                <w:rFonts w:ascii="Verdana" w:hAnsi="Verdana"/>
                <w:bCs/>
                <w:sz w:val="20"/>
                <w:szCs w:val="20"/>
                <w:lang w:val="sk-SK"/>
              </w:rPr>
            </w:pPr>
            <w:r>
              <w:rPr>
                <w:rFonts w:ascii="Verdana" w:hAnsi="Verdana"/>
                <w:bCs/>
                <w:sz w:val="20"/>
                <w:szCs w:val="20"/>
                <w:lang w:val="sk-SK"/>
              </w:rPr>
              <w:t xml:space="preserve">Centrálny depozitár cenných papierov, </w:t>
            </w:r>
          </w:p>
          <w:p w:rsidR="005C3F63" w:rsidRDefault="006536E7">
            <w:pPr>
              <w:jc w:val="left"/>
              <w:rPr>
                <w:rFonts w:ascii="Verdana" w:hAnsi="Verdana"/>
                <w:b/>
                <w:bCs/>
                <w:sz w:val="20"/>
                <w:szCs w:val="20"/>
                <w:lang w:val="sk-SK"/>
              </w:rPr>
            </w:pPr>
            <w:r>
              <w:rPr>
                <w:rFonts w:ascii="Verdana" w:hAnsi="Verdana"/>
                <w:bCs/>
                <w:sz w:val="20"/>
                <w:szCs w:val="20"/>
                <w:lang w:val="sk-SK"/>
              </w:rPr>
              <w:t>subjekt kolektívneho investovania</w:t>
            </w:r>
          </w:p>
        </w:tc>
      </w:tr>
      <w:tr w:rsidR="005C3F63">
        <w:tc>
          <w:tcPr>
            <w:tcW w:w="3165" w:type="dxa"/>
          </w:tcPr>
          <w:p w:rsidR="005C3F63" w:rsidRDefault="006536E7">
            <w:pPr>
              <w:jc w:val="left"/>
              <w:rPr>
                <w:rFonts w:ascii="Verdana" w:hAnsi="Verdana"/>
                <w:bCs/>
                <w:i/>
                <w:sz w:val="20"/>
                <w:szCs w:val="20"/>
                <w:lang w:val="sk-SK"/>
              </w:rPr>
            </w:pPr>
            <w:r>
              <w:rPr>
                <w:rFonts w:ascii="Verdana" w:hAnsi="Verdana"/>
                <w:bCs/>
                <w:i/>
                <w:sz w:val="20"/>
                <w:szCs w:val="20"/>
                <w:lang w:val="sk-SK"/>
              </w:rPr>
              <w:t>Obchodná spoločnosť, ktorá spĺňa najmenej dve po sebe idúce účtovné obdobia aspoň dve z veľkostných podmienok pre IFRS uvedených v Tabuľke 1</w:t>
            </w:r>
          </w:p>
        </w:tc>
        <w:tc>
          <w:tcPr>
            <w:tcW w:w="3166" w:type="dxa"/>
          </w:tcPr>
          <w:p w:rsidR="005C3F63" w:rsidRDefault="005C3F63">
            <w:pPr>
              <w:rPr>
                <w:rFonts w:ascii="Verdana" w:hAnsi="Verdana"/>
                <w:bCs/>
                <w:sz w:val="20"/>
                <w:szCs w:val="20"/>
                <w:lang w:val="sk-SK"/>
              </w:rPr>
            </w:pPr>
          </w:p>
        </w:tc>
        <w:tc>
          <w:tcPr>
            <w:tcW w:w="3166" w:type="dxa"/>
          </w:tcPr>
          <w:p w:rsidR="005C3F63" w:rsidRDefault="005C3F63">
            <w:pPr>
              <w:rPr>
                <w:rFonts w:ascii="Verdana" w:hAnsi="Verdana"/>
                <w:bCs/>
                <w:sz w:val="20"/>
                <w:szCs w:val="20"/>
                <w:lang w:val="sk-SK"/>
              </w:rPr>
            </w:pPr>
          </w:p>
        </w:tc>
      </w:tr>
    </w:tbl>
    <w:p w:rsidR="005C3F63" w:rsidRDefault="006536E7">
      <w:pPr>
        <w:pStyle w:val="af4"/>
        <w:rPr>
          <w:rFonts w:ascii="Verdana" w:hAnsi="Verdana"/>
          <w:b w:val="0"/>
          <w:bCs w:val="0"/>
          <w:sz w:val="18"/>
          <w:szCs w:val="18"/>
          <w:lang w:val="sk-SK"/>
        </w:rPr>
      </w:pPr>
      <w:r>
        <w:rPr>
          <w:rFonts w:ascii="Verdana" w:hAnsi="Verdana"/>
          <w:b w:val="0"/>
          <w:bCs w:val="0"/>
          <w:sz w:val="18"/>
          <w:szCs w:val="18"/>
          <w:lang w:val="sk-SK"/>
        </w:rPr>
        <w:t>* zatriedenie abstrahuje od povinnosti aplikácie IFRS po prekročení veľkostných kritérií uvedených v Tabuľke 1.</w:t>
      </w:r>
    </w:p>
    <w:p w:rsidR="005C3F63" w:rsidRDefault="006536E7">
      <w:pPr>
        <w:spacing w:after="240"/>
        <w:jc w:val="center"/>
        <w:rPr>
          <w:rFonts w:ascii="Verdana" w:hAnsi="Verdana"/>
          <w:sz w:val="18"/>
          <w:szCs w:val="18"/>
          <w:lang w:val="sk-SK"/>
        </w:rPr>
      </w:pPr>
      <w:r>
        <w:rPr>
          <w:rFonts w:ascii="Verdana" w:hAnsi="Verdana"/>
          <w:b/>
          <w:bCs/>
          <w:i/>
          <w:iCs/>
          <w:sz w:val="18"/>
          <w:szCs w:val="18"/>
          <w:lang w:val="sk-SK"/>
        </w:rPr>
        <w:t xml:space="preserve"> </w:t>
      </w:r>
      <w:r>
        <w:rPr>
          <w:rFonts w:ascii="Verdana" w:hAnsi="Verdana"/>
          <w:sz w:val="18"/>
          <w:szCs w:val="18"/>
          <w:lang w:val="sk-SK"/>
        </w:rPr>
        <w:t xml:space="preserve">Zdroj: </w:t>
      </w:r>
      <w:r>
        <w:rPr>
          <w:rFonts w:ascii="Verdana" w:hAnsi="Verdana"/>
          <w:bCs/>
          <w:iCs/>
          <w:sz w:val="18"/>
          <w:szCs w:val="18"/>
          <w:lang w:val="sk-SK"/>
        </w:rPr>
        <w:t>autor na základe zákona o účtovníctve</w:t>
      </w:r>
    </w:p>
    <w:p w:rsidR="005C3F63" w:rsidRDefault="006536E7">
      <w:pPr>
        <w:spacing w:after="120"/>
        <w:rPr>
          <w:rFonts w:ascii="Verdana" w:hAnsi="Verdana"/>
          <w:sz w:val="20"/>
          <w:szCs w:val="20"/>
          <w:lang w:val="sk-SK"/>
        </w:rPr>
      </w:pPr>
      <w:r>
        <w:rPr>
          <w:rFonts w:ascii="Verdana" w:hAnsi="Verdana"/>
          <w:sz w:val="20"/>
          <w:szCs w:val="20"/>
          <w:lang w:val="sk-SK"/>
        </w:rPr>
        <w:t xml:space="preserve">Okrem subjektov verejného záujmu sa môžu niektoré vybrané účtovné jednotky rozhodnúť pre prijatie IFRS, ide o: novozaložená dcérska účtovná jednotka, ktorá spĺňa veľkostné kritériá vykazovania podľa IFRS a zároveň jej materská spoločnosť zostavuje účtovnú závierku podľa IFRS; európska spoločnosť (Societas Europaea) alebo európske družstvo (Societas coopererativa Europaea) alebo európske zoskupenie hospodárskych záujmov so sídlom v Slovenskej republike, ak pred premiestnením svojho sídla do Slovenskej republiky zostavovali účtovnú závierku v súlade s IFRS. (Ondrušová, 2016). Je dôležité upozorniť na skutočnosť, že ak účtovná jednotka splní dôvody na aplikáciu IFRS musí ich aplikovať aj v nasledujúcich účtovných obdobiach aj napriek tomu, ak by dôvody na ich aplikáciu pominuli.  </w:t>
      </w:r>
    </w:p>
    <w:p w:rsidR="005C3F63" w:rsidRDefault="006536E7">
      <w:pPr>
        <w:spacing w:after="120"/>
        <w:rPr>
          <w:rFonts w:ascii="Verdana" w:hAnsi="Verdana"/>
          <w:sz w:val="20"/>
          <w:szCs w:val="20"/>
          <w:lang w:val="sk-SK"/>
        </w:rPr>
      </w:pPr>
      <w:r>
        <w:rPr>
          <w:rFonts w:ascii="Verdana" w:hAnsi="Verdana"/>
          <w:sz w:val="20"/>
          <w:szCs w:val="20"/>
          <w:lang w:val="sk-SK"/>
        </w:rPr>
        <w:t xml:space="preserve">Na základe uskutočnenej analýzy boli stanovené nasledujúce hypotézy: </w:t>
      </w:r>
    </w:p>
    <w:p w:rsidR="005C3F63" w:rsidRDefault="006536E7">
      <w:pPr>
        <w:spacing w:after="120"/>
        <w:rPr>
          <w:rFonts w:ascii="Verdana" w:hAnsi="Verdana"/>
          <w:i/>
          <w:sz w:val="20"/>
          <w:szCs w:val="20"/>
          <w:lang w:val="sk-SK"/>
        </w:rPr>
      </w:pPr>
      <w:r>
        <w:rPr>
          <w:rFonts w:ascii="Verdana" w:hAnsi="Verdana"/>
          <w:i/>
          <w:sz w:val="20"/>
          <w:szCs w:val="20"/>
          <w:lang w:val="sk-SK"/>
        </w:rPr>
        <w:t>H0: V SR je dobrovoľná aplikácia IFRS možná, čo sa potvrdilo u účtovnej jednotky v rebríčku TOP 100.</w:t>
      </w:r>
    </w:p>
    <w:p w:rsidR="005C3F63" w:rsidRDefault="006536E7">
      <w:pPr>
        <w:spacing w:after="120"/>
        <w:rPr>
          <w:rFonts w:ascii="Verdana" w:hAnsi="Verdana"/>
          <w:i/>
          <w:sz w:val="20"/>
          <w:szCs w:val="20"/>
          <w:lang w:val="sk-SK"/>
        </w:rPr>
      </w:pPr>
      <w:r>
        <w:rPr>
          <w:rFonts w:ascii="Verdana" w:hAnsi="Verdana"/>
          <w:i/>
          <w:sz w:val="20"/>
          <w:szCs w:val="20"/>
          <w:lang w:val="sk-SK"/>
        </w:rPr>
        <w:t>H1: V SR je dobrovoľná aplikácia IFRS možná, ale aplikácia u účtovnej jednotky v rebríčku TOP 100 sa nepotvrdila.</w:t>
      </w:r>
    </w:p>
    <w:p w:rsidR="005C3F63" w:rsidRDefault="006536E7">
      <w:pPr>
        <w:spacing w:after="120"/>
        <w:rPr>
          <w:rFonts w:ascii="Verdana" w:hAnsi="Verdana"/>
          <w:sz w:val="20"/>
          <w:szCs w:val="20"/>
          <w:lang w:val="sk-SK"/>
        </w:rPr>
      </w:pPr>
      <w:r>
        <w:rPr>
          <w:rFonts w:ascii="Verdana" w:hAnsi="Verdana"/>
          <w:sz w:val="20"/>
          <w:szCs w:val="20"/>
          <w:lang w:val="sk-SK"/>
        </w:rPr>
        <w:t xml:space="preserve">Testovanie hypotéz prebiehalo na vzorke 100 účtovných jednotiek zverejnených v rebríčku TOP účtovných jednotiek podľa veľkosti obratu (tržieb) za účtovné obdobie 2018 zverejnených spoločnosťou FinStat. V zozname sú zahrnuté účtovné jednotky s účtovným obdobím končiacim 31. decembra 2018 alebo účtovné jednotky, ktoré využívajú hospodársky rok končiaci po 31. júli 2018. Údaje pre ďalšiu analýzu boli získané z Registra účtovných závierok, ktorý spravuje Ministerstvo financií Slovenskej republiky a prevádzkuje DataCentum. </w:t>
      </w:r>
    </w:p>
    <w:p w:rsidR="005C3F63" w:rsidRDefault="006536E7">
      <w:pPr>
        <w:pStyle w:val="Kapitola"/>
      </w:pPr>
      <w:r>
        <w:lastRenderedPageBreak/>
        <w:t xml:space="preserve">3 Výsledky a diskusia / Results and Discussion </w:t>
      </w:r>
    </w:p>
    <w:p w:rsidR="005C3F63" w:rsidRDefault="006536E7">
      <w:pPr>
        <w:spacing w:after="120"/>
        <w:rPr>
          <w:rFonts w:ascii="Verdana" w:hAnsi="Verdana"/>
          <w:sz w:val="20"/>
          <w:szCs w:val="20"/>
          <w:lang w:val="cs-CZ"/>
        </w:rPr>
      </w:pPr>
      <w:r>
        <w:rPr>
          <w:rFonts w:ascii="Verdana" w:hAnsi="Verdana"/>
          <w:sz w:val="20"/>
          <w:szCs w:val="20"/>
          <w:lang w:val="sk-SK"/>
        </w:rPr>
        <w:t xml:space="preserve">Výberový súbor 100 najväčších účtovných jednotiek podľa obratu za účtovné obdobie 2018 je veľkostne rôznorodý, top účtovná jednotka mala celkové tržby v hodnote 10 380 mil. €, ale posledná  skúmaná jednotka mala tržby iba 220 mil. €. Z dôvodu obmedzenia ekonomického prostredia Slovenskej republiky neboli do vzorky zaradené žiadne ďalšie subjekty. Register nesprístupňoval účtovné závierky 2 subjektov zaradených do Top 100 (k dispozícii boli len prázdne súbory) - táto nezrovnalosť je svojou povahou prekvapivá, pretože zverejňovanie účtovnej závierky po uplynutí zákonom určenej lehoty podľa zákona o účtovníctve je povinné. 6 zahrnutých subjektov boli finančné inštitúcie, pre ktoré je aplikácia IFRS povinná. 1 subjekt má právnu formu štátneho podniku, ktorému aplikáciu IFRS súčasné právne predpisy neumožňujú. Vzorka podnikateľských subjektov (obchodných spoločností), u ktorých by bola možná dobrovoľná aplikácia IFRS sa tak znížila na 88 subjektov. Z 91 subjektov 64 prezentuje svoju účtovnú závierku podľa IFRS, zvyšných 27 subjektov zverejňuje svoju účtovnú závierku zostavenú podľa slovenskej právnej úpravy. </w:t>
      </w:r>
    </w:p>
    <w:p w:rsidR="005C3F63" w:rsidRDefault="006536E7">
      <w:pPr>
        <w:spacing w:after="120"/>
        <w:rPr>
          <w:rFonts w:ascii="Verdana" w:hAnsi="Verdana"/>
          <w:sz w:val="20"/>
          <w:szCs w:val="20"/>
          <w:lang w:val="sk-SK"/>
        </w:rPr>
      </w:pPr>
      <w:r>
        <w:rPr>
          <w:rFonts w:ascii="Verdana" w:hAnsi="Verdana"/>
          <w:sz w:val="20"/>
          <w:szCs w:val="20"/>
          <w:lang w:val="sk-SK"/>
        </w:rPr>
        <w:t xml:space="preserve">Následne bol na vzorke 91 subjektov vykonaný test podľa veľkostných kritérií pre povinnú aplikáciu IFRS. Len 56 zo 64 subjektov spĺňalo minimálne dve veľkostné kritériá pre povinné prijatie IFRS podľa zákona o účtovníctve (pozri Tabuľku 1), takže ďalšie podrobné testovanie bolo uskutočnené na 8 subjektoch. Po komplexnej analýze dostupných historických údajov o všetkých 8 subjektoch v Registri bol získaný dostatočný dôkaz na to, aby bolo možné prijať záver, že každý zo subjektov v minulosti splnil zákonom predpísané veľkostné kritériá na povinné prijatie IFRS. Podľa súčasných právnych predpisov je stanovené, že účtovná jednotka po prijatí IFRS nemôže prestať zverejňovať svoju účtovnú závierku podľa IFRS, aj keď už nespĺňa stanovené veľkostné kritériá. Iba 2 z 27 subjektov zverejňujúcich účtovnú závierku v súlade so slovenskými predpismi spĺňajú aspoň 2 veľkostné kritériá pre povinné prijatie IFRS, ale oba subjekty prekračujú uvedené kritériá iba pre 1 obdobie, takže podmienka na prijatie IFRS ešte nebola splnená. </w:t>
      </w:r>
    </w:p>
    <w:p w:rsidR="005C3F63" w:rsidRDefault="006536E7">
      <w:pPr>
        <w:spacing w:after="120"/>
        <w:rPr>
          <w:rFonts w:ascii="Verdana" w:hAnsi="Verdana"/>
          <w:sz w:val="20"/>
          <w:szCs w:val="20"/>
          <w:lang w:val="sk-SK"/>
        </w:rPr>
      </w:pPr>
      <w:r>
        <w:rPr>
          <w:rFonts w:ascii="Verdana" w:hAnsi="Verdana"/>
          <w:sz w:val="20"/>
          <w:szCs w:val="20"/>
          <w:lang w:val="sk-SK"/>
        </w:rPr>
        <w:t xml:space="preserve">V rámci rebríčka TOP 100 sa nevyskytoval žiadny subjekt verejného záujmu, ktorý môže dobrovoľne aplikovať IFRS (pozri Tabuľku 2). Vyskytli sa však 3 subjekty verejného záujmu, ktoré do prekročenia veľkostných kritérií nemajú povinnosť zostavovať účtovnú závierku v súlade s IFRS, ale všetky uvedené kritériá spĺňali – konkrétne ide o všetky tri zdravotné poisťovne pôsobiace v Slovenskej republike. V rebríčku TOP 100 sa nenachádzali žiadne účtovné jednotky, ktoré by si dobrovoľne mohli zvoliť IFRS hoci nie sú subjektom vereného záujmu (novozaložená dcérska účtovná jednotka, ktorá spĺňa veľkostné kritériá vykazovania podľa IFRS a zároveň jej materská spoločnosť zostavuje účtovnú závierku podľa IFRS; európska spoločnosť alebo európske družstvo alebo európske zoskupenie hospodárskych záujmov so sídlom v Slovenskej republike, ak pred premiestnením svojho sídla do Slovenskej republiky zostavovali účtovnú závierku v súlade s IFRS). </w:t>
      </w:r>
    </w:p>
    <w:p w:rsidR="005C3F63" w:rsidRDefault="006536E7">
      <w:pPr>
        <w:spacing w:after="120"/>
        <w:rPr>
          <w:rFonts w:ascii="Verdana" w:hAnsi="Verdana"/>
          <w:i/>
          <w:sz w:val="20"/>
          <w:szCs w:val="20"/>
          <w:lang w:val="sk-SK"/>
        </w:rPr>
      </w:pPr>
      <w:r>
        <w:rPr>
          <w:rFonts w:ascii="Verdana" w:hAnsi="Verdana"/>
          <w:sz w:val="20"/>
          <w:szCs w:val="20"/>
          <w:lang w:val="sk-SK"/>
        </w:rPr>
        <w:t xml:space="preserve">Na základe vykonanej analýzy teda zamietame hypotézu </w:t>
      </w:r>
      <w:r>
        <w:rPr>
          <w:rFonts w:ascii="Verdana" w:hAnsi="Verdana"/>
          <w:i/>
          <w:sz w:val="20"/>
          <w:szCs w:val="20"/>
          <w:lang w:val="sk-SK"/>
        </w:rPr>
        <w:t xml:space="preserve">H0 </w:t>
      </w:r>
      <w:r>
        <w:rPr>
          <w:rFonts w:ascii="Verdana" w:hAnsi="Verdana"/>
          <w:sz w:val="20"/>
          <w:szCs w:val="20"/>
          <w:lang w:val="sk-SK"/>
        </w:rPr>
        <w:t xml:space="preserve">a prijímame hypotézu </w:t>
      </w:r>
      <w:r>
        <w:rPr>
          <w:rFonts w:ascii="Verdana" w:hAnsi="Verdana"/>
          <w:i/>
          <w:sz w:val="20"/>
          <w:szCs w:val="20"/>
          <w:lang w:val="sk-SK"/>
        </w:rPr>
        <w:t>H1: V SR je dobrovoľná aplikácia IFRS možná, ale aplikácia u účtovnej jednotky v rebríčku TOP 100 sa nepotvrdila.</w:t>
      </w:r>
    </w:p>
    <w:p w:rsidR="005C3F63" w:rsidRDefault="006536E7">
      <w:pPr>
        <w:pStyle w:val="Kapitola"/>
        <w:rPr>
          <w:lang w:val="sk-SK"/>
        </w:rPr>
      </w:pPr>
      <w:r>
        <w:rPr>
          <w:lang w:val="sk-SK"/>
        </w:rPr>
        <w:t>Záver / Conclusions</w:t>
      </w:r>
    </w:p>
    <w:p w:rsidR="005C3F63" w:rsidRDefault="006536E7">
      <w:pPr>
        <w:spacing w:after="120"/>
        <w:rPr>
          <w:rFonts w:ascii="Verdana" w:hAnsi="Verdana"/>
          <w:sz w:val="20"/>
          <w:szCs w:val="20"/>
          <w:lang w:val="sk-SK"/>
        </w:rPr>
      </w:pPr>
      <w:r>
        <w:rPr>
          <w:rFonts w:ascii="Verdana" w:hAnsi="Verdana"/>
          <w:sz w:val="20"/>
          <w:szCs w:val="20"/>
          <w:lang w:val="sk-SK"/>
        </w:rPr>
        <w:t xml:space="preserve">Analýza právnej úpravy účtovníctva v Slovenskej republike potvrdila možnosť dobrovoľnej aplikácie IFRS pre vymedzený okruh účtovných jednotiek, či už subjektov verejného záujmu alebo aj malej skupiny vybraných účtovných jednotiek. Analýza dostupných údajov účtovných jednotiek zaradených do rebríčka TOP 100 firiem podľa obratu za účtovné obdobie 2018 nepotvrdila hypotézu o dobrovoľnom prijatí IFRS účtovnou jednotkou v Slovenskej republike. Uvedená analýza priniesla neočakávaný výsledok, konkrétne 8 účtovných jednotiek zostavuje svoju účtovnú závierku podľa IFRS hoci už nespĺňa zákonom predpísané minimálne veľkostné kritériá. Toto je spôsobené povinnosťou, že ak účtovná jednotka začne aplikovať IFRS (napr. po prekročení </w:t>
      </w:r>
      <w:r>
        <w:rPr>
          <w:rFonts w:ascii="Verdana" w:hAnsi="Verdana"/>
          <w:sz w:val="20"/>
          <w:szCs w:val="20"/>
          <w:lang w:val="sk-SK"/>
        </w:rPr>
        <w:lastRenderedPageBreak/>
        <w:t xml:space="preserve">veľkostných kritérií alebo na dobrovoľnej báze – ak jej to legislatíva umožňuje) musí zostavovať svoju účtovnú závierku podľa IFRS aj keď už nespĺňa zákonom stanovené kritériá.    </w:t>
      </w:r>
    </w:p>
    <w:p w:rsidR="005C3F63" w:rsidRDefault="006536E7">
      <w:pPr>
        <w:pStyle w:val="Kapitola"/>
        <w:rPr>
          <w:lang w:val="cs-CZ"/>
        </w:rPr>
      </w:pPr>
      <w:r>
        <w:rPr>
          <w:lang w:val="sk-SK"/>
        </w:rPr>
        <w:t xml:space="preserve">Príslušnosť ku grantovej úlohe </w:t>
      </w:r>
      <w:r>
        <w:rPr>
          <w:lang w:val="cs-CZ"/>
        </w:rPr>
        <w:t xml:space="preserve">/ </w:t>
      </w:r>
      <w:r>
        <w:rPr>
          <w:lang w:val="sk-SK"/>
        </w:rPr>
        <w:t>Acknowledgments</w:t>
      </w:r>
    </w:p>
    <w:p w:rsidR="005C3F63" w:rsidRDefault="006536E7">
      <w:pPr>
        <w:spacing w:after="120"/>
        <w:rPr>
          <w:rFonts w:ascii="Verdana" w:hAnsi="Verdana"/>
          <w:sz w:val="20"/>
          <w:szCs w:val="20"/>
          <w:lang w:val="cs-CZ"/>
        </w:rPr>
      </w:pPr>
      <w:r>
        <w:rPr>
          <w:rFonts w:ascii="Verdana" w:hAnsi="Verdana"/>
          <w:sz w:val="20"/>
          <w:szCs w:val="20"/>
          <w:lang w:val="sk-SK"/>
        </w:rPr>
        <w:t>Táto práca bola podporovaná Agentúrou na podporu výskumu a vývoja na základe Zmluvy č. APVV-16-0602</w:t>
      </w:r>
      <w:r>
        <w:rPr>
          <w:rFonts w:ascii="Verdana" w:hAnsi="Verdana"/>
          <w:sz w:val="20"/>
          <w:szCs w:val="20"/>
          <w:lang w:val="cs-CZ"/>
        </w:rPr>
        <w:t xml:space="preserve">. </w:t>
      </w:r>
    </w:p>
    <w:p w:rsidR="005C3F63" w:rsidRDefault="006536E7">
      <w:pPr>
        <w:pStyle w:val="Kapitola"/>
        <w:rPr>
          <w:lang w:val="cs-CZ"/>
        </w:rPr>
      </w:pPr>
      <w:r>
        <w:rPr>
          <w:lang w:val="sk-SK"/>
        </w:rPr>
        <w:t xml:space="preserve">Literárne zdroje a iné odkazy </w:t>
      </w:r>
      <w:r>
        <w:rPr>
          <w:lang w:val="cs-CZ"/>
        </w:rPr>
        <w:t xml:space="preserve">/ </w:t>
      </w:r>
      <w:r>
        <w:t>References</w:t>
      </w:r>
    </w:p>
    <w:p w:rsidR="005C3F63" w:rsidRDefault="006536E7">
      <w:pPr>
        <w:shd w:val="clear" w:color="auto" w:fill="FFFFFF"/>
        <w:rPr>
          <w:rFonts w:ascii="Verdana" w:hAnsi="Verdana"/>
          <w:color w:val="333333"/>
          <w:sz w:val="20"/>
          <w:szCs w:val="20"/>
        </w:rPr>
      </w:pPr>
      <w:r>
        <w:rPr>
          <w:rFonts w:ascii="Verdana" w:hAnsi="Verdana"/>
          <w:color w:val="333333"/>
          <w:sz w:val="20"/>
          <w:szCs w:val="20"/>
        </w:rPr>
        <w:t xml:space="preserve">Ball, R. (2006). International Financial Reporting Standards (IFRS): pros and cons for investors. In: </w:t>
      </w:r>
      <w:r>
        <w:rPr>
          <w:rFonts w:ascii="Verdana" w:hAnsi="Verdana"/>
          <w:i/>
          <w:iCs/>
          <w:color w:val="333333"/>
          <w:sz w:val="20"/>
          <w:szCs w:val="20"/>
        </w:rPr>
        <w:t>Accounting And Business Research</w:t>
      </w:r>
      <w:r>
        <w:rPr>
          <w:rFonts w:ascii="Verdana" w:hAnsi="Verdana"/>
          <w:color w:val="333333"/>
          <w:sz w:val="20"/>
          <w:szCs w:val="20"/>
        </w:rPr>
        <w:t>, </w:t>
      </w:r>
      <w:r>
        <w:rPr>
          <w:rFonts w:ascii="Verdana" w:hAnsi="Verdana"/>
          <w:i/>
          <w:iCs/>
          <w:color w:val="333333"/>
          <w:sz w:val="20"/>
          <w:szCs w:val="20"/>
        </w:rPr>
        <w:t>36</w:t>
      </w:r>
      <w:r>
        <w:rPr>
          <w:rFonts w:ascii="Verdana" w:hAnsi="Verdana"/>
          <w:color w:val="333333"/>
          <w:sz w:val="20"/>
          <w:szCs w:val="20"/>
        </w:rPr>
        <w:t>(sup1), pp. 5-27. DOI: 10.1080/00014788.2006.9730040</w:t>
      </w:r>
    </w:p>
    <w:p w:rsidR="005C3F63" w:rsidRDefault="006536E7">
      <w:pPr>
        <w:pStyle w:val="af4"/>
        <w:jc w:val="both"/>
        <w:rPr>
          <w:rFonts w:ascii="Verdana" w:hAnsi="Verdana" w:cs="Times New Roman"/>
          <w:b w:val="0"/>
          <w:bCs w:val="0"/>
          <w:sz w:val="20"/>
          <w:szCs w:val="20"/>
          <w:lang w:val="en-GB"/>
        </w:rPr>
      </w:pPr>
      <w:r>
        <w:rPr>
          <w:rFonts w:ascii="Verdana" w:hAnsi="Verdana" w:cs="Times New Roman"/>
          <w:b w:val="0"/>
          <w:bCs w:val="0"/>
          <w:sz w:val="20"/>
          <w:szCs w:val="20"/>
          <w:lang w:val="en-GB"/>
        </w:rPr>
        <w:t>Blahušiaková, M. (2017). New trends in evaluation of accounting entity's financial performance based on the financial statements. In: </w:t>
      </w:r>
      <w:r>
        <w:rPr>
          <w:rFonts w:ascii="Verdana" w:hAnsi="Verdana" w:cs="Times New Roman"/>
          <w:b w:val="0"/>
          <w:bCs w:val="0"/>
          <w:i/>
          <w:iCs/>
          <w:sz w:val="20"/>
          <w:szCs w:val="20"/>
          <w:lang w:val="en-GB"/>
        </w:rPr>
        <w:t>Strategic Management And Decision Support Systems In Strategic Management: Proceedings: Theme: Digital Evolution: Adapting Business For A Digital Age: 22Nd International Scientific Conference: Subotica, [Serbia], May 19, 2017</w:t>
      </w:r>
      <w:r>
        <w:rPr>
          <w:rFonts w:ascii="Verdana" w:hAnsi="Verdana" w:cs="Times New Roman"/>
          <w:b w:val="0"/>
          <w:bCs w:val="0"/>
          <w:sz w:val="20"/>
          <w:szCs w:val="20"/>
          <w:lang w:val="en-GB"/>
        </w:rPr>
        <w:t>, pp. 539-544.</w:t>
      </w:r>
    </w:p>
    <w:p w:rsidR="005C3F63" w:rsidRDefault="006536E7">
      <w:pPr>
        <w:pStyle w:val="af4"/>
        <w:jc w:val="both"/>
        <w:rPr>
          <w:rFonts w:ascii="Verdana" w:hAnsi="Verdana" w:cs="Times New Roman"/>
          <w:b w:val="0"/>
          <w:bCs w:val="0"/>
          <w:color w:val="212529"/>
          <w:sz w:val="20"/>
          <w:szCs w:val="20"/>
          <w:shd w:val="clear" w:color="auto" w:fill="FFFFFF"/>
        </w:rPr>
      </w:pPr>
      <w:r>
        <w:rPr>
          <w:rFonts w:ascii="Verdana" w:hAnsi="Verdana" w:cs="Times New Roman"/>
          <w:b w:val="0"/>
          <w:bCs w:val="0"/>
          <w:color w:val="212529"/>
          <w:sz w:val="20"/>
          <w:szCs w:val="20"/>
          <w:shd w:val="clear" w:color="auto" w:fill="FFFFFF"/>
        </w:rPr>
        <w:t>FinStat Štatistika – Firmy s najväčšími tržbami 2018. Retrieved from:</w:t>
      </w:r>
      <w:r>
        <w:rPr>
          <w:rFonts w:ascii="Verdana" w:hAnsi="Verdana"/>
          <w:sz w:val="20"/>
          <w:szCs w:val="20"/>
        </w:rPr>
        <w:t xml:space="preserve"> </w:t>
      </w:r>
      <w:r>
        <w:rPr>
          <w:rFonts w:ascii="Verdana" w:hAnsi="Verdana" w:cs="Times New Roman"/>
          <w:b w:val="0"/>
          <w:bCs w:val="0"/>
          <w:color w:val="212529"/>
          <w:sz w:val="20"/>
          <w:szCs w:val="20"/>
          <w:shd w:val="clear" w:color="auto" w:fill="FFFFFF"/>
        </w:rPr>
        <w:t>https://finstat.sk/databaza-financnych-udajov</w:t>
      </w:r>
    </w:p>
    <w:p w:rsidR="005C3F63" w:rsidRDefault="006536E7">
      <w:pPr>
        <w:pStyle w:val="af4"/>
        <w:jc w:val="both"/>
        <w:rPr>
          <w:rFonts w:ascii="Verdana" w:hAnsi="Verdana" w:cs="Times New Roman"/>
          <w:b w:val="0"/>
          <w:bCs w:val="0"/>
          <w:color w:val="212529"/>
          <w:sz w:val="20"/>
          <w:szCs w:val="20"/>
          <w:shd w:val="clear" w:color="auto" w:fill="FFFFFF"/>
        </w:rPr>
      </w:pPr>
      <w:r>
        <w:rPr>
          <w:rFonts w:ascii="Verdana" w:hAnsi="Verdana" w:cs="Times New Roman"/>
          <w:b w:val="0"/>
          <w:bCs w:val="0"/>
          <w:color w:val="212529"/>
          <w:sz w:val="20"/>
          <w:szCs w:val="20"/>
          <w:shd w:val="clear" w:color="auto" w:fill="FFFFFF"/>
        </w:rPr>
        <w:t>Kubaščíková, Z., &amp; Pakšiová, R. (2015). Impact of accounting standards on the results of financial analysis. In: </w:t>
      </w:r>
      <w:r>
        <w:rPr>
          <w:rFonts w:ascii="Verdana" w:hAnsi="Verdana" w:cs="Times New Roman"/>
          <w:b w:val="0"/>
          <w:bCs w:val="0"/>
          <w:i/>
          <w:iCs/>
          <w:color w:val="212529"/>
          <w:sz w:val="20"/>
          <w:szCs w:val="20"/>
          <w:shd w:val="clear" w:color="auto" w:fill="FFFFFF"/>
        </w:rPr>
        <w:t>Ifrs: Global Rules &amp; Local Use: Proceedings Of The 3Rd International Scientific Conference: Prague, October 8–9, 2015: Anglo-American University, Prague - Czech Republic</w:t>
      </w:r>
      <w:r>
        <w:rPr>
          <w:rFonts w:ascii="Verdana" w:hAnsi="Verdana" w:cs="Times New Roman"/>
          <w:b w:val="0"/>
          <w:bCs w:val="0"/>
          <w:color w:val="212529"/>
          <w:sz w:val="20"/>
          <w:szCs w:val="20"/>
          <w:shd w:val="clear" w:color="auto" w:fill="FFFFFF"/>
        </w:rPr>
        <w:t>, pp. 150-155.</w:t>
      </w:r>
    </w:p>
    <w:p w:rsidR="005C3F63" w:rsidRDefault="006536E7">
      <w:pPr>
        <w:pStyle w:val="af4"/>
        <w:jc w:val="both"/>
        <w:rPr>
          <w:rFonts w:ascii="Verdana" w:hAnsi="Verdana" w:cs="Times New Roman"/>
          <w:b w:val="0"/>
          <w:bCs w:val="0"/>
          <w:color w:val="212529"/>
          <w:sz w:val="20"/>
          <w:szCs w:val="20"/>
          <w:shd w:val="clear" w:color="auto" w:fill="FFFFFF"/>
        </w:rPr>
      </w:pPr>
      <w:r>
        <w:rPr>
          <w:rFonts w:ascii="Verdana" w:hAnsi="Verdana" w:cs="Times New Roman"/>
          <w:b w:val="0"/>
          <w:bCs w:val="0"/>
          <w:color w:val="212529"/>
          <w:sz w:val="20"/>
          <w:szCs w:val="20"/>
          <w:shd w:val="clear" w:color="auto" w:fill="FFFFFF"/>
        </w:rPr>
        <w:t xml:space="preserve">Ondrušová, L. (2016). Management decisions in transfer pricing. In: </w:t>
      </w:r>
      <w:r>
        <w:rPr>
          <w:rFonts w:ascii="Verdana" w:hAnsi="Verdana" w:cs="Times New Roman"/>
          <w:b w:val="0"/>
          <w:bCs w:val="0"/>
          <w:i/>
          <w:color w:val="212529"/>
          <w:sz w:val="20"/>
          <w:szCs w:val="20"/>
          <w:shd w:val="clear" w:color="auto" w:fill="FFFFFF"/>
        </w:rPr>
        <w:t>Strategic Management: International Journal Of Strategic Management And Decision Support Systems In Strategic Management, 21(1)</w:t>
      </w:r>
      <w:r>
        <w:rPr>
          <w:rFonts w:ascii="Verdana" w:hAnsi="Verdana" w:cs="Times New Roman"/>
          <w:b w:val="0"/>
          <w:bCs w:val="0"/>
          <w:color w:val="212529"/>
          <w:sz w:val="20"/>
          <w:szCs w:val="20"/>
          <w:shd w:val="clear" w:color="auto" w:fill="FFFFFF"/>
        </w:rPr>
        <w:t>, pp. 3-7</w:t>
      </w:r>
    </w:p>
    <w:p w:rsidR="005C3F63" w:rsidRDefault="006536E7">
      <w:pPr>
        <w:pStyle w:val="af4"/>
        <w:jc w:val="both"/>
        <w:rPr>
          <w:rFonts w:ascii="Verdana" w:hAnsi="Verdana" w:cs="Times New Roman"/>
          <w:b w:val="0"/>
          <w:bCs w:val="0"/>
          <w:sz w:val="20"/>
          <w:szCs w:val="20"/>
        </w:rPr>
      </w:pPr>
      <w:r>
        <w:rPr>
          <w:rFonts w:ascii="Verdana" w:hAnsi="Verdana" w:cs="Times New Roman"/>
          <w:b w:val="0"/>
          <w:bCs w:val="0"/>
          <w:sz w:val="20"/>
          <w:szCs w:val="20"/>
        </w:rPr>
        <w:t xml:space="preserve">Ondrušová, L. &amp; Kňažková, V., (2017). Subjekty verejného záujmu v kontexte právnej úpravy účtovníctva. In: </w:t>
      </w:r>
      <w:r>
        <w:rPr>
          <w:rFonts w:ascii="Verdana" w:hAnsi="Verdana" w:cs="Times New Roman"/>
          <w:b w:val="0"/>
          <w:bCs w:val="0"/>
          <w:i/>
          <w:sz w:val="20"/>
          <w:szCs w:val="20"/>
        </w:rPr>
        <w:t>Ekonomika a informatika: vedecký časopis FHI EU v Bratislave a SSHI</w:t>
      </w:r>
      <w:r>
        <w:rPr>
          <w:rFonts w:ascii="Verdana" w:hAnsi="Verdana" w:cs="Times New Roman"/>
          <w:b w:val="0"/>
          <w:bCs w:val="0"/>
          <w:sz w:val="20"/>
          <w:szCs w:val="20"/>
        </w:rPr>
        <w:t xml:space="preserve">, 15(2), pp.81-90. </w:t>
      </w:r>
    </w:p>
    <w:p w:rsidR="005C3F63" w:rsidRDefault="006536E7">
      <w:pPr>
        <w:pStyle w:val="af4"/>
        <w:jc w:val="both"/>
        <w:rPr>
          <w:rFonts w:ascii="Verdana" w:hAnsi="Verdana" w:cs="Times New Roman"/>
          <w:b w:val="0"/>
          <w:bCs w:val="0"/>
          <w:sz w:val="20"/>
          <w:szCs w:val="20"/>
          <w:lang w:val="en-GB"/>
        </w:rPr>
      </w:pPr>
      <w:r>
        <w:rPr>
          <w:rFonts w:ascii="Verdana" w:hAnsi="Verdana" w:cs="Times New Roman"/>
          <w:b w:val="0"/>
          <w:bCs w:val="0"/>
          <w:sz w:val="20"/>
          <w:szCs w:val="20"/>
        </w:rPr>
        <w:t xml:space="preserve">Šlosárová, A., &amp; Šlosár, R. (2005). </w:t>
      </w:r>
      <w:r>
        <w:rPr>
          <w:rFonts w:ascii="Verdana" w:hAnsi="Verdana" w:cs="Times New Roman"/>
          <w:b w:val="0"/>
          <w:bCs w:val="0"/>
          <w:sz w:val="20"/>
          <w:szCs w:val="20"/>
          <w:lang w:val="en-GB"/>
        </w:rPr>
        <w:t xml:space="preserve">Fundamental aspects of the accounting theory within the context of market economy. In: </w:t>
      </w:r>
      <w:r>
        <w:rPr>
          <w:rFonts w:ascii="Verdana" w:hAnsi="Verdana" w:cs="Times New Roman"/>
          <w:b w:val="0"/>
          <w:bCs w:val="0"/>
          <w:i/>
          <w:iCs/>
          <w:sz w:val="20"/>
          <w:szCs w:val="20"/>
          <w:lang w:val="en-GB"/>
        </w:rPr>
        <w:t>Ekonomický Časopis: Časopis Pre Ekonomickú Teóriu A Hospodársku Politiku, Spoločensko-Ekonomické Prognózovanie</w:t>
      </w:r>
      <w:r>
        <w:rPr>
          <w:rFonts w:ascii="Verdana" w:hAnsi="Verdana" w:cs="Times New Roman"/>
          <w:b w:val="0"/>
          <w:bCs w:val="0"/>
          <w:sz w:val="20"/>
          <w:szCs w:val="20"/>
          <w:lang w:val="en-GB"/>
        </w:rPr>
        <w:t xml:space="preserve">, </w:t>
      </w:r>
      <w:r>
        <w:rPr>
          <w:rFonts w:ascii="Verdana" w:hAnsi="Verdana" w:cs="Times New Roman"/>
          <w:b w:val="0"/>
          <w:bCs w:val="0"/>
          <w:i/>
          <w:iCs/>
          <w:sz w:val="20"/>
          <w:szCs w:val="20"/>
          <w:lang w:val="en-GB"/>
        </w:rPr>
        <w:t>= Journal For Economic Theory, Economic Policy, Social And Economic Forecasting</w:t>
      </w:r>
      <w:r>
        <w:rPr>
          <w:rFonts w:ascii="Verdana" w:hAnsi="Verdana" w:cs="Times New Roman"/>
          <w:b w:val="0"/>
          <w:bCs w:val="0"/>
          <w:sz w:val="20"/>
          <w:szCs w:val="20"/>
          <w:lang w:val="en-GB"/>
        </w:rPr>
        <w:t> </w:t>
      </w:r>
      <w:r>
        <w:rPr>
          <w:rFonts w:ascii="Verdana" w:hAnsi="Verdana" w:cs="Times New Roman"/>
          <w:b w:val="0"/>
          <w:bCs w:val="0"/>
          <w:i/>
          <w:iCs/>
          <w:sz w:val="20"/>
          <w:szCs w:val="20"/>
          <w:lang w:val="en-GB"/>
        </w:rPr>
        <w:t>53</w:t>
      </w:r>
      <w:r>
        <w:rPr>
          <w:rFonts w:ascii="Verdana" w:hAnsi="Verdana" w:cs="Times New Roman"/>
          <w:b w:val="0"/>
          <w:bCs w:val="0"/>
          <w:sz w:val="20"/>
          <w:szCs w:val="20"/>
          <w:lang w:val="en-GB"/>
        </w:rPr>
        <w:t>(2), pp. 184-197.</w:t>
      </w:r>
    </w:p>
    <w:p w:rsidR="005C3F63" w:rsidRDefault="006536E7">
      <w:pPr>
        <w:pStyle w:val="af4"/>
        <w:jc w:val="both"/>
        <w:rPr>
          <w:rFonts w:ascii="Verdana" w:hAnsi="Verdana" w:cs="Times New Roman"/>
          <w:b w:val="0"/>
          <w:bCs w:val="0"/>
          <w:i/>
          <w:iCs/>
          <w:color w:val="212529"/>
          <w:sz w:val="20"/>
          <w:szCs w:val="20"/>
          <w:shd w:val="clear" w:color="auto" w:fill="FFFFFF"/>
        </w:rPr>
      </w:pPr>
      <w:r>
        <w:rPr>
          <w:rFonts w:ascii="Verdana" w:hAnsi="Verdana" w:cs="Times New Roman"/>
          <w:b w:val="0"/>
          <w:bCs w:val="0"/>
          <w:color w:val="212529"/>
          <w:sz w:val="20"/>
          <w:szCs w:val="20"/>
          <w:shd w:val="clear" w:color="auto" w:fill="FFFFFF"/>
        </w:rPr>
        <w:t xml:space="preserve">Tumpach, M., Máziková, K., &amp; Kuceková, M. (2015). Boilerplate reporting used by Slovak IFRS submitters. In: </w:t>
      </w:r>
      <w:r>
        <w:rPr>
          <w:rFonts w:ascii="Verdana" w:hAnsi="Verdana" w:cs="Times New Roman"/>
          <w:b w:val="0"/>
          <w:bCs w:val="0"/>
          <w:i/>
          <w:iCs/>
          <w:color w:val="212529"/>
          <w:sz w:val="20"/>
          <w:szCs w:val="20"/>
          <w:shd w:val="clear" w:color="auto" w:fill="FFFFFF"/>
        </w:rPr>
        <w:t xml:space="preserve">Financial management of firms and financial institutions: proceedings: 10th international scientific conference: 7th - 8th september 2015, Ostrava, Czech Republic, </w:t>
      </w:r>
      <w:r>
        <w:rPr>
          <w:rFonts w:ascii="Verdana" w:hAnsi="Verdana" w:cs="Times New Roman"/>
          <w:b w:val="0"/>
          <w:bCs w:val="0"/>
          <w:iCs/>
          <w:color w:val="212529"/>
          <w:sz w:val="20"/>
          <w:szCs w:val="20"/>
          <w:shd w:val="clear" w:color="auto" w:fill="FFFFFF"/>
        </w:rPr>
        <w:t>pp.1334-1339</w:t>
      </w:r>
      <w:r>
        <w:rPr>
          <w:rFonts w:ascii="Verdana" w:hAnsi="Verdana" w:cs="Times New Roman"/>
          <w:b w:val="0"/>
          <w:bCs w:val="0"/>
          <w:i/>
          <w:iCs/>
          <w:color w:val="212529"/>
          <w:sz w:val="20"/>
          <w:szCs w:val="20"/>
          <w:shd w:val="clear" w:color="auto" w:fill="FFFFFF"/>
        </w:rPr>
        <w:t xml:space="preserve">. </w:t>
      </w:r>
    </w:p>
    <w:p w:rsidR="005C3F63" w:rsidRDefault="006536E7">
      <w:pPr>
        <w:pStyle w:val="af4"/>
        <w:jc w:val="both"/>
        <w:rPr>
          <w:rFonts w:ascii="Verdana" w:hAnsi="Verdana" w:cs="Times New Roman"/>
          <w:b w:val="0"/>
          <w:bCs w:val="0"/>
          <w:sz w:val="20"/>
          <w:szCs w:val="20"/>
          <w:lang w:val="en-GB"/>
        </w:rPr>
      </w:pPr>
      <w:r>
        <w:rPr>
          <w:rFonts w:ascii="Verdana" w:hAnsi="Verdana" w:cs="Times New Roman"/>
          <w:b w:val="0"/>
          <w:bCs w:val="0"/>
          <w:sz w:val="20"/>
          <w:szCs w:val="20"/>
        </w:rPr>
        <w:t xml:space="preserve">Tumpach, M. (2006). </w:t>
      </w:r>
      <w:r>
        <w:rPr>
          <w:rFonts w:ascii="Verdana" w:hAnsi="Verdana" w:cs="Times New Roman"/>
          <w:b w:val="0"/>
          <w:bCs w:val="0"/>
          <w:i/>
          <w:iCs/>
          <w:sz w:val="20"/>
          <w:szCs w:val="20"/>
        </w:rPr>
        <w:t>Medzinarodne standardy na zostavenie uctovnej zavierky IFRS/ IAS</w:t>
      </w:r>
      <w:r>
        <w:rPr>
          <w:rFonts w:ascii="Verdana" w:hAnsi="Verdana" w:cs="Times New Roman"/>
          <w:b w:val="0"/>
          <w:bCs w:val="0"/>
          <w:sz w:val="20"/>
          <w:szCs w:val="20"/>
        </w:rPr>
        <w:t xml:space="preserve">. </w:t>
      </w:r>
      <w:r>
        <w:rPr>
          <w:rFonts w:ascii="Verdana" w:hAnsi="Verdana" w:cs="Times New Roman"/>
          <w:b w:val="0"/>
          <w:bCs w:val="0"/>
          <w:sz w:val="20"/>
          <w:szCs w:val="20"/>
          <w:lang w:val="en-GB"/>
        </w:rPr>
        <w:t>Bratislava: Iura Edition</w:t>
      </w:r>
    </w:p>
    <w:p w:rsidR="005C3F63" w:rsidRDefault="006536E7">
      <w:pPr>
        <w:pStyle w:val="af4"/>
        <w:jc w:val="both"/>
        <w:rPr>
          <w:rFonts w:ascii="Verdana" w:hAnsi="Verdana" w:cs="Times New Roman"/>
          <w:b w:val="0"/>
          <w:bCs w:val="0"/>
          <w:color w:val="212529"/>
          <w:sz w:val="20"/>
          <w:szCs w:val="20"/>
          <w:shd w:val="clear" w:color="auto" w:fill="FFFFFF"/>
        </w:rPr>
      </w:pPr>
      <w:r>
        <w:rPr>
          <w:rFonts w:ascii="Verdana" w:hAnsi="Verdana" w:cs="Times New Roman"/>
          <w:b w:val="0"/>
          <w:bCs w:val="0"/>
          <w:color w:val="212529"/>
          <w:sz w:val="20"/>
          <w:szCs w:val="20"/>
          <w:shd w:val="clear" w:color="auto" w:fill="FFFFFF"/>
        </w:rPr>
        <w:t xml:space="preserve">Tumpach, M. (2016). Misapplications of rules for the exchange rate differences by Slovak IFRS adopters. In: </w:t>
      </w:r>
      <w:r>
        <w:rPr>
          <w:rFonts w:ascii="Verdana" w:hAnsi="Verdana" w:cs="Times New Roman"/>
          <w:b w:val="0"/>
          <w:bCs w:val="0"/>
          <w:i/>
          <w:iCs/>
          <w:color w:val="212529"/>
          <w:sz w:val="20"/>
          <w:szCs w:val="20"/>
          <w:shd w:val="clear" w:color="auto" w:fill="FFFFFF"/>
        </w:rPr>
        <w:t>Managing And Modelling Of Financial Risks: Proceedings: 8Th International Scientific Conference: 5Th - 6Th September 2016, Ostrava, Czech Republic</w:t>
      </w:r>
      <w:r>
        <w:rPr>
          <w:rFonts w:ascii="Verdana" w:hAnsi="Verdana" w:cs="Times New Roman"/>
          <w:b w:val="0"/>
          <w:bCs w:val="0"/>
          <w:color w:val="212529"/>
          <w:sz w:val="20"/>
          <w:szCs w:val="20"/>
          <w:shd w:val="clear" w:color="auto" w:fill="FFFFFF"/>
        </w:rPr>
        <w:t>, pp. 1016-1021.</w:t>
      </w:r>
    </w:p>
    <w:p w:rsidR="005C3F63" w:rsidRDefault="006536E7">
      <w:pPr>
        <w:pStyle w:val="af4"/>
        <w:jc w:val="both"/>
        <w:rPr>
          <w:rFonts w:ascii="Verdana" w:hAnsi="Verdana" w:cs="Times New Roman"/>
          <w:b w:val="0"/>
          <w:bCs w:val="0"/>
          <w:color w:val="212529"/>
          <w:sz w:val="20"/>
          <w:szCs w:val="20"/>
          <w:shd w:val="clear" w:color="auto" w:fill="FFFFFF"/>
        </w:rPr>
      </w:pPr>
      <w:r>
        <w:rPr>
          <w:rFonts w:ascii="Verdana" w:hAnsi="Verdana" w:cs="Times New Roman"/>
          <w:b w:val="0"/>
          <w:bCs w:val="0"/>
          <w:color w:val="212529"/>
          <w:sz w:val="20"/>
          <w:szCs w:val="20"/>
          <w:shd w:val="clear" w:color="auto" w:fill="FFFFFF"/>
        </w:rPr>
        <w:t>Zákon č. 431/2002 o účtovníctve v znení neskorších predpisov, NR SR 2002</w:t>
      </w:r>
    </w:p>
    <w:p w:rsidR="005C3F63" w:rsidRDefault="006536E7">
      <w:pPr>
        <w:jc w:val="left"/>
        <w:rPr>
          <w:rFonts w:ascii="Verdana" w:hAnsi="Verdana"/>
          <w:color w:val="212529"/>
          <w:sz w:val="20"/>
          <w:szCs w:val="20"/>
          <w:shd w:val="clear" w:color="auto" w:fill="FFFFFF"/>
          <w:lang w:val="ro-RO" w:bidi="sa-IN"/>
        </w:rPr>
      </w:pPr>
      <w:r>
        <w:rPr>
          <w:rFonts w:ascii="Verdana" w:hAnsi="Verdana"/>
          <w:b/>
          <w:bCs/>
          <w:color w:val="212529"/>
          <w:sz w:val="20"/>
          <w:szCs w:val="20"/>
          <w:shd w:val="clear" w:color="auto" w:fill="FFFFFF"/>
          <w:lang w:val="ro-RO"/>
        </w:rPr>
        <w:br w:type="page"/>
      </w:r>
    </w:p>
    <w:p w:rsidR="005C3F63" w:rsidRDefault="006536E7">
      <w:pPr>
        <w:pStyle w:val="1"/>
      </w:pPr>
      <w:bookmarkStart w:id="778" w:name="_Toc47951542"/>
      <w:r>
        <w:lastRenderedPageBreak/>
        <w:t>Improving the bank’s accounting system in conditions of permanent change</w:t>
      </w:r>
      <w:bookmarkEnd w:id="778"/>
    </w:p>
    <w:p w:rsidR="005C3F63" w:rsidRDefault="005C3F63">
      <w:pPr>
        <w:ind w:firstLine="567"/>
        <w:jc w:val="center"/>
        <w:rPr>
          <w:rFonts w:ascii="Verdana" w:hAnsi="Verdana"/>
          <w:b/>
          <w:szCs w:val="24"/>
        </w:rPr>
      </w:pPr>
    </w:p>
    <w:p w:rsidR="005C3F63" w:rsidRDefault="006536E7">
      <w:pPr>
        <w:pStyle w:val="Autor"/>
      </w:pPr>
      <w:bookmarkStart w:id="779" w:name="_Toc47948747"/>
      <w:bookmarkStart w:id="780" w:name="_Toc47448852"/>
      <w:bookmarkStart w:id="781" w:name="_Toc47951385"/>
      <w:bookmarkStart w:id="782" w:name="_Toc47949006"/>
      <w:bookmarkStart w:id="783" w:name="_Toc47451168"/>
      <w:bookmarkStart w:id="784" w:name="_Toc47449327"/>
      <w:bookmarkStart w:id="785" w:name="_Toc47951478"/>
      <w:bookmarkStart w:id="786" w:name="_Toc47949320"/>
      <w:bookmarkStart w:id="787" w:name="_Toc47951543"/>
      <w:bookmarkStart w:id="788" w:name="_Toc47948808"/>
      <w:r>
        <w:t>Pavlo Petrov</w:t>
      </w:r>
      <w:r>
        <w:rPr>
          <w:rStyle w:val="AutorChar"/>
          <w:b/>
          <w:vertAlign w:val="superscript"/>
        </w:rPr>
        <w:t>1</w:t>
      </w:r>
      <w:r>
        <w:t>, Michal Hora</w:t>
      </w:r>
      <w:r>
        <w:rPr>
          <w:rStyle w:val="AutorChar"/>
          <w:b/>
          <w:vertAlign w:val="superscript"/>
        </w:rPr>
        <w:t>2</w:t>
      </w:r>
      <w:r>
        <w:t>, Lyudmyla Chyzhevska</w:t>
      </w:r>
      <w:r>
        <w:rPr>
          <w:rStyle w:val="AutorChar"/>
          <w:b/>
          <w:vertAlign w:val="superscript"/>
        </w:rPr>
        <w:t>3</w:t>
      </w:r>
      <w:bookmarkEnd w:id="779"/>
      <w:bookmarkEnd w:id="780"/>
      <w:bookmarkEnd w:id="781"/>
      <w:bookmarkEnd w:id="782"/>
      <w:bookmarkEnd w:id="783"/>
      <w:bookmarkEnd w:id="784"/>
      <w:bookmarkEnd w:id="785"/>
      <w:bookmarkEnd w:id="786"/>
      <w:bookmarkEnd w:id="787"/>
      <w:bookmarkEnd w:id="788"/>
    </w:p>
    <w:p w:rsidR="005C3F63" w:rsidRDefault="006536E7">
      <w:pPr>
        <w:jc w:val="center"/>
        <w:rPr>
          <w:rFonts w:ascii="Verdana" w:hAnsi="Verdana"/>
          <w:sz w:val="18"/>
          <w:szCs w:val="18"/>
        </w:rPr>
      </w:pPr>
      <w:r>
        <w:rPr>
          <w:rFonts w:ascii="Verdana" w:hAnsi="Verdana"/>
          <w:sz w:val="18"/>
          <w:szCs w:val="18"/>
          <w:vertAlign w:val="superscript"/>
        </w:rPr>
        <w:t>1</w:t>
      </w:r>
      <w:r>
        <w:rPr>
          <w:rFonts w:ascii="Verdana" w:hAnsi="Verdana"/>
          <w:sz w:val="18"/>
          <w:szCs w:val="18"/>
        </w:rPr>
        <w:t>Kyiv National Trade and Economics University</w:t>
      </w:r>
    </w:p>
    <w:p w:rsidR="005C3F63" w:rsidRDefault="006536E7">
      <w:pPr>
        <w:ind w:firstLine="567"/>
        <w:jc w:val="center"/>
        <w:rPr>
          <w:rFonts w:ascii="Verdana" w:hAnsi="Verdana"/>
          <w:sz w:val="18"/>
          <w:szCs w:val="18"/>
        </w:rPr>
      </w:pPr>
      <w:r>
        <w:rPr>
          <w:rFonts w:ascii="Verdana" w:hAnsi="Verdana"/>
          <w:sz w:val="18"/>
          <w:szCs w:val="18"/>
        </w:rPr>
        <w:t>Department of Accounting and taxation</w:t>
      </w:r>
    </w:p>
    <w:p w:rsidR="005C3F63" w:rsidRDefault="006536E7">
      <w:pPr>
        <w:ind w:firstLine="567"/>
        <w:jc w:val="center"/>
        <w:rPr>
          <w:rFonts w:ascii="Verdana" w:hAnsi="Verdana"/>
          <w:sz w:val="18"/>
          <w:szCs w:val="18"/>
        </w:rPr>
      </w:pPr>
      <w:r>
        <w:rPr>
          <w:rFonts w:ascii="Verdana" w:hAnsi="Verdana"/>
          <w:sz w:val="18"/>
          <w:szCs w:val="18"/>
        </w:rPr>
        <w:t>Kyoto str. 19, 02156, Kyiv, Ukraine</w:t>
      </w:r>
    </w:p>
    <w:p w:rsidR="005C3F63" w:rsidRDefault="006536E7">
      <w:pPr>
        <w:ind w:firstLine="567"/>
        <w:jc w:val="center"/>
        <w:rPr>
          <w:rStyle w:val="af9"/>
          <w:rFonts w:ascii="Verdana" w:eastAsiaTheme="majorEastAsia" w:hAnsi="Verdana"/>
          <w:sz w:val="18"/>
          <w:szCs w:val="18"/>
        </w:rPr>
      </w:pPr>
      <w:r>
        <w:rPr>
          <w:rFonts w:ascii="Verdana" w:hAnsi="Verdana"/>
          <w:sz w:val="18"/>
          <w:szCs w:val="18"/>
        </w:rPr>
        <w:t xml:space="preserve">Email: </w:t>
      </w:r>
      <w:r>
        <w:rPr>
          <w:rFonts w:ascii="Verdana" w:eastAsiaTheme="majorEastAsia" w:hAnsi="Verdana"/>
          <w:sz w:val="18"/>
          <w:szCs w:val="18"/>
        </w:rPr>
        <w:t>petrovpasha1@gmail.com</w:t>
      </w:r>
    </w:p>
    <w:p w:rsidR="005C3F63" w:rsidRDefault="005C3F63">
      <w:pPr>
        <w:pStyle w:val="af3"/>
        <w:shd w:val="clear" w:color="auto" w:fill="FFFFFF"/>
        <w:spacing w:before="0" w:beforeAutospacing="0" w:after="0" w:afterAutospacing="0"/>
        <w:jc w:val="center"/>
        <w:rPr>
          <w:rFonts w:ascii="Verdana" w:hAnsi="Verdana"/>
          <w:sz w:val="18"/>
          <w:szCs w:val="18"/>
          <w:vertAlign w:val="superscript"/>
          <w:lang w:val="en-US"/>
        </w:rPr>
      </w:pPr>
    </w:p>
    <w:p w:rsidR="005C3F63" w:rsidRDefault="006536E7">
      <w:pPr>
        <w:pStyle w:val="af3"/>
        <w:shd w:val="clear" w:color="auto" w:fill="FFFFFF"/>
        <w:spacing w:before="0" w:beforeAutospacing="0" w:after="0" w:afterAutospacing="0"/>
        <w:jc w:val="center"/>
        <w:rPr>
          <w:rFonts w:ascii="Verdana" w:hAnsi="Verdana"/>
          <w:color w:val="222222"/>
          <w:sz w:val="18"/>
          <w:szCs w:val="18"/>
          <w:lang w:val="en-US"/>
        </w:rPr>
      </w:pPr>
      <w:r>
        <w:rPr>
          <w:rFonts w:ascii="Verdana" w:hAnsi="Verdana"/>
          <w:sz w:val="18"/>
          <w:szCs w:val="18"/>
          <w:vertAlign w:val="superscript"/>
          <w:lang w:val="en-US"/>
        </w:rPr>
        <w:t>2</w:t>
      </w:r>
      <w:r>
        <w:rPr>
          <w:rFonts w:ascii="Verdana" w:hAnsi="Verdana"/>
          <w:color w:val="000000"/>
          <w:sz w:val="18"/>
          <w:szCs w:val="18"/>
          <w:lang w:val="en-US"/>
        </w:rPr>
        <w:t>University of Economics Prague,</w:t>
      </w:r>
    </w:p>
    <w:p w:rsidR="005C3F63" w:rsidRDefault="006536E7">
      <w:pPr>
        <w:pStyle w:val="af3"/>
        <w:shd w:val="clear" w:color="auto" w:fill="FFFFFF"/>
        <w:spacing w:before="0" w:beforeAutospacing="0" w:after="0" w:afterAutospacing="0"/>
        <w:jc w:val="center"/>
        <w:rPr>
          <w:rFonts w:ascii="Verdana" w:hAnsi="Verdana"/>
          <w:color w:val="222222"/>
          <w:sz w:val="18"/>
          <w:szCs w:val="18"/>
          <w:lang w:val="en-US"/>
        </w:rPr>
      </w:pPr>
      <w:r>
        <w:rPr>
          <w:rFonts w:ascii="Verdana" w:hAnsi="Verdana"/>
          <w:color w:val="000000"/>
          <w:sz w:val="18"/>
          <w:szCs w:val="18"/>
          <w:lang w:val="en-US"/>
        </w:rPr>
        <w:t>Faculty of Finance and Accounting, Department of Financial Accounting and Auditing,</w:t>
      </w:r>
    </w:p>
    <w:p w:rsidR="005C3F63" w:rsidRDefault="006536E7">
      <w:pPr>
        <w:pStyle w:val="af3"/>
        <w:shd w:val="clear" w:color="auto" w:fill="FFFFFF"/>
        <w:spacing w:before="0" w:beforeAutospacing="0" w:after="0" w:afterAutospacing="0"/>
        <w:jc w:val="center"/>
        <w:rPr>
          <w:rFonts w:ascii="Verdana" w:hAnsi="Verdana"/>
          <w:color w:val="222222"/>
          <w:sz w:val="18"/>
          <w:szCs w:val="18"/>
          <w:lang w:val="en-US"/>
        </w:rPr>
      </w:pPr>
      <w:r>
        <w:rPr>
          <w:rFonts w:ascii="Verdana" w:hAnsi="Verdana"/>
          <w:color w:val="000000"/>
          <w:sz w:val="18"/>
          <w:szCs w:val="18"/>
          <w:lang w:val="en-US"/>
        </w:rPr>
        <w:t>Winston Churchill Sq 1938/4</w:t>
      </w:r>
    </w:p>
    <w:p w:rsidR="005C3F63" w:rsidRDefault="006536E7">
      <w:pPr>
        <w:pStyle w:val="af3"/>
        <w:shd w:val="clear" w:color="auto" w:fill="FFFFFF"/>
        <w:spacing w:before="0" w:beforeAutospacing="0" w:after="0" w:afterAutospacing="0"/>
        <w:jc w:val="center"/>
        <w:rPr>
          <w:rFonts w:ascii="Verdana" w:hAnsi="Verdana"/>
          <w:color w:val="222222"/>
          <w:sz w:val="18"/>
          <w:szCs w:val="18"/>
          <w:lang w:val="en-US"/>
        </w:rPr>
      </w:pPr>
      <w:r>
        <w:rPr>
          <w:rFonts w:ascii="Verdana" w:hAnsi="Verdana"/>
          <w:color w:val="000000"/>
          <w:sz w:val="18"/>
          <w:szCs w:val="18"/>
          <w:lang w:val="en-US"/>
        </w:rPr>
        <w:t>13067 Prague</w:t>
      </w:r>
    </w:p>
    <w:p w:rsidR="005C3F63" w:rsidRDefault="006536E7">
      <w:pPr>
        <w:pStyle w:val="af3"/>
        <w:shd w:val="clear" w:color="auto" w:fill="FFFFFF"/>
        <w:spacing w:before="0" w:beforeAutospacing="0" w:after="0" w:afterAutospacing="0"/>
        <w:jc w:val="center"/>
        <w:rPr>
          <w:rFonts w:ascii="Verdana" w:hAnsi="Verdana"/>
          <w:color w:val="000000"/>
          <w:sz w:val="18"/>
          <w:szCs w:val="18"/>
          <w:lang w:val="en-US"/>
        </w:rPr>
      </w:pPr>
      <w:r>
        <w:rPr>
          <w:rFonts w:ascii="Verdana" w:hAnsi="Verdana"/>
          <w:color w:val="000000"/>
          <w:sz w:val="18"/>
          <w:szCs w:val="18"/>
          <w:lang w:val="en-US"/>
        </w:rPr>
        <w:t>E-mail: </w:t>
      </w:r>
      <w:r>
        <w:rPr>
          <w:rFonts w:ascii="Verdana" w:eastAsiaTheme="majorEastAsia" w:hAnsi="Verdana"/>
          <w:sz w:val="18"/>
          <w:szCs w:val="18"/>
        </w:rPr>
        <w:t>hora@vse.cz</w:t>
      </w:r>
    </w:p>
    <w:p w:rsidR="005C3F63" w:rsidRDefault="005C3F63">
      <w:pPr>
        <w:ind w:firstLine="567"/>
        <w:jc w:val="center"/>
        <w:rPr>
          <w:rFonts w:ascii="Verdana" w:hAnsi="Verdana"/>
          <w:sz w:val="18"/>
          <w:szCs w:val="18"/>
        </w:rPr>
      </w:pPr>
    </w:p>
    <w:p w:rsidR="005C3F63" w:rsidRDefault="006536E7">
      <w:pPr>
        <w:shd w:val="clear" w:color="auto" w:fill="FFFFFF"/>
        <w:jc w:val="center"/>
        <w:rPr>
          <w:rFonts w:ascii="Verdana" w:hAnsi="Verdana" w:cs="Calibri"/>
          <w:color w:val="222222"/>
          <w:sz w:val="18"/>
          <w:szCs w:val="18"/>
          <w:lang w:eastAsia="ru-RU"/>
        </w:rPr>
      </w:pPr>
      <w:r>
        <w:rPr>
          <w:rFonts w:ascii="Verdana" w:hAnsi="Verdana"/>
          <w:sz w:val="18"/>
          <w:szCs w:val="18"/>
          <w:vertAlign w:val="superscript"/>
        </w:rPr>
        <w:t>3</w:t>
      </w:r>
      <w:r>
        <w:rPr>
          <w:rFonts w:ascii="Verdana" w:hAnsi="Verdana" w:cs="Calibri"/>
          <w:color w:val="222222"/>
          <w:sz w:val="18"/>
          <w:szCs w:val="18"/>
          <w:lang w:eastAsia="ru-RU"/>
        </w:rPr>
        <w:t>Zhytomyr Polytechnic State University</w:t>
      </w:r>
    </w:p>
    <w:p w:rsidR="005C3F63" w:rsidRDefault="006536E7">
      <w:pPr>
        <w:shd w:val="clear" w:color="auto" w:fill="FFFFFF"/>
        <w:jc w:val="center"/>
        <w:rPr>
          <w:rFonts w:ascii="Verdana" w:hAnsi="Verdana" w:cs="Calibri"/>
          <w:color w:val="222222"/>
          <w:sz w:val="18"/>
          <w:szCs w:val="18"/>
          <w:lang w:eastAsia="ru-RU"/>
        </w:rPr>
      </w:pPr>
      <w:r>
        <w:rPr>
          <w:rFonts w:ascii="Verdana" w:hAnsi="Verdana" w:cs="Calibri"/>
          <w:color w:val="222222"/>
          <w:sz w:val="18"/>
          <w:szCs w:val="18"/>
          <w:lang w:eastAsia="ru-RU"/>
        </w:rPr>
        <w:t>Faculty of Business and Service sector, Department of Accounting and Auditing</w:t>
      </w:r>
    </w:p>
    <w:p w:rsidR="005C3F63" w:rsidRDefault="006536E7">
      <w:pPr>
        <w:shd w:val="clear" w:color="auto" w:fill="FFFFFF"/>
        <w:jc w:val="center"/>
        <w:rPr>
          <w:rFonts w:ascii="Verdana" w:hAnsi="Verdana" w:cs="Calibri"/>
          <w:color w:val="222222"/>
          <w:sz w:val="18"/>
          <w:szCs w:val="18"/>
          <w:lang w:eastAsia="ru-RU"/>
        </w:rPr>
      </w:pPr>
      <w:r>
        <w:rPr>
          <w:rFonts w:ascii="Verdana" w:hAnsi="Verdana" w:cs="Calibri"/>
          <w:color w:val="222222"/>
          <w:sz w:val="18"/>
          <w:szCs w:val="18"/>
          <w:lang w:eastAsia="ru-RU"/>
        </w:rPr>
        <w:t>Chudnivska Street b. 103, 10005 Zhytomyr, Ukraine</w:t>
      </w:r>
    </w:p>
    <w:p w:rsidR="005C3F63" w:rsidRDefault="006536E7">
      <w:pPr>
        <w:ind w:firstLine="567"/>
        <w:jc w:val="center"/>
        <w:rPr>
          <w:rFonts w:ascii="Verdana" w:hAnsi="Verdana"/>
          <w:sz w:val="18"/>
          <w:szCs w:val="18"/>
        </w:rPr>
      </w:pPr>
      <w:r>
        <w:rPr>
          <w:rFonts w:ascii="Verdana" w:hAnsi="Verdana" w:cs="Calibri"/>
          <w:color w:val="222222"/>
          <w:sz w:val="18"/>
          <w:szCs w:val="18"/>
          <w:lang w:val="en-GB" w:eastAsia="ru-RU"/>
        </w:rPr>
        <w:t>E-mail: chizev@ztu.edu.ua</w:t>
      </w:r>
    </w:p>
    <w:p w:rsidR="005C3F63" w:rsidRDefault="005C3F63">
      <w:pPr>
        <w:ind w:firstLine="567"/>
        <w:jc w:val="center"/>
        <w:rPr>
          <w:rFonts w:ascii="Verdana" w:hAnsi="Verdana"/>
          <w:sz w:val="20"/>
          <w:szCs w:val="20"/>
        </w:rPr>
      </w:pPr>
    </w:p>
    <w:p w:rsidR="005C3F63" w:rsidRDefault="006536E7">
      <w:pPr>
        <w:rPr>
          <w:rFonts w:ascii="Verdana" w:hAnsi="Verdana"/>
        </w:rPr>
      </w:pPr>
      <w:r>
        <w:rPr>
          <w:rFonts w:ascii="Verdana" w:hAnsi="Verdana"/>
          <w:b/>
          <w:i/>
          <w:sz w:val="20"/>
          <w:szCs w:val="20"/>
        </w:rPr>
        <w:t xml:space="preserve">Abstract: </w:t>
      </w:r>
      <w:r>
        <w:rPr>
          <w:rFonts w:ascii="Verdana" w:hAnsi="Verdana"/>
          <w:i/>
          <w:sz w:val="20"/>
          <w:szCs w:val="20"/>
        </w:rPr>
        <w:t>Management of the bank's finance requires reliable sources of information on the bank condition in general and specific information suitable for use in the process of making management and investment decisions. Each country has its own unique characteristics: customer behavior, risk appetite, seasonality, volatility, inflation, bad loans, the impartiality of the judiciary, etc. These characteristics cause permanent changes which urge banks to modify their business behavior and risk assessment. Human resource policies, transfer pricing approaches and stakeholders’ strategies may also change. All these changes affect the activities of the bank and the information needed to make adequate management decisions. Such information is formed in the bank's accounting system. Various departments, e.g. the treasury, risk management, corporate business are involved in the process of forming accounting and analytical information. The lack of a well-established accounting and analytical system mechanism, without adequately formulated objectives will not ensure the provision of relevant management information.</w:t>
      </w:r>
      <w:r>
        <w:rPr>
          <w:rFonts w:ascii="Verdana" w:hAnsi="Verdana"/>
          <w:i/>
          <w:sz w:val="20"/>
          <w:szCs w:val="20"/>
          <w:lang w:val="uk-UA"/>
        </w:rPr>
        <w:t xml:space="preserve"> </w:t>
      </w:r>
      <w:r>
        <w:rPr>
          <w:rFonts w:ascii="Verdana" w:hAnsi="Verdana"/>
          <w:i/>
          <w:sz w:val="20"/>
          <w:szCs w:val="20"/>
        </w:rPr>
        <w:t>The system of a commercial bank management should prevent the emergence of uncontrolled situations in the banking business; the process of its implementation should become manageable. This creates objective conditions for a reasonable solution of critical problems and their prediction.</w:t>
      </w:r>
    </w:p>
    <w:p w:rsidR="005C3F63" w:rsidRDefault="005C3F63">
      <w:pPr>
        <w:rPr>
          <w:rFonts w:ascii="Verdana" w:hAnsi="Verdana"/>
          <w:b/>
          <w:i/>
          <w:sz w:val="20"/>
          <w:szCs w:val="20"/>
        </w:rPr>
      </w:pPr>
    </w:p>
    <w:p w:rsidR="005C3F63" w:rsidRDefault="006536E7">
      <w:pPr>
        <w:rPr>
          <w:rFonts w:ascii="Verdana" w:hAnsi="Verdana"/>
          <w:i/>
          <w:sz w:val="20"/>
          <w:szCs w:val="20"/>
        </w:rPr>
      </w:pPr>
      <w:r>
        <w:rPr>
          <w:rFonts w:ascii="Verdana" w:hAnsi="Verdana"/>
          <w:b/>
          <w:i/>
          <w:sz w:val="20"/>
          <w:szCs w:val="20"/>
        </w:rPr>
        <w:t xml:space="preserve">Keywords: </w:t>
      </w:r>
      <w:r>
        <w:rPr>
          <w:rFonts w:ascii="Verdana" w:hAnsi="Verdana"/>
          <w:i/>
          <w:sz w:val="20"/>
          <w:szCs w:val="20"/>
        </w:rPr>
        <w:t>Accounting System, Bank Treasury, Analytical Support, Changes, Capital</w:t>
      </w:r>
    </w:p>
    <w:p w:rsidR="005C3F63" w:rsidRDefault="005C3F63">
      <w:pPr>
        <w:ind w:firstLine="567"/>
        <w:rPr>
          <w:rFonts w:ascii="Verdana" w:hAnsi="Verdana"/>
          <w:i/>
          <w:sz w:val="20"/>
          <w:szCs w:val="20"/>
          <w:lang w:val="uk-UA"/>
        </w:rPr>
      </w:pPr>
    </w:p>
    <w:p w:rsidR="005C3F63" w:rsidRDefault="006536E7">
      <w:pPr>
        <w:rPr>
          <w:rFonts w:ascii="Verdana" w:hAnsi="Verdana"/>
          <w:i/>
          <w:sz w:val="20"/>
          <w:szCs w:val="20"/>
        </w:rPr>
      </w:pPr>
      <w:r>
        <w:rPr>
          <w:rFonts w:ascii="Verdana" w:hAnsi="Verdana"/>
          <w:i/>
          <w:sz w:val="20"/>
          <w:szCs w:val="20"/>
        </w:rPr>
        <w:t>JEL codes: G310, M410</w:t>
      </w:r>
    </w:p>
    <w:p w:rsidR="005C3F63" w:rsidRDefault="005C3F63">
      <w:pPr>
        <w:ind w:firstLine="567"/>
        <w:rPr>
          <w:rFonts w:ascii="Verdana" w:hAnsi="Verdana"/>
          <w:i/>
          <w:sz w:val="20"/>
          <w:szCs w:val="20"/>
          <w:lang w:val="uk-UA"/>
        </w:rPr>
      </w:pPr>
    </w:p>
    <w:p w:rsidR="005C3F63" w:rsidRDefault="006536E7">
      <w:pPr>
        <w:rPr>
          <w:rFonts w:ascii="Verdana" w:hAnsi="Verdana"/>
          <w:b/>
        </w:rPr>
      </w:pPr>
      <w:r>
        <w:rPr>
          <w:rFonts w:ascii="Verdana" w:hAnsi="Verdana"/>
          <w:b/>
        </w:rPr>
        <w:t>1 Introduction</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Changes are constant and all-embracing.</w:t>
      </w:r>
      <w:r>
        <w:rPr>
          <w:rFonts w:ascii="Verdana" w:hAnsi="Verdana"/>
          <w:sz w:val="20"/>
          <w:szCs w:val="20"/>
          <w:lang w:val="uk-UA"/>
        </w:rPr>
        <w:t xml:space="preserve"> </w:t>
      </w:r>
      <w:r>
        <w:rPr>
          <w:rFonts w:ascii="Verdana" w:hAnsi="Verdana"/>
          <w:sz w:val="20"/>
          <w:szCs w:val="20"/>
        </w:rPr>
        <w:t>This leads to the formation of such an accounting system in the bank, which will meet the demands of the management in terms of efficiency, reliability, comprehensiveness. Such a system should prepare not only financial information, but also, taking into account the demands of society, non-financial information about the impact of banking on the environment, compliance with employee rights, etc.</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Ukrainian banks have been applying IFRS since 1998. Banks are currently preparing a Management Report, which contains both financial and non-financial information. But there is currently no standard approach, enshrined in law. The issue of improving the bank's accounting system in the context of considering permanent changes is relevant.</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lastRenderedPageBreak/>
        <w:t>Studies of change management and methodological approaches to the formation of accounting and analytical change management relate the activities of economic entities, including banks and financial institutions, and are reflected in the scientific works of the following authors: I. Adizes (1992), I. Ansoff (2007), J. Kotter (2012) and others. The purpose of the study is to deepen the theoretical foundations and substantiation of proposals for improving the accounting system in the bank in the conditions of permanent changes.</w:t>
      </w:r>
    </w:p>
    <w:p w:rsidR="005C3F63" w:rsidRDefault="005C3F63">
      <w:pPr>
        <w:ind w:firstLine="567"/>
        <w:rPr>
          <w:rFonts w:ascii="Verdana" w:hAnsi="Verdana"/>
          <w:b/>
          <w:sz w:val="20"/>
          <w:szCs w:val="20"/>
        </w:rPr>
      </w:pPr>
    </w:p>
    <w:p w:rsidR="005C3F63" w:rsidRDefault="006536E7">
      <w:pPr>
        <w:rPr>
          <w:rFonts w:ascii="Verdana" w:hAnsi="Verdana"/>
          <w:b/>
        </w:rPr>
      </w:pPr>
      <w:r>
        <w:rPr>
          <w:rFonts w:ascii="Verdana" w:hAnsi="Verdana"/>
          <w:b/>
        </w:rPr>
        <w:t>2 Methodology and Data</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There is a strong tendency to reduction of the banks count in the Ukrainian banking system (Table 1). In 2019, compared to 2013, the number of banks licensed to conduct banking operations decreased from 180 to 75.</w:t>
      </w:r>
    </w:p>
    <w:p w:rsidR="005C3F63" w:rsidRDefault="005C3F63">
      <w:pPr>
        <w:ind w:firstLine="567"/>
        <w:rPr>
          <w:rFonts w:ascii="Verdana" w:hAnsi="Verdana"/>
          <w:sz w:val="20"/>
          <w:szCs w:val="20"/>
        </w:rPr>
      </w:pPr>
    </w:p>
    <w:p w:rsidR="005C3F63" w:rsidRDefault="006536E7">
      <w:pPr>
        <w:ind w:firstLine="567"/>
        <w:jc w:val="center"/>
        <w:rPr>
          <w:rFonts w:ascii="Verdana" w:hAnsi="Verdana"/>
          <w:b/>
          <w:sz w:val="20"/>
          <w:szCs w:val="20"/>
        </w:rPr>
      </w:pPr>
      <w:r>
        <w:rPr>
          <w:rFonts w:ascii="Verdana" w:hAnsi="Verdana"/>
          <w:b/>
          <w:sz w:val="20"/>
          <w:szCs w:val="20"/>
        </w:rPr>
        <w:t xml:space="preserve">Table 1 </w:t>
      </w:r>
      <w:r>
        <w:rPr>
          <w:rFonts w:ascii="Verdana" w:eastAsia="Calibri" w:hAnsi="Verdana"/>
          <w:sz w:val="20"/>
          <w:szCs w:val="20"/>
        </w:rPr>
        <w:t>The main indicators of the banks of Ukraine in 2013-2019</w:t>
      </w:r>
    </w:p>
    <w:p w:rsidR="005C3F63" w:rsidRDefault="005C3F63">
      <w:pPr>
        <w:ind w:firstLine="567"/>
        <w:rPr>
          <w:rFonts w:ascii="Verdana" w:hAnsi="Verdana"/>
          <w:sz w:val="20"/>
          <w:szCs w:val="20"/>
        </w:rPr>
      </w:pPr>
    </w:p>
    <w:tbl>
      <w:tblPr>
        <w:tblStyle w:val="14"/>
        <w:tblW w:w="5079" w:type="pct"/>
        <w:jc w:val="center"/>
        <w:tblLook w:val="04A0" w:firstRow="1" w:lastRow="0" w:firstColumn="1" w:lastColumn="0" w:noHBand="0" w:noVBand="1"/>
      </w:tblPr>
      <w:tblGrid>
        <w:gridCol w:w="2382"/>
        <w:gridCol w:w="994"/>
        <w:gridCol w:w="1006"/>
        <w:gridCol w:w="1006"/>
        <w:gridCol w:w="1006"/>
        <w:gridCol w:w="1006"/>
        <w:gridCol w:w="993"/>
        <w:gridCol w:w="1042"/>
      </w:tblGrid>
      <w:tr w:rsidR="005C3F63">
        <w:trPr>
          <w:jc w:val="center"/>
        </w:trPr>
        <w:tc>
          <w:tcPr>
            <w:tcW w:w="1261" w:type="pct"/>
            <w:vAlign w:val="center"/>
          </w:tcPr>
          <w:p w:rsidR="005C3F63" w:rsidRDefault="006536E7">
            <w:pPr>
              <w:jc w:val="center"/>
              <w:rPr>
                <w:rFonts w:ascii="Verdana" w:hAnsi="Verdana"/>
                <w:sz w:val="16"/>
                <w:szCs w:val="16"/>
                <w:lang w:eastAsia="ru-RU"/>
              </w:rPr>
            </w:pPr>
            <w:r>
              <w:rPr>
                <w:rFonts w:ascii="Verdana" w:hAnsi="Verdana"/>
                <w:sz w:val="16"/>
                <w:szCs w:val="16"/>
                <w:lang w:eastAsia="ru-RU"/>
              </w:rPr>
              <w:t>Indicator</w:t>
            </w:r>
          </w:p>
        </w:tc>
        <w:tc>
          <w:tcPr>
            <w:tcW w:w="527" w:type="pct"/>
            <w:vAlign w:val="center"/>
          </w:tcPr>
          <w:p w:rsidR="005C3F63" w:rsidRDefault="006536E7">
            <w:pPr>
              <w:jc w:val="center"/>
              <w:rPr>
                <w:rFonts w:ascii="Verdana" w:hAnsi="Verdana"/>
                <w:sz w:val="16"/>
                <w:szCs w:val="16"/>
                <w:lang w:eastAsia="ru-RU"/>
              </w:rPr>
            </w:pPr>
            <w:r>
              <w:rPr>
                <w:rFonts w:ascii="Verdana" w:hAnsi="Verdana"/>
                <w:sz w:val="16"/>
                <w:szCs w:val="16"/>
                <w:lang w:eastAsia="ru-RU"/>
              </w:rPr>
              <w:t>2013</w:t>
            </w:r>
          </w:p>
        </w:tc>
        <w:tc>
          <w:tcPr>
            <w:tcW w:w="533" w:type="pct"/>
            <w:vAlign w:val="center"/>
          </w:tcPr>
          <w:p w:rsidR="005C3F63" w:rsidRDefault="006536E7">
            <w:pPr>
              <w:jc w:val="center"/>
              <w:rPr>
                <w:rFonts w:ascii="Verdana" w:hAnsi="Verdana"/>
                <w:sz w:val="16"/>
                <w:szCs w:val="16"/>
                <w:lang w:eastAsia="ru-RU"/>
              </w:rPr>
            </w:pPr>
            <w:r>
              <w:rPr>
                <w:rFonts w:ascii="Verdana" w:hAnsi="Verdana"/>
                <w:sz w:val="16"/>
                <w:szCs w:val="16"/>
                <w:lang w:eastAsia="ru-RU"/>
              </w:rPr>
              <w:t>2014</w:t>
            </w:r>
          </w:p>
        </w:tc>
        <w:tc>
          <w:tcPr>
            <w:tcW w:w="533" w:type="pct"/>
            <w:vAlign w:val="center"/>
          </w:tcPr>
          <w:p w:rsidR="005C3F63" w:rsidRDefault="006536E7">
            <w:pPr>
              <w:jc w:val="center"/>
              <w:rPr>
                <w:rFonts w:ascii="Verdana" w:hAnsi="Verdana"/>
                <w:sz w:val="16"/>
                <w:szCs w:val="16"/>
                <w:lang w:eastAsia="ru-RU"/>
              </w:rPr>
            </w:pPr>
            <w:r>
              <w:rPr>
                <w:rFonts w:ascii="Verdana" w:hAnsi="Verdana"/>
                <w:sz w:val="16"/>
                <w:szCs w:val="16"/>
                <w:lang w:eastAsia="ru-RU"/>
              </w:rPr>
              <w:t>2015</w:t>
            </w:r>
          </w:p>
        </w:tc>
        <w:tc>
          <w:tcPr>
            <w:tcW w:w="533" w:type="pct"/>
            <w:vAlign w:val="center"/>
          </w:tcPr>
          <w:p w:rsidR="005C3F63" w:rsidRDefault="006536E7">
            <w:pPr>
              <w:jc w:val="center"/>
              <w:rPr>
                <w:rFonts w:ascii="Verdana" w:hAnsi="Verdana"/>
                <w:sz w:val="16"/>
                <w:szCs w:val="16"/>
                <w:lang w:eastAsia="ru-RU"/>
              </w:rPr>
            </w:pPr>
            <w:r>
              <w:rPr>
                <w:rFonts w:ascii="Verdana" w:hAnsi="Verdana"/>
                <w:sz w:val="16"/>
                <w:szCs w:val="16"/>
                <w:lang w:eastAsia="ru-RU"/>
              </w:rPr>
              <w:t>2016</w:t>
            </w:r>
          </w:p>
        </w:tc>
        <w:tc>
          <w:tcPr>
            <w:tcW w:w="533" w:type="pct"/>
            <w:vAlign w:val="center"/>
          </w:tcPr>
          <w:p w:rsidR="005C3F63" w:rsidRDefault="006536E7">
            <w:pPr>
              <w:jc w:val="center"/>
              <w:rPr>
                <w:rFonts w:ascii="Verdana" w:hAnsi="Verdana"/>
                <w:sz w:val="16"/>
                <w:szCs w:val="16"/>
                <w:lang w:eastAsia="ru-RU"/>
              </w:rPr>
            </w:pPr>
            <w:r>
              <w:rPr>
                <w:rFonts w:ascii="Verdana" w:hAnsi="Verdana"/>
                <w:sz w:val="16"/>
                <w:szCs w:val="16"/>
                <w:lang w:eastAsia="ru-RU"/>
              </w:rPr>
              <w:t>2017</w:t>
            </w:r>
          </w:p>
        </w:tc>
        <w:tc>
          <w:tcPr>
            <w:tcW w:w="526" w:type="pct"/>
          </w:tcPr>
          <w:p w:rsidR="005C3F63" w:rsidRDefault="006536E7">
            <w:pPr>
              <w:jc w:val="center"/>
              <w:rPr>
                <w:rFonts w:ascii="Verdana" w:hAnsi="Verdana"/>
                <w:sz w:val="16"/>
                <w:szCs w:val="16"/>
                <w:lang w:eastAsia="ru-RU"/>
              </w:rPr>
            </w:pPr>
            <w:r>
              <w:rPr>
                <w:rFonts w:ascii="Verdana" w:hAnsi="Verdana"/>
                <w:sz w:val="16"/>
                <w:szCs w:val="16"/>
                <w:lang w:eastAsia="ru-RU"/>
              </w:rPr>
              <w:t>2018</w:t>
            </w:r>
          </w:p>
        </w:tc>
        <w:tc>
          <w:tcPr>
            <w:tcW w:w="552" w:type="pct"/>
          </w:tcPr>
          <w:p w:rsidR="005C3F63" w:rsidRDefault="006536E7">
            <w:pPr>
              <w:jc w:val="center"/>
              <w:rPr>
                <w:rFonts w:ascii="Verdana" w:hAnsi="Verdana"/>
                <w:sz w:val="16"/>
                <w:szCs w:val="16"/>
                <w:lang w:eastAsia="ru-RU"/>
              </w:rPr>
            </w:pPr>
            <w:r>
              <w:rPr>
                <w:rFonts w:ascii="Verdana" w:hAnsi="Verdana"/>
                <w:sz w:val="16"/>
                <w:szCs w:val="16"/>
                <w:lang w:eastAsia="ru-RU"/>
              </w:rPr>
              <w:t>2019</w:t>
            </w:r>
          </w:p>
        </w:tc>
      </w:tr>
      <w:tr w:rsidR="005C3F63">
        <w:trPr>
          <w:jc w:val="center"/>
        </w:trPr>
        <w:tc>
          <w:tcPr>
            <w:tcW w:w="1261" w:type="pct"/>
          </w:tcPr>
          <w:p w:rsidR="005C3F63" w:rsidRDefault="006536E7">
            <w:pPr>
              <w:rPr>
                <w:rFonts w:ascii="Verdana" w:hAnsi="Verdana"/>
                <w:sz w:val="16"/>
                <w:szCs w:val="16"/>
                <w:lang w:eastAsia="ru-RU"/>
              </w:rPr>
            </w:pPr>
            <w:r>
              <w:rPr>
                <w:rFonts w:ascii="Verdana" w:hAnsi="Verdana"/>
                <w:sz w:val="16"/>
                <w:szCs w:val="16"/>
                <w:lang w:eastAsia="ru-RU"/>
              </w:rPr>
              <w:t>Number of banks licensed by the NBU to conduct banking operations</w:t>
            </w:r>
          </w:p>
        </w:tc>
        <w:tc>
          <w:tcPr>
            <w:tcW w:w="527" w:type="pct"/>
            <w:vAlign w:val="center"/>
          </w:tcPr>
          <w:p w:rsidR="005C3F63" w:rsidRDefault="006536E7">
            <w:pPr>
              <w:jc w:val="center"/>
              <w:rPr>
                <w:rFonts w:ascii="Verdana" w:eastAsia="Calibri" w:hAnsi="Verdana"/>
                <w:sz w:val="16"/>
                <w:szCs w:val="16"/>
              </w:rPr>
            </w:pPr>
            <w:r>
              <w:rPr>
                <w:rFonts w:ascii="Verdana" w:eastAsia="Calibri" w:hAnsi="Verdana"/>
                <w:sz w:val="16"/>
                <w:szCs w:val="16"/>
              </w:rPr>
              <w:t>180</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163</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117</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96</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82</w:t>
            </w:r>
          </w:p>
        </w:tc>
        <w:tc>
          <w:tcPr>
            <w:tcW w:w="526" w:type="pct"/>
            <w:vAlign w:val="center"/>
          </w:tcPr>
          <w:p w:rsidR="005C3F63" w:rsidRDefault="006536E7">
            <w:pPr>
              <w:jc w:val="center"/>
              <w:rPr>
                <w:rFonts w:ascii="Verdana" w:eastAsia="Calibri" w:hAnsi="Verdana"/>
                <w:sz w:val="16"/>
                <w:szCs w:val="16"/>
              </w:rPr>
            </w:pPr>
            <w:r>
              <w:rPr>
                <w:rFonts w:ascii="Verdana" w:eastAsia="Calibri" w:hAnsi="Verdana"/>
                <w:sz w:val="16"/>
                <w:szCs w:val="16"/>
              </w:rPr>
              <w:t>77</w:t>
            </w:r>
          </w:p>
        </w:tc>
        <w:tc>
          <w:tcPr>
            <w:tcW w:w="552" w:type="pct"/>
            <w:vAlign w:val="center"/>
          </w:tcPr>
          <w:p w:rsidR="005C3F63" w:rsidRDefault="006536E7">
            <w:pPr>
              <w:jc w:val="center"/>
              <w:rPr>
                <w:rFonts w:ascii="Verdana" w:eastAsia="Calibri" w:hAnsi="Verdana"/>
                <w:sz w:val="16"/>
                <w:szCs w:val="16"/>
              </w:rPr>
            </w:pPr>
            <w:r>
              <w:rPr>
                <w:rFonts w:ascii="Verdana" w:eastAsia="Calibri" w:hAnsi="Verdana"/>
                <w:sz w:val="16"/>
                <w:szCs w:val="16"/>
              </w:rPr>
              <w:t>75</w:t>
            </w:r>
          </w:p>
        </w:tc>
      </w:tr>
      <w:tr w:rsidR="005C3F63">
        <w:trPr>
          <w:jc w:val="center"/>
        </w:trPr>
        <w:tc>
          <w:tcPr>
            <w:tcW w:w="1261" w:type="pct"/>
          </w:tcPr>
          <w:p w:rsidR="005C3F63" w:rsidRDefault="006536E7">
            <w:pPr>
              <w:rPr>
                <w:rFonts w:ascii="Verdana" w:hAnsi="Verdana"/>
                <w:sz w:val="16"/>
                <w:szCs w:val="16"/>
                <w:lang w:eastAsia="ru-RU"/>
              </w:rPr>
            </w:pPr>
            <w:r>
              <w:rPr>
                <w:rFonts w:ascii="Verdana" w:hAnsi="Verdana"/>
                <w:sz w:val="16"/>
                <w:szCs w:val="16"/>
                <w:lang w:eastAsia="ru-RU"/>
              </w:rPr>
              <w:t>Number of banks with local capital</w:t>
            </w:r>
          </w:p>
        </w:tc>
        <w:tc>
          <w:tcPr>
            <w:tcW w:w="527" w:type="pct"/>
            <w:vAlign w:val="center"/>
          </w:tcPr>
          <w:p w:rsidR="005C3F63" w:rsidRDefault="006536E7">
            <w:pPr>
              <w:jc w:val="center"/>
              <w:rPr>
                <w:rFonts w:ascii="Verdana" w:eastAsia="Calibri" w:hAnsi="Verdana"/>
                <w:sz w:val="16"/>
                <w:szCs w:val="16"/>
              </w:rPr>
            </w:pPr>
            <w:r>
              <w:rPr>
                <w:rFonts w:ascii="Verdana" w:eastAsia="Calibri" w:hAnsi="Verdana"/>
                <w:sz w:val="16"/>
                <w:szCs w:val="16"/>
              </w:rPr>
              <w:t>131</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112</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76</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58</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44</w:t>
            </w:r>
          </w:p>
        </w:tc>
        <w:tc>
          <w:tcPr>
            <w:tcW w:w="526" w:type="pct"/>
            <w:vAlign w:val="center"/>
          </w:tcPr>
          <w:p w:rsidR="005C3F63" w:rsidRDefault="006536E7">
            <w:pPr>
              <w:jc w:val="center"/>
              <w:rPr>
                <w:rFonts w:ascii="Verdana" w:eastAsia="Calibri" w:hAnsi="Verdana"/>
                <w:sz w:val="16"/>
                <w:szCs w:val="16"/>
              </w:rPr>
            </w:pPr>
            <w:r>
              <w:rPr>
                <w:rFonts w:ascii="Verdana" w:eastAsia="Calibri" w:hAnsi="Verdana"/>
                <w:sz w:val="16"/>
                <w:szCs w:val="16"/>
              </w:rPr>
              <w:t>40</w:t>
            </w:r>
          </w:p>
        </w:tc>
        <w:tc>
          <w:tcPr>
            <w:tcW w:w="552" w:type="pct"/>
            <w:vAlign w:val="center"/>
          </w:tcPr>
          <w:p w:rsidR="005C3F63" w:rsidRDefault="006536E7">
            <w:pPr>
              <w:jc w:val="center"/>
              <w:rPr>
                <w:rFonts w:ascii="Verdana" w:eastAsia="Calibri" w:hAnsi="Verdana"/>
                <w:sz w:val="16"/>
                <w:szCs w:val="16"/>
              </w:rPr>
            </w:pPr>
            <w:r>
              <w:rPr>
                <w:rFonts w:ascii="Verdana" w:eastAsia="Calibri" w:hAnsi="Verdana"/>
                <w:sz w:val="16"/>
                <w:szCs w:val="16"/>
              </w:rPr>
              <w:t>40</w:t>
            </w:r>
          </w:p>
        </w:tc>
      </w:tr>
      <w:tr w:rsidR="005C3F63">
        <w:trPr>
          <w:jc w:val="center"/>
        </w:trPr>
        <w:tc>
          <w:tcPr>
            <w:tcW w:w="1261" w:type="pct"/>
          </w:tcPr>
          <w:p w:rsidR="005C3F63" w:rsidRDefault="006536E7">
            <w:pPr>
              <w:rPr>
                <w:rFonts w:ascii="Verdana" w:hAnsi="Verdana"/>
                <w:sz w:val="16"/>
                <w:szCs w:val="16"/>
                <w:lang w:eastAsia="ru-RU"/>
              </w:rPr>
            </w:pPr>
            <w:r>
              <w:rPr>
                <w:rFonts w:ascii="Verdana" w:hAnsi="Verdana"/>
                <w:sz w:val="16"/>
                <w:szCs w:val="16"/>
                <w:lang w:eastAsia="ru-RU"/>
              </w:rPr>
              <w:t>Number of banks with foreign capital</w:t>
            </w:r>
          </w:p>
        </w:tc>
        <w:tc>
          <w:tcPr>
            <w:tcW w:w="527" w:type="pct"/>
            <w:vAlign w:val="center"/>
          </w:tcPr>
          <w:p w:rsidR="005C3F63" w:rsidRDefault="006536E7">
            <w:pPr>
              <w:jc w:val="center"/>
              <w:rPr>
                <w:rFonts w:ascii="Verdana" w:eastAsia="Calibri" w:hAnsi="Verdana"/>
                <w:sz w:val="16"/>
                <w:szCs w:val="16"/>
              </w:rPr>
            </w:pPr>
            <w:r>
              <w:rPr>
                <w:rFonts w:ascii="Verdana" w:eastAsia="Calibri" w:hAnsi="Verdana"/>
                <w:sz w:val="16"/>
                <w:szCs w:val="16"/>
              </w:rPr>
              <w:t>49</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51</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41</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38</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38</w:t>
            </w:r>
          </w:p>
        </w:tc>
        <w:tc>
          <w:tcPr>
            <w:tcW w:w="526" w:type="pct"/>
            <w:vAlign w:val="center"/>
          </w:tcPr>
          <w:p w:rsidR="005C3F63" w:rsidRDefault="006536E7">
            <w:pPr>
              <w:jc w:val="center"/>
              <w:rPr>
                <w:rFonts w:ascii="Verdana" w:eastAsia="Calibri" w:hAnsi="Verdana"/>
                <w:sz w:val="16"/>
                <w:szCs w:val="16"/>
              </w:rPr>
            </w:pPr>
            <w:r>
              <w:rPr>
                <w:rFonts w:ascii="Verdana" w:eastAsia="Calibri" w:hAnsi="Verdana"/>
                <w:sz w:val="16"/>
                <w:szCs w:val="16"/>
              </w:rPr>
              <w:t>37</w:t>
            </w:r>
          </w:p>
        </w:tc>
        <w:tc>
          <w:tcPr>
            <w:tcW w:w="552" w:type="pct"/>
            <w:vAlign w:val="center"/>
          </w:tcPr>
          <w:p w:rsidR="005C3F63" w:rsidRDefault="006536E7">
            <w:pPr>
              <w:jc w:val="center"/>
              <w:rPr>
                <w:rFonts w:ascii="Verdana" w:eastAsia="Calibri" w:hAnsi="Verdana"/>
                <w:sz w:val="16"/>
                <w:szCs w:val="16"/>
              </w:rPr>
            </w:pPr>
            <w:r>
              <w:rPr>
                <w:rFonts w:ascii="Verdana" w:eastAsia="Calibri" w:hAnsi="Verdana"/>
                <w:sz w:val="16"/>
                <w:szCs w:val="16"/>
              </w:rPr>
              <w:t>35</w:t>
            </w:r>
          </w:p>
        </w:tc>
      </w:tr>
      <w:tr w:rsidR="005C3F63">
        <w:trPr>
          <w:jc w:val="center"/>
        </w:trPr>
        <w:tc>
          <w:tcPr>
            <w:tcW w:w="1261" w:type="pct"/>
          </w:tcPr>
          <w:p w:rsidR="005C3F63" w:rsidRDefault="006536E7">
            <w:pPr>
              <w:rPr>
                <w:rFonts w:ascii="Verdana" w:hAnsi="Verdana"/>
                <w:sz w:val="16"/>
                <w:szCs w:val="16"/>
                <w:lang w:eastAsia="ru-RU"/>
              </w:rPr>
            </w:pPr>
            <w:r>
              <w:rPr>
                <w:rFonts w:ascii="Verdana" w:hAnsi="Verdana"/>
                <w:sz w:val="16"/>
                <w:szCs w:val="16"/>
                <w:lang w:eastAsia="ru-RU"/>
              </w:rPr>
              <w:t>Number of banks with 100% foreign capital</w:t>
            </w:r>
          </w:p>
        </w:tc>
        <w:tc>
          <w:tcPr>
            <w:tcW w:w="527" w:type="pct"/>
            <w:vAlign w:val="center"/>
          </w:tcPr>
          <w:p w:rsidR="005C3F63" w:rsidRDefault="006536E7">
            <w:pPr>
              <w:jc w:val="center"/>
              <w:rPr>
                <w:rFonts w:ascii="Verdana" w:eastAsia="Calibri" w:hAnsi="Verdana"/>
                <w:sz w:val="16"/>
                <w:szCs w:val="16"/>
              </w:rPr>
            </w:pPr>
            <w:r>
              <w:rPr>
                <w:rFonts w:ascii="Verdana" w:eastAsia="Calibri" w:hAnsi="Verdana"/>
                <w:sz w:val="16"/>
                <w:szCs w:val="16"/>
              </w:rPr>
              <w:t>19</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19</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17</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17</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18</w:t>
            </w:r>
          </w:p>
        </w:tc>
        <w:tc>
          <w:tcPr>
            <w:tcW w:w="526" w:type="pct"/>
            <w:vAlign w:val="center"/>
          </w:tcPr>
          <w:p w:rsidR="005C3F63" w:rsidRDefault="006536E7">
            <w:pPr>
              <w:jc w:val="center"/>
              <w:rPr>
                <w:rFonts w:ascii="Verdana" w:eastAsia="Calibri" w:hAnsi="Verdana"/>
                <w:sz w:val="16"/>
                <w:szCs w:val="16"/>
              </w:rPr>
            </w:pPr>
            <w:r>
              <w:rPr>
                <w:rFonts w:ascii="Verdana" w:eastAsia="Calibri" w:hAnsi="Verdana"/>
                <w:sz w:val="16"/>
                <w:szCs w:val="16"/>
              </w:rPr>
              <w:t>23</w:t>
            </w:r>
          </w:p>
        </w:tc>
        <w:tc>
          <w:tcPr>
            <w:tcW w:w="552" w:type="pct"/>
            <w:vAlign w:val="center"/>
          </w:tcPr>
          <w:p w:rsidR="005C3F63" w:rsidRDefault="006536E7">
            <w:pPr>
              <w:jc w:val="center"/>
              <w:rPr>
                <w:rFonts w:ascii="Verdana" w:eastAsia="Calibri" w:hAnsi="Verdana"/>
                <w:sz w:val="16"/>
                <w:szCs w:val="16"/>
              </w:rPr>
            </w:pPr>
            <w:r>
              <w:rPr>
                <w:rFonts w:ascii="Verdana" w:eastAsia="Calibri" w:hAnsi="Verdana"/>
                <w:sz w:val="16"/>
                <w:szCs w:val="16"/>
              </w:rPr>
              <w:t>23</w:t>
            </w:r>
          </w:p>
        </w:tc>
      </w:tr>
      <w:tr w:rsidR="005C3F63">
        <w:trPr>
          <w:jc w:val="center"/>
        </w:trPr>
        <w:tc>
          <w:tcPr>
            <w:tcW w:w="1261" w:type="pct"/>
          </w:tcPr>
          <w:p w:rsidR="005C3F63" w:rsidRDefault="006536E7">
            <w:pPr>
              <w:rPr>
                <w:rFonts w:ascii="Verdana" w:hAnsi="Verdana"/>
                <w:sz w:val="16"/>
                <w:szCs w:val="16"/>
                <w:lang w:eastAsia="ru-RU"/>
              </w:rPr>
            </w:pPr>
            <w:r>
              <w:rPr>
                <w:rFonts w:ascii="Verdana" w:hAnsi="Verdana"/>
                <w:sz w:val="16"/>
                <w:szCs w:val="16"/>
                <w:lang w:eastAsia="ru-RU"/>
              </w:rPr>
              <w:t>Bank assets, UAH mln</w:t>
            </w:r>
          </w:p>
        </w:tc>
        <w:tc>
          <w:tcPr>
            <w:tcW w:w="527" w:type="pct"/>
            <w:vAlign w:val="center"/>
          </w:tcPr>
          <w:p w:rsidR="005C3F63" w:rsidRDefault="006536E7">
            <w:pPr>
              <w:jc w:val="center"/>
              <w:rPr>
                <w:rFonts w:ascii="Verdana" w:eastAsia="Calibri" w:hAnsi="Verdana"/>
                <w:sz w:val="16"/>
                <w:szCs w:val="16"/>
              </w:rPr>
            </w:pPr>
            <w:r>
              <w:rPr>
                <w:rFonts w:ascii="Verdana" w:eastAsia="Calibri" w:hAnsi="Verdana"/>
                <w:sz w:val="16"/>
                <w:szCs w:val="16"/>
              </w:rPr>
              <w:t>1 127 192</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1 278 095</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1 316 852</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1 254 385</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1 212 812</w:t>
            </w:r>
          </w:p>
        </w:tc>
        <w:tc>
          <w:tcPr>
            <w:tcW w:w="526" w:type="pct"/>
            <w:vAlign w:val="center"/>
          </w:tcPr>
          <w:p w:rsidR="005C3F63" w:rsidRDefault="006536E7">
            <w:pPr>
              <w:jc w:val="center"/>
              <w:rPr>
                <w:rFonts w:ascii="Verdana" w:eastAsia="Calibri" w:hAnsi="Verdana"/>
                <w:sz w:val="16"/>
                <w:szCs w:val="16"/>
              </w:rPr>
            </w:pPr>
            <w:r>
              <w:rPr>
                <w:rFonts w:ascii="Verdana" w:eastAsia="Calibri" w:hAnsi="Verdana"/>
                <w:sz w:val="16"/>
                <w:szCs w:val="16"/>
              </w:rPr>
              <w:t>1 359 703</w:t>
            </w:r>
          </w:p>
        </w:tc>
        <w:tc>
          <w:tcPr>
            <w:tcW w:w="552" w:type="pct"/>
            <w:vAlign w:val="center"/>
          </w:tcPr>
          <w:p w:rsidR="005C3F63" w:rsidRDefault="006536E7">
            <w:pPr>
              <w:jc w:val="center"/>
              <w:rPr>
                <w:rFonts w:ascii="Verdana" w:eastAsia="Calibri" w:hAnsi="Verdana"/>
                <w:sz w:val="16"/>
                <w:szCs w:val="16"/>
              </w:rPr>
            </w:pPr>
            <w:r>
              <w:rPr>
                <w:rFonts w:ascii="Verdana" w:eastAsia="Calibri" w:hAnsi="Verdana"/>
                <w:sz w:val="16"/>
                <w:szCs w:val="16"/>
              </w:rPr>
              <w:t>1 494 460</w:t>
            </w:r>
          </w:p>
        </w:tc>
      </w:tr>
      <w:tr w:rsidR="005C3F63">
        <w:trPr>
          <w:jc w:val="center"/>
        </w:trPr>
        <w:tc>
          <w:tcPr>
            <w:tcW w:w="1261" w:type="pct"/>
          </w:tcPr>
          <w:p w:rsidR="005C3F63" w:rsidRDefault="006536E7">
            <w:pPr>
              <w:rPr>
                <w:rFonts w:ascii="Verdana" w:hAnsi="Verdana"/>
                <w:sz w:val="16"/>
                <w:szCs w:val="16"/>
                <w:lang w:eastAsia="ru-RU"/>
              </w:rPr>
            </w:pPr>
            <w:r>
              <w:rPr>
                <w:rFonts w:ascii="Verdana" w:hAnsi="Verdana"/>
                <w:sz w:val="16"/>
                <w:szCs w:val="16"/>
                <w:lang w:eastAsia="ru-RU"/>
              </w:rPr>
              <w:t>Return on assets,%</w:t>
            </w:r>
          </w:p>
        </w:tc>
        <w:tc>
          <w:tcPr>
            <w:tcW w:w="527" w:type="pct"/>
            <w:vAlign w:val="center"/>
          </w:tcPr>
          <w:p w:rsidR="005C3F63" w:rsidRDefault="006536E7">
            <w:pPr>
              <w:jc w:val="center"/>
              <w:rPr>
                <w:rFonts w:ascii="Verdana" w:eastAsia="Calibri" w:hAnsi="Verdana"/>
                <w:sz w:val="16"/>
                <w:szCs w:val="16"/>
              </w:rPr>
            </w:pPr>
            <w:r>
              <w:rPr>
                <w:rFonts w:ascii="Verdana" w:eastAsia="Calibri" w:hAnsi="Verdana"/>
                <w:sz w:val="16"/>
                <w:szCs w:val="16"/>
              </w:rPr>
              <w:t>0,45</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0,12</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-4,07</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-5,46</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0,33</w:t>
            </w:r>
          </w:p>
        </w:tc>
        <w:tc>
          <w:tcPr>
            <w:tcW w:w="526" w:type="pct"/>
            <w:vAlign w:val="center"/>
          </w:tcPr>
          <w:p w:rsidR="005C3F63" w:rsidRDefault="006536E7">
            <w:pPr>
              <w:jc w:val="center"/>
              <w:rPr>
                <w:rFonts w:ascii="Verdana" w:eastAsia="Calibri" w:hAnsi="Verdana"/>
                <w:sz w:val="16"/>
                <w:szCs w:val="16"/>
              </w:rPr>
            </w:pPr>
            <w:r>
              <w:rPr>
                <w:rFonts w:ascii="Verdana" w:eastAsia="Calibri" w:hAnsi="Verdana"/>
                <w:sz w:val="16"/>
                <w:szCs w:val="16"/>
              </w:rPr>
              <w:t>1,69</w:t>
            </w:r>
          </w:p>
        </w:tc>
        <w:tc>
          <w:tcPr>
            <w:tcW w:w="552" w:type="pct"/>
            <w:vAlign w:val="center"/>
          </w:tcPr>
          <w:p w:rsidR="005C3F63" w:rsidRDefault="006536E7">
            <w:pPr>
              <w:jc w:val="center"/>
              <w:rPr>
                <w:rFonts w:ascii="Verdana" w:eastAsia="Calibri" w:hAnsi="Verdana"/>
                <w:sz w:val="16"/>
                <w:szCs w:val="16"/>
              </w:rPr>
            </w:pPr>
            <w:r>
              <w:rPr>
                <w:rFonts w:ascii="Verdana" w:eastAsia="Calibri" w:hAnsi="Verdana"/>
                <w:sz w:val="16"/>
                <w:szCs w:val="16"/>
              </w:rPr>
              <w:t>4,35</w:t>
            </w:r>
          </w:p>
        </w:tc>
      </w:tr>
      <w:tr w:rsidR="005C3F63">
        <w:trPr>
          <w:jc w:val="center"/>
        </w:trPr>
        <w:tc>
          <w:tcPr>
            <w:tcW w:w="1261" w:type="pct"/>
          </w:tcPr>
          <w:p w:rsidR="005C3F63" w:rsidRDefault="006536E7">
            <w:pPr>
              <w:rPr>
                <w:rFonts w:ascii="Verdana" w:hAnsi="Verdana"/>
                <w:sz w:val="16"/>
                <w:szCs w:val="16"/>
                <w:lang w:eastAsia="ru-RU"/>
              </w:rPr>
            </w:pPr>
            <w:r>
              <w:rPr>
                <w:rFonts w:ascii="Verdana" w:hAnsi="Verdana"/>
                <w:sz w:val="16"/>
                <w:szCs w:val="16"/>
                <w:lang w:eastAsia="ru-RU"/>
              </w:rPr>
              <w:t>Return on capital,%</w:t>
            </w:r>
          </w:p>
        </w:tc>
        <w:tc>
          <w:tcPr>
            <w:tcW w:w="527" w:type="pct"/>
            <w:vAlign w:val="center"/>
          </w:tcPr>
          <w:p w:rsidR="005C3F63" w:rsidRDefault="006536E7">
            <w:pPr>
              <w:jc w:val="center"/>
              <w:rPr>
                <w:rFonts w:ascii="Verdana" w:eastAsia="Calibri" w:hAnsi="Verdana"/>
                <w:sz w:val="16"/>
                <w:szCs w:val="16"/>
              </w:rPr>
            </w:pPr>
            <w:r>
              <w:rPr>
                <w:rFonts w:ascii="Verdana" w:eastAsia="Calibri" w:hAnsi="Verdana"/>
                <w:sz w:val="16"/>
                <w:szCs w:val="16"/>
              </w:rPr>
              <w:t>3,03</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0,81</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-30,46</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-51,91</w:t>
            </w:r>
          </w:p>
        </w:tc>
        <w:tc>
          <w:tcPr>
            <w:tcW w:w="533" w:type="pct"/>
            <w:vAlign w:val="center"/>
          </w:tcPr>
          <w:p w:rsidR="005C3F63" w:rsidRDefault="006536E7">
            <w:pPr>
              <w:jc w:val="center"/>
              <w:rPr>
                <w:rFonts w:ascii="Verdana" w:eastAsia="Calibri" w:hAnsi="Verdana"/>
                <w:sz w:val="16"/>
                <w:szCs w:val="16"/>
              </w:rPr>
            </w:pPr>
            <w:r>
              <w:rPr>
                <w:rFonts w:ascii="Verdana" w:eastAsia="Calibri" w:hAnsi="Verdana"/>
                <w:sz w:val="16"/>
                <w:szCs w:val="16"/>
              </w:rPr>
              <w:t>3,33</w:t>
            </w:r>
          </w:p>
        </w:tc>
        <w:tc>
          <w:tcPr>
            <w:tcW w:w="526" w:type="pct"/>
            <w:vAlign w:val="center"/>
          </w:tcPr>
          <w:p w:rsidR="005C3F63" w:rsidRDefault="006536E7">
            <w:pPr>
              <w:jc w:val="center"/>
              <w:rPr>
                <w:rFonts w:ascii="Verdana" w:eastAsia="Calibri" w:hAnsi="Verdana"/>
                <w:sz w:val="16"/>
                <w:szCs w:val="16"/>
              </w:rPr>
            </w:pPr>
            <w:r>
              <w:rPr>
                <w:rFonts w:ascii="Verdana" w:eastAsia="Calibri" w:hAnsi="Verdana"/>
                <w:sz w:val="16"/>
                <w:szCs w:val="16"/>
              </w:rPr>
              <w:t>14,67</w:t>
            </w:r>
          </w:p>
        </w:tc>
        <w:tc>
          <w:tcPr>
            <w:tcW w:w="552" w:type="pct"/>
            <w:vAlign w:val="center"/>
          </w:tcPr>
          <w:p w:rsidR="005C3F63" w:rsidRDefault="006536E7">
            <w:pPr>
              <w:jc w:val="center"/>
              <w:rPr>
                <w:rFonts w:ascii="Verdana" w:eastAsia="Calibri" w:hAnsi="Verdana"/>
                <w:sz w:val="16"/>
                <w:szCs w:val="16"/>
              </w:rPr>
            </w:pPr>
            <w:r>
              <w:rPr>
                <w:rFonts w:ascii="Verdana" w:eastAsia="Calibri" w:hAnsi="Verdana"/>
                <w:sz w:val="16"/>
                <w:szCs w:val="16"/>
              </w:rPr>
              <w:t>34,18</w:t>
            </w:r>
          </w:p>
        </w:tc>
      </w:tr>
    </w:tbl>
    <w:p w:rsidR="005C3F63" w:rsidRDefault="005C3F63">
      <w:pPr>
        <w:jc w:val="center"/>
        <w:rPr>
          <w:rFonts w:ascii="Verdana" w:eastAsia="Calibri" w:hAnsi="Verdana"/>
          <w:sz w:val="18"/>
          <w:szCs w:val="18"/>
        </w:rPr>
      </w:pPr>
    </w:p>
    <w:p w:rsidR="005C3F63" w:rsidRDefault="006536E7">
      <w:pPr>
        <w:jc w:val="center"/>
        <w:rPr>
          <w:rFonts w:ascii="Verdana" w:hAnsi="Verdana"/>
          <w:sz w:val="18"/>
          <w:szCs w:val="18"/>
        </w:rPr>
      </w:pPr>
      <w:r>
        <w:rPr>
          <w:rFonts w:ascii="Verdana" w:eastAsia="Calibri" w:hAnsi="Verdana"/>
          <w:sz w:val="18"/>
          <w:szCs w:val="18"/>
        </w:rPr>
        <w:t xml:space="preserve">Source: Developed by the authors based on </w:t>
      </w:r>
      <w:r>
        <w:rPr>
          <w:rFonts w:ascii="Verdana" w:hAnsi="Verdana"/>
          <w:sz w:val="18"/>
          <w:szCs w:val="18"/>
        </w:rPr>
        <w:t xml:space="preserve">National Bank of Ukraine (2020). Supervisory Data. Retrieved from: </w:t>
      </w:r>
      <w:hyperlink r:id="rId210" w:history="1">
        <w:r>
          <w:rPr>
            <w:rStyle w:val="af9"/>
            <w:rFonts w:ascii="Verdana" w:eastAsiaTheme="majorEastAsia" w:hAnsi="Verdana"/>
            <w:sz w:val="18"/>
            <w:szCs w:val="18"/>
          </w:rPr>
          <w:t>https://bank.gov.ua/en/statistic/supervision-statist</w:t>
        </w:r>
      </w:hyperlink>
    </w:p>
    <w:p w:rsidR="005C3F63" w:rsidRDefault="005C3F63">
      <w:pPr>
        <w:jc w:val="center"/>
        <w:rPr>
          <w:rFonts w:ascii="Verdana" w:hAnsi="Verdana"/>
          <w:b/>
          <w:sz w:val="18"/>
          <w:szCs w:val="18"/>
        </w:rPr>
      </w:pPr>
    </w:p>
    <w:p w:rsidR="005C3F63" w:rsidRDefault="006536E7">
      <w:pPr>
        <w:pStyle w:val="afd"/>
        <w:ind w:left="0"/>
        <w:rPr>
          <w:rFonts w:ascii="Verdana" w:hAnsi="Verdana"/>
          <w:sz w:val="20"/>
          <w:szCs w:val="20"/>
        </w:rPr>
      </w:pPr>
      <w:r>
        <w:rPr>
          <w:rFonts w:ascii="Verdana" w:hAnsi="Verdana"/>
          <w:sz w:val="20"/>
          <w:szCs w:val="20"/>
        </w:rPr>
        <w:t>We can see that the decrease in the number of operating banks indicates that many entities were not ready for changes in economic and social environment. Their management did not have a sufficient level of expertise, as well as a sufficient level of support for the shareholders.</w:t>
      </w:r>
    </w:p>
    <w:p w:rsidR="005C3F63" w:rsidRDefault="005C3F63">
      <w:pPr>
        <w:pStyle w:val="afd"/>
        <w:ind w:left="0"/>
        <w:rPr>
          <w:rFonts w:ascii="Verdana" w:hAnsi="Verdana"/>
          <w:sz w:val="20"/>
          <w:szCs w:val="20"/>
        </w:rPr>
      </w:pPr>
    </w:p>
    <w:p w:rsidR="005C3F63" w:rsidRDefault="006536E7">
      <w:pPr>
        <w:rPr>
          <w:rFonts w:ascii="Verdana" w:hAnsi="Verdana"/>
          <w:b/>
        </w:rPr>
      </w:pPr>
      <w:r>
        <w:rPr>
          <w:rFonts w:ascii="Verdana" w:hAnsi="Verdana"/>
          <w:b/>
        </w:rPr>
        <w:t>3 Results and Discussion</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In order to respond to changes, it is necessary to have relevant management tools.</w:t>
      </w:r>
      <w:r>
        <w:rPr>
          <w:rFonts w:ascii="Verdana" w:hAnsi="Verdana"/>
          <w:sz w:val="20"/>
          <w:szCs w:val="20"/>
          <w:lang w:val="uk-UA"/>
        </w:rPr>
        <w:t xml:space="preserve"> </w:t>
      </w:r>
      <w:r>
        <w:rPr>
          <w:rFonts w:ascii="Verdana" w:hAnsi="Verdana"/>
          <w:sz w:val="20"/>
          <w:szCs w:val="20"/>
        </w:rPr>
        <w:t>Improving the accounting system of the bank involves primarily the development and implementation of accounting policies, taking into account changes in both internal and external environment.</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Insufficient regulatory support for the formation of accounting policies and the desire to accurately reflect the financial results of the bank requires outlining the range of issues that must be determined in the accounting policy of the bank, namely:</w:t>
      </w:r>
      <w:r>
        <w:rPr>
          <w:rFonts w:ascii="Verdana" w:hAnsi="Verdana"/>
          <w:sz w:val="20"/>
          <w:szCs w:val="20"/>
          <w:lang w:val="uk-UA"/>
        </w:rPr>
        <w:t xml:space="preserve"> </w:t>
      </w:r>
      <w:r>
        <w:rPr>
          <w:rFonts w:ascii="Verdana" w:hAnsi="Verdana"/>
          <w:sz w:val="20"/>
          <w:szCs w:val="20"/>
        </w:rPr>
        <w:t>establishment of types of reports; development of the order of their creation and use;</w:t>
      </w:r>
      <w:r>
        <w:rPr>
          <w:rFonts w:ascii="Verdana" w:hAnsi="Verdana"/>
          <w:sz w:val="20"/>
          <w:szCs w:val="20"/>
          <w:lang w:val="uk-UA"/>
        </w:rPr>
        <w:t xml:space="preserve"> </w:t>
      </w:r>
      <w:r>
        <w:rPr>
          <w:rFonts w:ascii="Verdana" w:hAnsi="Verdana"/>
          <w:sz w:val="20"/>
          <w:szCs w:val="20"/>
        </w:rPr>
        <w:t>methods;</w:t>
      </w:r>
      <w:r>
        <w:rPr>
          <w:rFonts w:ascii="Verdana" w:hAnsi="Verdana"/>
          <w:sz w:val="20"/>
          <w:szCs w:val="20"/>
          <w:lang w:val="uk-UA"/>
        </w:rPr>
        <w:t xml:space="preserve"> </w:t>
      </w:r>
      <w:r>
        <w:rPr>
          <w:rFonts w:ascii="Verdana" w:hAnsi="Verdana"/>
          <w:sz w:val="20"/>
          <w:szCs w:val="20"/>
        </w:rPr>
        <w:t>determining the order of inventory and making adjustments based on the results;</w:t>
      </w:r>
      <w:r>
        <w:rPr>
          <w:rFonts w:ascii="Verdana" w:hAnsi="Verdana"/>
          <w:sz w:val="20"/>
          <w:szCs w:val="20"/>
          <w:lang w:val="uk-UA"/>
        </w:rPr>
        <w:t xml:space="preserve"> </w:t>
      </w:r>
      <w:r>
        <w:rPr>
          <w:rFonts w:ascii="Verdana" w:hAnsi="Verdana"/>
          <w:sz w:val="20"/>
          <w:szCs w:val="20"/>
        </w:rPr>
        <w:t>setting a limit on the amount of costs: appropriate to create special reporting type.</w:t>
      </w:r>
    </w:p>
    <w:p w:rsidR="005C3F63" w:rsidRDefault="005C3F63">
      <w:pPr>
        <w:rPr>
          <w:rFonts w:ascii="Verdana" w:hAnsi="Verdana"/>
          <w:sz w:val="20"/>
          <w:szCs w:val="20"/>
        </w:rPr>
      </w:pPr>
    </w:p>
    <w:p w:rsidR="005C3F63" w:rsidRDefault="006536E7">
      <w:r>
        <w:rPr>
          <w:rFonts w:ascii="Verdana" w:hAnsi="Verdana"/>
          <w:sz w:val="20"/>
          <w:szCs w:val="20"/>
        </w:rPr>
        <w:t>According to analysts, banks, underestimating the value of accounting policies for income and expenses, commit gross violations in the application of fundamental accounting principles to improve the financial performance of the bank, although this negatively affects the reliability of both current financial performance and capital. The leading factor for the integration of financial and management accounting on higher levels (calculation and output level) is the effort to lower the cost burden levied by the duty to prepare two sets of financial statements for external users (Procházka, 2010).</w:t>
      </w:r>
      <w:r>
        <w:rPr>
          <w:lang w:val="uk-UA"/>
        </w:rPr>
        <w:t xml:space="preserve"> </w:t>
      </w:r>
      <w:r>
        <w:rPr>
          <w:rFonts w:ascii="Verdana" w:hAnsi="Verdana"/>
          <w:sz w:val="20"/>
          <w:szCs w:val="20"/>
        </w:rPr>
        <w:t xml:space="preserve">As evidenced by the </w:t>
      </w:r>
      <w:r>
        <w:rPr>
          <w:rFonts w:ascii="Verdana" w:hAnsi="Verdana"/>
          <w:sz w:val="20"/>
          <w:szCs w:val="20"/>
        </w:rPr>
        <w:lastRenderedPageBreak/>
        <w:t>results of research by banking analysts (Sliunina, 2007), banks pay sufficient attention to information about the selected methods and techniques of accounting for all types of assets and liabilities, income and expenses, however, there is an overload of internal accounting standards of banks with excessive or secondary information.</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Basically, accounting techniques are tied to the norms of tax accounting, which can lead to a violation of banks' compliance with the requirements of accounting standards. It is obvious that as a result of non-compliance of certain legal norms and due to the backlog of accounting practices, banks do not use certain legal regulations.</w:t>
      </w:r>
    </w:p>
    <w:p w:rsidR="005C3F63" w:rsidRDefault="005C3F63">
      <w:pPr>
        <w:rPr>
          <w:rFonts w:ascii="Verdana" w:hAnsi="Verdana"/>
          <w:sz w:val="20"/>
          <w:szCs w:val="20"/>
        </w:rPr>
      </w:pPr>
    </w:p>
    <w:p w:rsidR="005C3F63" w:rsidRDefault="006536E7">
      <w:pPr>
        <w:rPr>
          <w:rFonts w:ascii="Verdana" w:hAnsi="Verdana"/>
          <w:sz w:val="20"/>
          <w:szCs w:val="20"/>
          <w:lang w:val="uk-UA"/>
        </w:rPr>
      </w:pPr>
      <w:r>
        <w:rPr>
          <w:rFonts w:ascii="Verdana" w:hAnsi="Verdana"/>
          <w:sz w:val="20"/>
          <w:szCs w:val="20"/>
        </w:rPr>
        <w:t>This testifies to the imperfection of both the normative provision of accounting and the presence of internal problems in banks, which will lead to violations of established accounting methods. The accounting policy does not fully disclose the rules of formation of the realized and unrealized result of the bank on the local and foreign currency components of the balance sheet, the order of formation of the bank's reserves and other accounting methods of capital, strategic direction, current development plans, adequacy of internal control procedures.</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Significant financial losses and bankruptcy of banks convince us that the local banks have not created such an accounting and analytical system, which would be in accordance with modern conditions of functioning. Therefore, having analyzed the issues of accounting and analytical support for the management of banking activities, we have formalized the main relevant modifications of the system (Table 2).</w:t>
      </w:r>
    </w:p>
    <w:p w:rsidR="005C3F63" w:rsidRDefault="005C3F63">
      <w:pPr>
        <w:ind w:firstLine="567"/>
        <w:rPr>
          <w:rFonts w:ascii="Verdana" w:hAnsi="Verdana"/>
          <w:sz w:val="20"/>
          <w:szCs w:val="20"/>
        </w:rPr>
      </w:pPr>
    </w:p>
    <w:p w:rsidR="005C3F63" w:rsidRDefault="006536E7">
      <w:pPr>
        <w:ind w:firstLine="567"/>
        <w:jc w:val="center"/>
        <w:rPr>
          <w:rFonts w:ascii="Verdana" w:hAnsi="Verdana"/>
          <w:sz w:val="20"/>
          <w:szCs w:val="20"/>
        </w:rPr>
      </w:pPr>
      <w:r>
        <w:rPr>
          <w:rFonts w:ascii="Verdana" w:hAnsi="Verdana"/>
          <w:b/>
          <w:sz w:val="20"/>
          <w:szCs w:val="20"/>
        </w:rPr>
        <w:t>Table 2</w:t>
      </w:r>
      <w:r>
        <w:rPr>
          <w:rFonts w:ascii="Verdana" w:hAnsi="Verdana"/>
          <w:sz w:val="20"/>
          <w:szCs w:val="20"/>
        </w:rPr>
        <w:t xml:space="preserve"> Improving the existing accounting and analytical system of the bank</w:t>
      </w:r>
    </w:p>
    <w:p w:rsidR="005C3F63" w:rsidRDefault="005C3F63">
      <w:pPr>
        <w:ind w:firstLine="567"/>
        <w:jc w:val="center"/>
        <w:rPr>
          <w:rFonts w:ascii="Verdana" w:hAnsi="Verdana"/>
          <w:sz w:val="18"/>
          <w:szCs w:val="18"/>
        </w:rPr>
      </w:pPr>
    </w:p>
    <w:tbl>
      <w:tblPr>
        <w:tblStyle w:val="afb"/>
        <w:tblW w:w="0" w:type="auto"/>
        <w:jc w:val="center"/>
        <w:tblLook w:val="04A0" w:firstRow="1" w:lastRow="0" w:firstColumn="1" w:lastColumn="0" w:noHBand="0" w:noVBand="1"/>
      </w:tblPr>
      <w:tblGrid>
        <w:gridCol w:w="3091"/>
        <w:gridCol w:w="3095"/>
        <w:gridCol w:w="3102"/>
      </w:tblGrid>
      <w:tr w:rsidR="005C3F63">
        <w:trPr>
          <w:jc w:val="center"/>
        </w:trPr>
        <w:tc>
          <w:tcPr>
            <w:tcW w:w="3189" w:type="dxa"/>
            <w:tcBorders>
              <w:top w:val="single" w:sz="4" w:space="0" w:color="auto"/>
              <w:left w:val="single" w:sz="4" w:space="0" w:color="auto"/>
              <w:bottom w:val="single" w:sz="4" w:space="0" w:color="auto"/>
              <w:right w:val="single" w:sz="4" w:space="0" w:color="auto"/>
            </w:tcBorders>
            <w:vAlign w:val="center"/>
          </w:tcPr>
          <w:p w:rsidR="005C3F63" w:rsidRDefault="006536E7">
            <w:pPr>
              <w:jc w:val="center"/>
              <w:rPr>
                <w:rFonts w:ascii="Verdana" w:hAnsi="Verdana"/>
                <w:sz w:val="18"/>
                <w:szCs w:val="18"/>
              </w:rPr>
            </w:pPr>
            <w:r>
              <w:rPr>
                <w:rFonts w:ascii="Verdana" w:hAnsi="Verdana"/>
                <w:sz w:val="18"/>
                <w:szCs w:val="18"/>
              </w:rPr>
              <w:t>The existing accounting and analytical system of banks</w:t>
            </w:r>
          </w:p>
        </w:tc>
        <w:tc>
          <w:tcPr>
            <w:tcW w:w="3190" w:type="dxa"/>
            <w:tcBorders>
              <w:top w:val="single" w:sz="4" w:space="0" w:color="auto"/>
              <w:left w:val="single" w:sz="4" w:space="0" w:color="auto"/>
              <w:bottom w:val="single" w:sz="4" w:space="0" w:color="auto"/>
              <w:right w:val="single" w:sz="4" w:space="0" w:color="auto"/>
            </w:tcBorders>
            <w:vAlign w:val="center"/>
          </w:tcPr>
          <w:p w:rsidR="005C3F63" w:rsidRDefault="006536E7">
            <w:pPr>
              <w:jc w:val="center"/>
              <w:rPr>
                <w:rFonts w:ascii="Verdana" w:hAnsi="Verdana"/>
                <w:sz w:val="18"/>
                <w:szCs w:val="18"/>
              </w:rPr>
            </w:pPr>
            <w:r>
              <w:rPr>
                <w:rFonts w:ascii="Verdana" w:hAnsi="Verdana"/>
                <w:sz w:val="18"/>
                <w:szCs w:val="18"/>
              </w:rPr>
              <w:t>Directions for improving the accounting and analytical system of banks</w:t>
            </w:r>
          </w:p>
        </w:tc>
        <w:tc>
          <w:tcPr>
            <w:tcW w:w="3191" w:type="dxa"/>
            <w:tcBorders>
              <w:top w:val="single" w:sz="4" w:space="0" w:color="auto"/>
              <w:left w:val="single" w:sz="4" w:space="0" w:color="auto"/>
              <w:bottom w:val="single" w:sz="4" w:space="0" w:color="auto"/>
              <w:right w:val="single" w:sz="4" w:space="0" w:color="auto"/>
            </w:tcBorders>
            <w:vAlign w:val="center"/>
          </w:tcPr>
          <w:p w:rsidR="005C3F63" w:rsidRDefault="006536E7">
            <w:pPr>
              <w:jc w:val="center"/>
              <w:rPr>
                <w:rFonts w:ascii="Verdana" w:hAnsi="Verdana"/>
                <w:sz w:val="18"/>
                <w:szCs w:val="18"/>
              </w:rPr>
            </w:pPr>
            <w:r>
              <w:rPr>
                <w:rFonts w:ascii="Verdana" w:hAnsi="Verdana"/>
                <w:sz w:val="18"/>
                <w:szCs w:val="18"/>
              </w:rPr>
              <w:t>Accounting and analytical system of the bank, which meets modern requirements</w:t>
            </w:r>
          </w:p>
        </w:tc>
      </w:tr>
      <w:tr w:rsidR="005C3F63">
        <w:trPr>
          <w:jc w:val="center"/>
        </w:trPr>
        <w:tc>
          <w:tcPr>
            <w:tcW w:w="3189" w:type="dxa"/>
            <w:tcBorders>
              <w:top w:val="single" w:sz="4" w:space="0" w:color="auto"/>
              <w:left w:val="single" w:sz="4" w:space="0" w:color="auto"/>
              <w:bottom w:val="single" w:sz="4" w:space="0" w:color="auto"/>
              <w:right w:val="single" w:sz="4" w:space="0" w:color="auto"/>
            </w:tcBorders>
            <w:vAlign w:val="center"/>
          </w:tcPr>
          <w:p w:rsidR="005C3F63" w:rsidRDefault="006536E7">
            <w:pPr>
              <w:rPr>
                <w:rFonts w:ascii="Verdana" w:hAnsi="Verdana"/>
                <w:sz w:val="18"/>
                <w:szCs w:val="18"/>
              </w:rPr>
            </w:pPr>
            <w:r>
              <w:rPr>
                <w:rFonts w:ascii="Verdana" w:hAnsi="Verdana"/>
                <w:sz w:val="18"/>
                <w:szCs w:val="18"/>
              </w:rPr>
              <w:t>does not meet the requirements of information users;</w:t>
            </w:r>
          </w:p>
          <w:p w:rsidR="005C3F63" w:rsidRDefault="006536E7">
            <w:pPr>
              <w:rPr>
                <w:rFonts w:ascii="Verdana" w:hAnsi="Verdana"/>
                <w:sz w:val="18"/>
                <w:szCs w:val="18"/>
              </w:rPr>
            </w:pPr>
            <w:r>
              <w:rPr>
                <w:rFonts w:ascii="Verdana" w:hAnsi="Verdana"/>
                <w:sz w:val="18"/>
                <w:szCs w:val="18"/>
              </w:rPr>
              <w:t>needs improvement and reorientation of functions;</w:t>
            </w:r>
          </w:p>
        </w:tc>
        <w:tc>
          <w:tcPr>
            <w:tcW w:w="3190" w:type="dxa"/>
            <w:tcBorders>
              <w:top w:val="single" w:sz="4" w:space="0" w:color="auto"/>
              <w:left w:val="single" w:sz="4" w:space="0" w:color="auto"/>
              <w:bottom w:val="single" w:sz="4" w:space="0" w:color="auto"/>
              <w:right w:val="single" w:sz="4" w:space="0" w:color="auto"/>
            </w:tcBorders>
            <w:vAlign w:val="center"/>
          </w:tcPr>
          <w:p w:rsidR="005C3F63" w:rsidRDefault="006536E7">
            <w:pPr>
              <w:rPr>
                <w:rFonts w:ascii="Verdana" w:hAnsi="Verdana"/>
                <w:sz w:val="18"/>
                <w:szCs w:val="18"/>
              </w:rPr>
            </w:pPr>
            <w:r>
              <w:rPr>
                <w:rFonts w:ascii="Verdana" w:hAnsi="Verdana"/>
                <w:sz w:val="18"/>
                <w:szCs w:val="18"/>
              </w:rPr>
              <w:t>review of approaches to the formation of the bank's accounting policy;</w:t>
            </w:r>
          </w:p>
          <w:p w:rsidR="005C3F63" w:rsidRDefault="006536E7">
            <w:pPr>
              <w:rPr>
                <w:rFonts w:ascii="Verdana" w:hAnsi="Verdana"/>
                <w:sz w:val="18"/>
                <w:szCs w:val="18"/>
              </w:rPr>
            </w:pPr>
            <w:r>
              <w:rPr>
                <w:rFonts w:ascii="Verdana" w:hAnsi="Verdana"/>
                <w:sz w:val="18"/>
                <w:szCs w:val="18"/>
              </w:rPr>
              <w:t>raising the level of internal information and analytical system to provide functional services to the bank's management;</w:t>
            </w:r>
          </w:p>
          <w:p w:rsidR="005C3F63" w:rsidRDefault="006536E7">
            <w:pPr>
              <w:rPr>
                <w:rFonts w:ascii="Verdana" w:hAnsi="Verdana"/>
                <w:sz w:val="18"/>
                <w:szCs w:val="18"/>
              </w:rPr>
            </w:pPr>
            <w:r>
              <w:rPr>
                <w:rFonts w:ascii="Verdana" w:hAnsi="Verdana"/>
                <w:sz w:val="18"/>
                <w:szCs w:val="18"/>
              </w:rPr>
              <w:t>development of accounting policies for management accounting;</w:t>
            </w:r>
          </w:p>
        </w:tc>
        <w:tc>
          <w:tcPr>
            <w:tcW w:w="3191" w:type="dxa"/>
            <w:tcBorders>
              <w:top w:val="single" w:sz="4" w:space="0" w:color="auto"/>
              <w:left w:val="single" w:sz="4" w:space="0" w:color="auto"/>
              <w:bottom w:val="single" w:sz="4" w:space="0" w:color="auto"/>
              <w:right w:val="single" w:sz="4" w:space="0" w:color="auto"/>
            </w:tcBorders>
            <w:vAlign w:val="center"/>
          </w:tcPr>
          <w:p w:rsidR="005C3F63" w:rsidRDefault="006536E7">
            <w:pPr>
              <w:rPr>
                <w:rFonts w:ascii="Verdana" w:hAnsi="Verdana"/>
                <w:sz w:val="18"/>
                <w:szCs w:val="18"/>
              </w:rPr>
            </w:pPr>
            <w:r>
              <w:rPr>
                <w:rFonts w:ascii="Verdana" w:hAnsi="Verdana"/>
                <w:sz w:val="18"/>
                <w:szCs w:val="18"/>
              </w:rPr>
              <w:t>orientation of theoretical and methodological approaches to the organization of accounting and analytical work in banks to meet the needs of not only external but also internal users, which are aimed at completing strategic tasks.</w:t>
            </w:r>
          </w:p>
        </w:tc>
      </w:tr>
    </w:tbl>
    <w:p w:rsidR="005C3F63" w:rsidRDefault="005C3F63">
      <w:pPr>
        <w:ind w:firstLine="567"/>
        <w:rPr>
          <w:rFonts w:ascii="Verdana" w:eastAsia="Calibri" w:hAnsi="Verdana"/>
          <w:b/>
          <w:sz w:val="18"/>
          <w:szCs w:val="18"/>
        </w:rPr>
      </w:pPr>
    </w:p>
    <w:p w:rsidR="005C3F63" w:rsidRDefault="006536E7">
      <w:pPr>
        <w:ind w:firstLine="567"/>
        <w:jc w:val="center"/>
        <w:rPr>
          <w:rFonts w:ascii="Verdana" w:hAnsi="Verdana"/>
          <w:sz w:val="18"/>
          <w:szCs w:val="18"/>
        </w:rPr>
      </w:pPr>
      <w:r>
        <w:rPr>
          <w:rFonts w:ascii="Verdana" w:eastAsia="Calibri" w:hAnsi="Verdana"/>
          <w:sz w:val="18"/>
          <w:szCs w:val="18"/>
        </w:rPr>
        <w:t xml:space="preserve">Source: Developed by the authors based on </w:t>
      </w:r>
      <w:r>
        <w:rPr>
          <w:rFonts w:ascii="Verdana" w:hAnsi="Verdana"/>
          <w:sz w:val="18"/>
          <w:szCs w:val="18"/>
        </w:rPr>
        <w:t xml:space="preserve">National Bank of Ukraine (2020). Financial Sector Statistics. Retrieved from: </w:t>
      </w:r>
      <w:hyperlink r:id="rId211" w:anchor="3fa" w:history="1">
        <w:r>
          <w:rPr>
            <w:rStyle w:val="af9"/>
            <w:rFonts w:ascii="Verdana" w:eastAsiaTheme="majorEastAsia" w:hAnsi="Verdana"/>
            <w:sz w:val="18"/>
            <w:szCs w:val="18"/>
          </w:rPr>
          <w:t>https://bank.gov.ua/en/statistic/sector-financial/data-sector-financial#3fa</w:t>
        </w:r>
      </w:hyperlink>
      <w:r>
        <w:rPr>
          <w:rFonts w:ascii="Verdana" w:hAnsi="Verdana"/>
          <w:sz w:val="18"/>
          <w:szCs w:val="18"/>
        </w:rPr>
        <w:t>.</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Thus, when building an accounting system, one should take into account the specific conditions of the bank's activity, related to its place in the system of market relations (Golchenko, 2008):</w:t>
      </w:r>
      <w:r>
        <w:rPr>
          <w:rFonts w:ascii="Verdana" w:hAnsi="Verdana"/>
          <w:sz w:val="20"/>
          <w:szCs w:val="20"/>
          <w:lang w:val="uk-UA"/>
        </w:rPr>
        <w:t xml:space="preserve"> </w:t>
      </w:r>
      <w:r>
        <w:rPr>
          <w:rFonts w:ascii="Verdana" w:hAnsi="Verdana"/>
          <w:sz w:val="20"/>
          <w:szCs w:val="20"/>
        </w:rPr>
        <w:t>firstly, in the process of providing banking services and making a profit, the movement of financial capital dominates, mostly in the form of borrowed funds from customers. Accordingly, it is necessary to ensure that all aspects of capital increases and borrowings are reflected in the accounting system; secondly, the bank is a settlement center and an intermediary in financial transactions performed by its clients. This explains the active participation of the bank in the work of many enterprises across various industries and forms of ownership. That is why an important task of the current accounting system is to display the performed transactions on behalf of customers on their current accounts.</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lastRenderedPageBreak/>
        <w:t>It is therefore necessary that all banking operations be traced from their inception and throughout the implementation period until they are reported. In general, there is no scheme in practice that guarantees financial security and stability of the bank.</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The accounting system in banks is a complex mechanism that works in three directions.</w:t>
      </w:r>
    </w:p>
    <w:p w:rsidR="005C3F63" w:rsidRDefault="006536E7">
      <w:pPr>
        <w:rPr>
          <w:rFonts w:ascii="Verdana" w:hAnsi="Verdana"/>
          <w:sz w:val="20"/>
          <w:szCs w:val="20"/>
        </w:rPr>
      </w:pPr>
      <w:r>
        <w:rPr>
          <w:rFonts w:ascii="Verdana" w:hAnsi="Verdana"/>
          <w:sz w:val="20"/>
          <w:szCs w:val="20"/>
        </w:rPr>
        <w:t>The first one is a documentary one, which envisages the organization of accounting for the facts of economic activity.</w:t>
      </w:r>
      <w:r>
        <w:rPr>
          <w:rFonts w:ascii="Verdana" w:hAnsi="Verdana"/>
          <w:sz w:val="20"/>
          <w:szCs w:val="20"/>
          <w:lang w:val="uk-UA"/>
        </w:rPr>
        <w:t xml:space="preserve"> </w:t>
      </w:r>
      <w:r>
        <w:rPr>
          <w:rFonts w:ascii="Verdana" w:hAnsi="Verdana"/>
          <w:sz w:val="20"/>
          <w:szCs w:val="20"/>
        </w:rPr>
        <w:t>The second one is control-productive, provides definition of results of economic activity of bank and first of all profit. Accounting data are used to control ownership and settlements with fiscal authorities.</w:t>
      </w:r>
      <w:r>
        <w:rPr>
          <w:rFonts w:ascii="Verdana" w:hAnsi="Verdana"/>
          <w:sz w:val="20"/>
          <w:szCs w:val="20"/>
          <w:lang w:val="uk-UA"/>
        </w:rPr>
        <w:t xml:space="preserve"> </w:t>
      </w:r>
      <w:r>
        <w:rPr>
          <w:rFonts w:ascii="Verdana" w:hAnsi="Verdana"/>
          <w:sz w:val="20"/>
          <w:szCs w:val="20"/>
        </w:rPr>
        <w:t>The third one is managerial, closely connected with the introduction of management accounting into the accounting practice (Azarenkova, 2006).</w:t>
      </w:r>
      <w:r>
        <w:rPr>
          <w:rFonts w:ascii="Verdana" w:hAnsi="Verdana"/>
          <w:sz w:val="20"/>
          <w:szCs w:val="20"/>
          <w:lang w:val="uk-UA"/>
        </w:rPr>
        <w:t xml:space="preserve"> </w:t>
      </w:r>
      <w:r>
        <w:rPr>
          <w:rFonts w:ascii="Verdana" w:hAnsi="Verdana"/>
          <w:sz w:val="20"/>
          <w:szCs w:val="20"/>
        </w:rPr>
        <w:t>We emphasize that the main task of accounting and reporting is the formation of the necessary amount and structure of information to control business processes and planning and management decisions that would increase the profitability of all banking operations.</w:t>
      </w:r>
    </w:p>
    <w:p w:rsidR="005C3F63" w:rsidRDefault="005C3F63">
      <w:pPr>
        <w:rPr>
          <w:rFonts w:ascii="Verdana" w:hAnsi="Verdana"/>
          <w:sz w:val="20"/>
          <w:szCs w:val="20"/>
        </w:rPr>
      </w:pPr>
    </w:p>
    <w:p w:rsidR="005C3F63" w:rsidRDefault="006536E7">
      <w:pPr>
        <w:rPr>
          <w:rFonts w:ascii="Verdana" w:hAnsi="Verdana"/>
          <w:sz w:val="20"/>
          <w:szCs w:val="20"/>
          <w:lang w:val="uk-UA"/>
        </w:rPr>
      </w:pPr>
      <w:r>
        <w:rPr>
          <w:rFonts w:ascii="Verdana" w:hAnsi="Verdana"/>
          <w:sz w:val="20"/>
          <w:szCs w:val="20"/>
        </w:rPr>
        <w:t>There are two main reasons for the active search for effective methods of management and accounting at this stage of development of the banking system of Ukraine: first, bank management systems are becoming more complicated, new banking products are introduced, and therefore without reliable management information these systems can become unmanageable; secondly, the growth of information requires the ability to quickly find the exact data.</w:t>
      </w:r>
    </w:p>
    <w:p w:rsidR="005C3F63" w:rsidRDefault="005C3F63">
      <w:pPr>
        <w:rPr>
          <w:rFonts w:ascii="Verdana" w:hAnsi="Verdana"/>
          <w:sz w:val="20"/>
          <w:szCs w:val="20"/>
        </w:rPr>
      </w:pPr>
    </w:p>
    <w:p w:rsidR="005C3F63" w:rsidRDefault="006536E7">
      <w:pPr>
        <w:rPr>
          <w:rFonts w:ascii="Verdana" w:hAnsi="Verdana"/>
          <w:sz w:val="20"/>
          <w:szCs w:val="20"/>
          <w:lang w:val="uk-UA"/>
        </w:rPr>
      </w:pPr>
      <w:r>
        <w:rPr>
          <w:rFonts w:ascii="Verdana" w:hAnsi="Verdana"/>
          <w:sz w:val="20"/>
          <w:szCs w:val="20"/>
        </w:rPr>
        <w:t>In this way, the concept of creating a general information image of the financial condition of the bank through information about the results obtained in all areas of activity in terms of structural units is gradually emerging. In view of this, the means, procedures and methods of management accounting cannot be administratively determined by the National Bank of Ukraine, as each bank must take into account specific features of its own business, staff and, of course, internal prices for banking products and services.</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The banking specifics are influenced by the fact that many economic situations and processes depend on the the interbank market conditions. It also requires a balanced operational intervention in the process of activity, the effectiveness of which depends on the information. The information obtained is an important means of influencing the nature of management decisions.</w:t>
      </w:r>
    </w:p>
    <w:p w:rsidR="005C3F63" w:rsidRDefault="005C3F63">
      <w:pPr>
        <w:rPr>
          <w:rFonts w:ascii="Verdana" w:hAnsi="Verdana"/>
          <w:sz w:val="20"/>
          <w:szCs w:val="20"/>
        </w:rPr>
      </w:pPr>
    </w:p>
    <w:p w:rsidR="005C3F63" w:rsidRDefault="006536E7">
      <w:pPr>
        <w:rPr>
          <w:rFonts w:ascii="Verdana" w:hAnsi="Verdana"/>
          <w:sz w:val="20"/>
          <w:szCs w:val="20"/>
          <w:lang w:val="uk-UA"/>
        </w:rPr>
      </w:pPr>
      <w:r>
        <w:rPr>
          <w:rFonts w:ascii="Verdana" w:hAnsi="Verdana"/>
          <w:sz w:val="20"/>
          <w:szCs w:val="20"/>
        </w:rPr>
        <w:t>Management accounting as an independent direction of accounting forms the information necessary for internal bank reporting, which is a necessary condition for making management decisions in non-standard economic situations. The organization of an effective mechanism of management accounting is based on two main principles: the principle of data efficiency required for management decisions, and the principle of consequences responsibility of managers. A characteristic feature of management accounting should recognize the integration of its constituent elements: planning, accounting, analysis, control and regulation (Zorya, 2016).</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The accounting component is only one aspect of this integration. Management accounting is the information basis for managing the internal activities of the bank, its strategy and tactics. Tactical aspects of management accounting determine: accounting, control, analysis, regulation of previously made decisions and responsibility for their implementation.</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 xml:space="preserve">It is important to understand that generally accepted performance indicators of banks may not always characterize the objective state of the system. For example, as of December 31, 2019, the banking system of Ukraine received ROE (Return on Equity) at 29.7% and ROA (Return on Assets) at 4.7% (National Bank of Ukraine, 2020). For comparison, on average in the EU these figures do not exceed 6.0% and 2.5%. However, the Ukrainian banking system, in contrast to the EU banking system, has a greater appetite for risk. Moreover, capitalization requirements are stricter in the EU, while the </w:t>
      </w:r>
      <w:r>
        <w:rPr>
          <w:rFonts w:ascii="Verdana" w:hAnsi="Verdana"/>
          <w:sz w:val="20"/>
          <w:szCs w:val="20"/>
        </w:rPr>
        <w:lastRenderedPageBreak/>
        <w:t>requirements for increasing the authorized capital in Ukraine are still softer. Other indicators should be considered when assessing the possibility of increasing economic capital. With this in mind, we suggest Income Return on Loan Provisions (1).</w:t>
      </w:r>
    </w:p>
    <w:p w:rsidR="005C3F63" w:rsidRDefault="005C3F63">
      <w:pPr>
        <w:ind w:firstLine="567"/>
        <w:rPr>
          <w:rFonts w:ascii="Verdana" w:hAnsi="Verdana"/>
          <w:sz w:val="20"/>
          <w:szCs w:val="20"/>
          <w:lang w:val="uk-UA"/>
        </w:rPr>
      </w:pPr>
    </w:p>
    <w:p w:rsidR="005C3F63" w:rsidRDefault="006536E7">
      <w:pPr>
        <w:ind w:firstLine="567"/>
        <w:jc w:val="center"/>
        <w:rPr>
          <w:rFonts w:ascii="Verdana" w:hAnsi="Verdana"/>
          <w:sz w:val="20"/>
          <w:szCs w:val="20"/>
          <w:lang w:val="uk-UA"/>
        </w:rPr>
      </w:pPr>
      <w:r>
        <w:rPr>
          <w:rFonts w:ascii="Verdana" w:hAnsi="Verdana"/>
          <w:sz w:val="20"/>
          <w:szCs w:val="20"/>
          <w:lang w:val="uk-UA"/>
        </w:rPr>
        <w:t>IROLP=(Net interest income+Net fee and commission income)/(Loan provisions)</w:t>
      </w:r>
      <w:r>
        <w:rPr>
          <w:rFonts w:ascii="Verdana" w:hAnsi="Verdana"/>
          <w:sz w:val="20"/>
          <w:szCs w:val="20"/>
          <w:lang w:val="uk-UA"/>
        </w:rPr>
        <w:tab/>
        <w:t>(1)</w:t>
      </w:r>
    </w:p>
    <w:p w:rsidR="005C3F63" w:rsidRDefault="005C3F63">
      <w:pPr>
        <w:ind w:firstLine="567"/>
        <w:rPr>
          <w:rFonts w:ascii="Verdana" w:hAnsi="Verdana"/>
          <w:sz w:val="20"/>
          <w:szCs w:val="20"/>
          <w:lang w:val="uk-UA"/>
        </w:rPr>
      </w:pPr>
    </w:p>
    <w:p w:rsidR="005C3F63" w:rsidRDefault="006536E7">
      <w:pPr>
        <w:rPr>
          <w:rFonts w:ascii="Verdana" w:hAnsi="Verdana"/>
          <w:sz w:val="20"/>
          <w:szCs w:val="20"/>
        </w:rPr>
      </w:pPr>
      <w:r>
        <w:rPr>
          <w:rFonts w:ascii="Verdana" w:hAnsi="Verdana"/>
          <w:sz w:val="20"/>
          <w:szCs w:val="20"/>
        </w:rPr>
        <w:t>IROLP helps to assess the bank's ability to generate income from various products (corporate: lending, foreign exchange transactions, trade finance, cash management, etc.; and retail: consumer, automotive, mortgage lending, foreign exchange transactions, etc.) taking into account impairment provisions loans and debts of legal entities and individuals. This indicator allows us to assess the effectiveness of the interaction of the bank's departments, because often corporate business increases the financial result by increasing income from trading and commission transactions, pre-agreeing to provide financing. In the case of a low-quality loan portfolio, working capital and the bank's ability to finance its current activities suffer. So there are structural liquidity gaps, which must overcome the bank's treasury.</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Based on the research and our calculations, there are three groups of banks according to the IROLP indicator. The first – with IROLP &lt;100%: mainly state-owned banks and commercial banks with large reserves (for lending to economic activities of related parties and state-owned enterprises, respectively, the rate of Credit Risk in the group is 28.3% against 19.7% in the system in general), which do not provide quality services to customers and, accordingly, do not receive commission income. The second – with IROLP from 100% to 1000%: the vast majority of banks with foreign and private capital. These banks have a balanced approach to the development of retail and corporate products and the formation of a high-quality loan portfolio. The third – with IROLP&gt; 1000%: these are either Western "boutique" banks that have ultra-conservative credit policies, or small banks with private capital, which mainly provide brokerage and intermediary services and are not aimed at lending.</w:t>
      </w:r>
      <w:r>
        <w:rPr>
          <w:rFonts w:ascii="Verdana" w:hAnsi="Verdana"/>
          <w:sz w:val="20"/>
          <w:szCs w:val="20"/>
          <w:lang w:val="uk-UA"/>
        </w:rPr>
        <w:t xml:space="preserve"> </w:t>
      </w:r>
      <w:r>
        <w:rPr>
          <w:rFonts w:ascii="Verdana" w:hAnsi="Verdana"/>
          <w:sz w:val="20"/>
          <w:szCs w:val="20"/>
        </w:rPr>
        <w:t>The data used in the calculation of the above coefficients are easy to track in the weekly reports and to adjust the deviations accordingly. Thus, the risk management unit may recommend setting a higher rate of return on credit operations, corporate businesses - to increase commission rates for a particular customer, and the treasury unit – to increase the minimum rate of return on operations in the foreign exchange and money markets.</w:t>
      </w:r>
    </w:p>
    <w:p w:rsidR="005C3F63" w:rsidRDefault="005C3F63">
      <w:pPr>
        <w:ind w:firstLine="567"/>
        <w:rPr>
          <w:rFonts w:ascii="Verdana" w:hAnsi="Verdana"/>
          <w:sz w:val="20"/>
          <w:szCs w:val="20"/>
          <w:lang w:val="uk-UA"/>
        </w:rPr>
      </w:pPr>
    </w:p>
    <w:p w:rsidR="005C3F63" w:rsidRDefault="006536E7">
      <w:pPr>
        <w:rPr>
          <w:rFonts w:ascii="Verdana" w:hAnsi="Verdana"/>
          <w:b/>
          <w:sz w:val="20"/>
          <w:szCs w:val="20"/>
          <w:lang w:val="uk-UA"/>
        </w:rPr>
      </w:pPr>
      <w:r>
        <w:rPr>
          <w:rFonts w:ascii="Verdana" w:hAnsi="Verdana"/>
          <w:b/>
          <w:sz w:val="20"/>
          <w:szCs w:val="20"/>
        </w:rPr>
        <w:t>Conclusions</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The successful modification of accounting support of the bank management system will allow to make timely and comprehensive decisions. This will let management to make changes in various areas of the bank – from market risk management and brand quality to increase the profitability of business and better balance sheet management – in order to maximize internal capacity and minimize the negative impact of internal and external environment. The set of changes that can be tracked is significant and depends only on the capability of the management to analyze the environment.</w:t>
      </w:r>
    </w:p>
    <w:p w:rsidR="005C3F63" w:rsidRDefault="005C3F63">
      <w:pPr>
        <w:ind w:firstLine="567"/>
        <w:rPr>
          <w:rFonts w:ascii="Verdana" w:hAnsi="Verdana"/>
          <w:b/>
          <w:sz w:val="20"/>
          <w:szCs w:val="20"/>
        </w:rPr>
      </w:pPr>
    </w:p>
    <w:p w:rsidR="005C3F63" w:rsidRDefault="006536E7">
      <w:pPr>
        <w:rPr>
          <w:rFonts w:ascii="Verdana" w:hAnsi="Verdana"/>
          <w:b/>
          <w:sz w:val="20"/>
          <w:szCs w:val="20"/>
        </w:rPr>
      </w:pPr>
      <w:r>
        <w:rPr>
          <w:rFonts w:ascii="Verdana" w:hAnsi="Verdana"/>
          <w:b/>
          <w:sz w:val="20"/>
          <w:szCs w:val="20"/>
        </w:rPr>
        <w:t>References</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Adizes I. (1992). Mastering Change. Adizes Institute Publications.</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Ansoff I. (2007). Strategic Management. Palgrave Macmillan.</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 xml:space="preserve">Azarenkova H. (2006). </w:t>
      </w:r>
      <w:r>
        <w:rPr>
          <w:rFonts w:ascii="Verdana" w:hAnsi="Verdana"/>
          <w:i/>
          <w:sz w:val="20"/>
          <w:szCs w:val="20"/>
        </w:rPr>
        <w:t>Financial flows in the system of economic relations</w:t>
      </w:r>
      <w:r>
        <w:rPr>
          <w:rFonts w:ascii="Verdana" w:hAnsi="Verdana"/>
          <w:sz w:val="20"/>
          <w:szCs w:val="20"/>
        </w:rPr>
        <w:t>. Kharkiv: Inzhek.</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 xml:space="preserve">Golchenko I. (2008). The banking system of Ukraine in strengthening the competitiveness of the regions. </w:t>
      </w:r>
      <w:r>
        <w:rPr>
          <w:rFonts w:ascii="Verdana" w:hAnsi="Verdana"/>
          <w:i/>
          <w:sz w:val="20"/>
          <w:szCs w:val="20"/>
        </w:rPr>
        <w:t>National security and defense</w:t>
      </w:r>
      <w:r>
        <w:rPr>
          <w:rFonts w:ascii="Verdana" w:hAnsi="Verdana"/>
          <w:sz w:val="20"/>
          <w:szCs w:val="20"/>
        </w:rPr>
        <w:t>, vol. 4, pp. 32-34.</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Kotter J. (2012). Leading Change. Harvard Business Review Press.</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 xml:space="preserve">National Bank of Ukraine (2020). Financial Sector Statistics. Retrieved from: </w:t>
      </w:r>
      <w:hyperlink r:id="rId212" w:anchor="3fa" w:history="1">
        <w:r>
          <w:rPr>
            <w:rStyle w:val="af9"/>
            <w:rFonts w:ascii="Verdana" w:eastAsiaTheme="majorEastAsia" w:hAnsi="Verdana"/>
            <w:sz w:val="20"/>
            <w:szCs w:val="20"/>
          </w:rPr>
          <w:t>https://bank.gov.ua/en/statistic/sector-financial/data-sector-financial#3fa</w:t>
        </w:r>
      </w:hyperlink>
      <w:r>
        <w:rPr>
          <w:rFonts w:ascii="Verdana" w:hAnsi="Verdana"/>
          <w:sz w:val="20"/>
          <w:szCs w:val="20"/>
        </w:rPr>
        <w:t>.</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 xml:space="preserve">National Bank of Ukraine (2020). Supervisory Data. Retrieved from: </w:t>
      </w:r>
      <w:hyperlink r:id="rId213" w:history="1">
        <w:r>
          <w:rPr>
            <w:rStyle w:val="af9"/>
            <w:rFonts w:eastAsiaTheme="majorEastAsia"/>
          </w:rPr>
          <w:t>https://bank.gov.ua/en/statistic/supervision-statist</w:t>
        </w:r>
      </w:hyperlink>
      <w:r>
        <w:t>.</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 xml:space="preserve">Procházka, D. (2010). </w:t>
      </w:r>
      <w:r>
        <w:rPr>
          <w:rFonts w:ascii="Verdana" w:hAnsi="Verdana"/>
          <w:i/>
          <w:sz w:val="20"/>
          <w:szCs w:val="20"/>
        </w:rPr>
        <w:t>The Development of Financial and Management Accounting After the IFRS Adoption: A Case from the Czech Republic</w:t>
      </w:r>
      <w:r>
        <w:rPr>
          <w:rFonts w:ascii="Verdana" w:hAnsi="Verdana"/>
          <w:sz w:val="20"/>
          <w:szCs w:val="20"/>
        </w:rPr>
        <w:t xml:space="preserve">. Retrieved from: </w:t>
      </w:r>
      <w:hyperlink r:id="rId214" w:history="1">
        <w:r>
          <w:rPr>
            <w:rStyle w:val="af9"/>
            <w:rFonts w:ascii="Verdana" w:eastAsiaTheme="majorEastAsia" w:hAnsi="Verdana"/>
            <w:sz w:val="20"/>
            <w:szCs w:val="20"/>
          </w:rPr>
          <w:t>http://ssrn.com/abstract=1660122</w:t>
        </w:r>
      </w:hyperlink>
      <w:r>
        <w:rPr>
          <w:rFonts w:ascii="Verdana" w:hAnsi="Verdana"/>
          <w:sz w:val="20"/>
          <w:szCs w:val="20"/>
        </w:rPr>
        <w:t>.</w:t>
      </w:r>
    </w:p>
    <w:p w:rsidR="005C3F63" w:rsidRDefault="005C3F63">
      <w:pPr>
        <w:rPr>
          <w:rFonts w:ascii="Verdana" w:hAnsi="Verdana"/>
          <w:sz w:val="20"/>
          <w:szCs w:val="20"/>
        </w:rPr>
      </w:pPr>
    </w:p>
    <w:p w:rsidR="005C3F63" w:rsidRDefault="006536E7">
      <w:pPr>
        <w:rPr>
          <w:rFonts w:ascii="Verdana" w:hAnsi="Verdana"/>
          <w:sz w:val="20"/>
          <w:szCs w:val="20"/>
        </w:rPr>
      </w:pPr>
      <w:r>
        <w:rPr>
          <w:rFonts w:ascii="Verdana" w:hAnsi="Verdana"/>
          <w:sz w:val="20"/>
          <w:szCs w:val="20"/>
        </w:rPr>
        <w:t xml:space="preserve">Sliunina T. (2007). Development of the domestic network of banking institutions: features and regional aspects. </w:t>
      </w:r>
      <w:r>
        <w:rPr>
          <w:rFonts w:ascii="Verdana" w:hAnsi="Verdana"/>
          <w:i/>
          <w:sz w:val="20"/>
          <w:szCs w:val="20"/>
        </w:rPr>
        <w:t xml:space="preserve">Bulletin of KhNU named after V.N. Karazin, </w:t>
      </w:r>
      <w:r>
        <w:rPr>
          <w:rFonts w:ascii="Verdana" w:hAnsi="Verdana"/>
          <w:sz w:val="20"/>
          <w:szCs w:val="20"/>
        </w:rPr>
        <w:t>vol. 755, pp 84-88.</w:t>
      </w:r>
    </w:p>
    <w:p w:rsidR="005C3F63" w:rsidRDefault="006536E7">
      <w:pPr>
        <w:rPr>
          <w:rFonts w:ascii="Verdana" w:hAnsi="Verdana"/>
          <w:sz w:val="20"/>
          <w:szCs w:val="20"/>
        </w:rPr>
      </w:pPr>
      <w:r>
        <w:rPr>
          <w:rFonts w:ascii="Verdana" w:hAnsi="Verdana"/>
          <w:sz w:val="20"/>
          <w:szCs w:val="20"/>
        </w:rPr>
        <w:t xml:space="preserve">Zorya O. (2016). </w:t>
      </w:r>
      <w:r>
        <w:rPr>
          <w:rFonts w:ascii="Verdana" w:hAnsi="Verdana"/>
          <w:i/>
          <w:sz w:val="20"/>
          <w:szCs w:val="20"/>
        </w:rPr>
        <w:t xml:space="preserve">Accounting and analytical support for management accounting in the bank. </w:t>
      </w:r>
      <w:r>
        <w:rPr>
          <w:rFonts w:ascii="Verdana" w:hAnsi="Verdana"/>
          <w:sz w:val="20"/>
          <w:szCs w:val="20"/>
        </w:rPr>
        <w:t xml:space="preserve">Retrieved from: </w:t>
      </w:r>
      <w:hyperlink r:id="rId215" w:history="1">
        <w:r>
          <w:rPr>
            <w:rStyle w:val="af9"/>
            <w:rFonts w:ascii="Verdana" w:eastAsiaTheme="majorEastAsia" w:hAnsi="Verdana"/>
            <w:sz w:val="20"/>
            <w:szCs w:val="20"/>
          </w:rPr>
          <w:t>http://www.investplan.com.ua/pdf/16_2016/8.pdf</w:t>
        </w:r>
      </w:hyperlink>
      <w:r>
        <w:rPr>
          <w:rStyle w:val="af9"/>
          <w:rFonts w:ascii="Verdana" w:eastAsiaTheme="majorEastAsia" w:hAnsi="Verdana"/>
          <w:sz w:val="20"/>
          <w:szCs w:val="20"/>
        </w:rPr>
        <w:t>.</w:t>
      </w:r>
    </w:p>
    <w:p w:rsidR="005C3F63" w:rsidRDefault="005C3F63">
      <w:pPr>
        <w:pStyle w:val="af4"/>
        <w:jc w:val="both"/>
        <w:rPr>
          <w:rFonts w:ascii="Verdana" w:hAnsi="Verdana" w:cs="Times New Roman"/>
          <w:b w:val="0"/>
          <w:bCs w:val="0"/>
          <w:color w:val="212529"/>
          <w:sz w:val="20"/>
          <w:szCs w:val="20"/>
          <w:shd w:val="clear" w:color="auto" w:fill="FFFFFF"/>
        </w:rPr>
      </w:pPr>
    </w:p>
    <w:p w:rsidR="005C3F63" w:rsidRDefault="006536E7">
      <w:pPr>
        <w:jc w:val="left"/>
        <w:rPr>
          <w:rFonts w:ascii="Verdana" w:hAnsi="Verdana"/>
          <w:color w:val="212529"/>
          <w:sz w:val="20"/>
          <w:szCs w:val="20"/>
          <w:shd w:val="clear" w:color="auto" w:fill="FFFFFF"/>
          <w:lang w:val="ro-RO" w:bidi="sa-IN"/>
        </w:rPr>
      </w:pPr>
      <w:r>
        <w:rPr>
          <w:rFonts w:ascii="Verdana" w:hAnsi="Verdana"/>
          <w:b/>
          <w:bCs/>
          <w:color w:val="212529"/>
          <w:sz w:val="20"/>
          <w:szCs w:val="20"/>
          <w:shd w:val="clear" w:color="auto" w:fill="FFFFFF"/>
        </w:rPr>
        <w:br w:type="page"/>
      </w:r>
    </w:p>
    <w:p w:rsidR="005C3F63" w:rsidRDefault="006536E7">
      <w:pPr>
        <w:pStyle w:val="1"/>
      </w:pPr>
      <w:bookmarkStart w:id="789" w:name="_Toc47951544"/>
      <w:r>
        <w:lastRenderedPageBreak/>
        <w:t xml:space="preserve">Legal and </w:t>
      </w:r>
      <w:r>
        <w:rPr>
          <w:lang w:val="sk-SK"/>
        </w:rPr>
        <w:t>A</w:t>
      </w:r>
      <w:r>
        <w:t xml:space="preserve">ccounting </w:t>
      </w:r>
      <w:r>
        <w:rPr>
          <w:lang w:val="sk-SK"/>
        </w:rPr>
        <w:t>A</w:t>
      </w:r>
      <w:r>
        <w:t xml:space="preserve">spects of </w:t>
      </w:r>
      <w:r>
        <w:rPr>
          <w:lang w:val="sk-SK"/>
        </w:rPr>
        <w:t>Sa</w:t>
      </w:r>
      <w:r>
        <w:t xml:space="preserve">le of </w:t>
      </w:r>
      <w:r>
        <w:rPr>
          <w:lang w:val="sk-SK"/>
        </w:rPr>
        <w:t>B</w:t>
      </w:r>
      <w:r>
        <w:t>usiness in the Slovak Republic</w:t>
      </w:r>
      <w:bookmarkEnd w:id="789"/>
      <w:r>
        <w:t xml:space="preserve"> </w:t>
      </w:r>
    </w:p>
    <w:p w:rsidR="005C3F63" w:rsidRDefault="005C3F63">
      <w:pPr>
        <w:pStyle w:val="Autor"/>
        <w:rPr>
          <w:rStyle w:val="AutorChar"/>
          <w:b/>
        </w:rPr>
      </w:pPr>
      <w:bookmarkStart w:id="790" w:name="_Toc47440120"/>
      <w:bookmarkStart w:id="791" w:name="_Toc47435464"/>
      <w:bookmarkStart w:id="792" w:name="_Toc47438992"/>
      <w:bookmarkStart w:id="793" w:name="_Toc47444610"/>
      <w:bookmarkStart w:id="794" w:name="_Toc47433556"/>
      <w:bookmarkStart w:id="795" w:name="_Toc47451170"/>
      <w:bookmarkStart w:id="796" w:name="_Toc47948749"/>
      <w:bookmarkStart w:id="797" w:name="_Toc47441219"/>
      <w:bookmarkStart w:id="798" w:name="_Toc47440892"/>
      <w:bookmarkStart w:id="799" w:name="_Toc47445964"/>
      <w:bookmarkStart w:id="800" w:name="_Toc47442699"/>
      <w:bookmarkStart w:id="801" w:name="_Toc47439802"/>
      <w:bookmarkStart w:id="802" w:name="_Toc47444452"/>
      <w:bookmarkStart w:id="803" w:name="_Toc47447991"/>
      <w:bookmarkStart w:id="804" w:name="_Toc47446718"/>
      <w:bookmarkStart w:id="805" w:name="_Toc47441519"/>
      <w:bookmarkStart w:id="806" w:name="_Toc47948810"/>
      <w:bookmarkStart w:id="807" w:name="_Toc47449329"/>
      <w:bookmarkStart w:id="808" w:name="_Toc47444295"/>
      <w:bookmarkStart w:id="809" w:name="_Toc47447172"/>
      <w:bookmarkStart w:id="810" w:name="_Toc47448331"/>
      <w:bookmarkStart w:id="811" w:name="_Toc47441639"/>
      <w:bookmarkStart w:id="812" w:name="_Toc47445741"/>
      <w:bookmarkStart w:id="813" w:name="_Toc47448073"/>
      <w:bookmarkStart w:id="814" w:name="_Toc47448127"/>
      <w:bookmarkStart w:id="815" w:name="_Toc47444144"/>
      <w:bookmarkStart w:id="816" w:name="_Toc47951480"/>
      <w:bookmarkStart w:id="817" w:name="_Toc47447937"/>
      <w:bookmarkStart w:id="818" w:name="_Toc47448626"/>
      <w:bookmarkStart w:id="819" w:name="_Toc47443579"/>
      <w:bookmarkStart w:id="820" w:name="_Toc47443447"/>
      <w:bookmarkStart w:id="821" w:name="_Toc47448209"/>
      <w:bookmarkStart w:id="822" w:name="_Toc47949008"/>
      <w:bookmarkStart w:id="823" w:name="_Toc47441706"/>
      <w:bookmarkStart w:id="824" w:name="_Toc47949322"/>
      <w:bookmarkStart w:id="825" w:name="_Toc47951387"/>
      <w:bookmarkStart w:id="826" w:name="_Toc47446116"/>
      <w:bookmarkStart w:id="827" w:name="_Toc47951545"/>
      <w:bookmarkStart w:id="828" w:name="_Toc47448854"/>
      <w:bookmarkStart w:id="829" w:name="_Toc47448571"/>
      <w:bookmarkStart w:id="830" w:name="_Toc47443680"/>
      <w:bookmarkStart w:id="831" w:name="_Toc47446376"/>
    </w:p>
    <w:p w:rsidR="005C3F63" w:rsidRDefault="006536E7">
      <w:pPr>
        <w:pStyle w:val="Autor"/>
      </w:pPr>
      <w:r>
        <w:rPr>
          <w:rStyle w:val="AutorChar"/>
          <w:b/>
        </w:rPr>
        <w:t>Martina Podmanická</w:t>
      </w:r>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p>
    <w:p w:rsidR="005C3F63" w:rsidRDefault="006536E7">
      <w:pPr>
        <w:jc w:val="center"/>
        <w:rPr>
          <w:rFonts w:ascii="Verdana" w:hAnsi="Verdana"/>
          <w:b/>
          <w:sz w:val="20"/>
          <w:szCs w:val="20"/>
        </w:rPr>
      </w:pPr>
      <w:r>
        <w:rPr>
          <w:rFonts w:ascii="Verdana" w:hAnsi="Verdana"/>
          <w:sz w:val="18"/>
          <w:szCs w:val="18"/>
        </w:rPr>
        <w:t xml:space="preserve">University of Economics in Bratislava </w:t>
      </w:r>
    </w:p>
    <w:p w:rsidR="005C3F63" w:rsidRDefault="006536E7">
      <w:pPr>
        <w:jc w:val="center"/>
        <w:rPr>
          <w:rFonts w:ascii="Verdana" w:hAnsi="Verdana"/>
          <w:sz w:val="18"/>
          <w:szCs w:val="18"/>
        </w:rPr>
      </w:pPr>
      <w:r>
        <w:rPr>
          <w:rFonts w:ascii="Verdana" w:hAnsi="Verdana"/>
          <w:sz w:val="18"/>
          <w:szCs w:val="18"/>
        </w:rPr>
        <w:t>Faculty of Economic Informatics, Department of Accounting and Auditing</w:t>
      </w:r>
    </w:p>
    <w:p w:rsidR="005C3F63" w:rsidRDefault="006536E7">
      <w:pPr>
        <w:jc w:val="center"/>
        <w:rPr>
          <w:rFonts w:ascii="Verdana" w:hAnsi="Verdana"/>
          <w:sz w:val="18"/>
          <w:szCs w:val="18"/>
        </w:rPr>
      </w:pPr>
      <w:r>
        <w:rPr>
          <w:rFonts w:ascii="Verdana" w:hAnsi="Verdana"/>
          <w:sz w:val="18"/>
          <w:szCs w:val="18"/>
        </w:rPr>
        <w:t>Dolnozemská cesta 1, 852 35 Bratislava, Slovak Republic</w:t>
      </w:r>
    </w:p>
    <w:p w:rsidR="005C3F63" w:rsidRDefault="006536E7">
      <w:pPr>
        <w:jc w:val="center"/>
        <w:rPr>
          <w:rFonts w:ascii="Verdana" w:hAnsi="Verdana"/>
          <w:sz w:val="18"/>
          <w:szCs w:val="18"/>
        </w:rPr>
      </w:pPr>
      <w:r>
        <w:rPr>
          <w:rFonts w:ascii="Verdana" w:hAnsi="Verdana"/>
          <w:sz w:val="18"/>
          <w:szCs w:val="18"/>
        </w:rPr>
        <w:t>E-mail: martina.podmanicka@euba.sk</w:t>
      </w:r>
    </w:p>
    <w:p w:rsidR="005C3F63" w:rsidRDefault="005C3F63">
      <w:pPr>
        <w:jc w:val="center"/>
        <w:rPr>
          <w:rFonts w:ascii="Verdana" w:hAnsi="Verdana"/>
          <w:sz w:val="18"/>
          <w:szCs w:val="18"/>
        </w:rPr>
      </w:pPr>
    </w:p>
    <w:p w:rsidR="005C3F63" w:rsidRDefault="006536E7">
      <w:pPr>
        <w:pStyle w:val="HTML"/>
        <w:shd w:val="clear" w:color="auto" w:fill="F8F9FA"/>
        <w:spacing w:after="120"/>
        <w:jc w:val="both"/>
        <w:rPr>
          <w:color w:val="FF0000"/>
        </w:rPr>
      </w:pPr>
      <w:r>
        <w:rPr>
          <w:rFonts w:ascii="Verdana" w:hAnsi="Verdana"/>
          <w:b/>
          <w:i/>
        </w:rPr>
        <w:t>Abstract:</w:t>
      </w:r>
      <w:r>
        <w:rPr>
          <w:rFonts w:ascii="Verdana" w:hAnsi="Verdana"/>
          <w:i/>
        </w:rPr>
        <w:t xml:space="preserve"> </w:t>
      </w:r>
      <w:r>
        <w:rPr>
          <w:rFonts w:ascii="Verdana" w:hAnsi="Verdana"/>
          <w:color w:val="222222"/>
          <w:lang w:val="en"/>
        </w:rPr>
        <w:t xml:space="preserve">The aim of this paper is to present and analyze the legal and accounting aspects of the sale of </w:t>
      </w:r>
      <w:r>
        <w:rPr>
          <w:rFonts w:ascii="Verdana" w:hAnsi="Verdana"/>
          <w:i/>
        </w:rPr>
        <w:t>a business</w:t>
      </w:r>
      <w:r>
        <w:rPr>
          <w:rFonts w:ascii="Verdana" w:hAnsi="Verdana"/>
          <w:color w:val="222222"/>
          <w:lang w:val="en"/>
        </w:rPr>
        <w:t xml:space="preserve"> in  Slovak Republic according to the currently valid legislation of the issue. </w:t>
      </w:r>
      <w:r>
        <w:rPr>
          <w:rFonts w:ascii="Verdana" w:hAnsi="Verdana"/>
        </w:rPr>
        <w:t>Understanding the relationship between the seller and the buyer of the business from a commercial point of view is extremely important for the correct accounting solution of the sale of the business. The purchase and sale of a business should be understood as a transaction with the business as an economic unit, which is sold and bought at the sale/purchase price. Therefore, the assets and liabilities that the buyer has purchased are measured at fair value. The sale of a business is a profit or loss transaction, while the purchase of a business is a balance sheet transaction.</w:t>
      </w:r>
    </w:p>
    <w:p w:rsidR="005C3F63" w:rsidRDefault="006536E7">
      <w:pPr>
        <w:spacing w:after="120"/>
        <w:rPr>
          <w:rFonts w:ascii="Verdana" w:hAnsi="Verdana"/>
          <w:i/>
          <w:sz w:val="20"/>
          <w:szCs w:val="20"/>
          <w:lang w:val="en-GB"/>
        </w:rPr>
      </w:pPr>
      <w:r>
        <w:rPr>
          <w:rFonts w:ascii="Verdana" w:hAnsi="Verdana"/>
          <w:b/>
          <w:i/>
          <w:sz w:val="20"/>
          <w:szCs w:val="20"/>
          <w:lang w:val="en-GB"/>
        </w:rPr>
        <w:t>Keywords:</w:t>
      </w:r>
      <w:r>
        <w:rPr>
          <w:rFonts w:ascii="Verdana" w:hAnsi="Verdana"/>
          <w:b/>
          <w:i/>
          <w:sz w:val="20"/>
          <w:szCs w:val="20"/>
        </w:rPr>
        <w:t xml:space="preserve"> </w:t>
      </w:r>
      <w:r>
        <w:rPr>
          <w:rFonts w:ascii="Verdana" w:hAnsi="Verdana"/>
          <w:i/>
          <w:color w:val="222222"/>
          <w:sz w:val="20"/>
          <w:szCs w:val="20"/>
          <w:lang w:val="en-GB"/>
        </w:rPr>
        <w:t>assets, liabilities, business, seller, buyer</w:t>
      </w:r>
    </w:p>
    <w:p w:rsidR="005C3F63" w:rsidRDefault="006536E7">
      <w:pPr>
        <w:pStyle w:val="04-Anotacijostekstas"/>
        <w:spacing w:before="0" w:after="120"/>
        <w:ind w:left="0" w:right="-284"/>
        <w:jc w:val="left"/>
        <w:rPr>
          <w:rFonts w:ascii="Verdana" w:hAnsi="Verdana"/>
          <w:i/>
          <w:lang w:val="en-GB"/>
        </w:rPr>
      </w:pPr>
      <w:r>
        <w:rPr>
          <w:rFonts w:ascii="Verdana" w:hAnsi="Verdana"/>
          <w:i/>
          <w:lang w:val="en-GB"/>
        </w:rPr>
        <w:t>JEL codes:</w:t>
      </w:r>
      <w:r>
        <w:rPr>
          <w:rFonts w:ascii="Verdana" w:hAnsi="Verdana"/>
          <w:i/>
        </w:rPr>
        <w:t xml:space="preserve"> </w:t>
      </w:r>
      <w:r>
        <w:rPr>
          <w:rFonts w:ascii="Verdana" w:hAnsi="Verdana"/>
          <w:i/>
          <w:lang w:val="en-GB"/>
        </w:rPr>
        <w:t>M40, M41</w:t>
      </w:r>
    </w:p>
    <w:p w:rsidR="005C3F63" w:rsidRDefault="006536E7">
      <w:pPr>
        <w:pStyle w:val="1"/>
        <w:jc w:val="left"/>
        <w:rPr>
          <w:b w:val="0"/>
          <w:bCs w:val="0"/>
          <w:sz w:val="22"/>
          <w:lang w:val="sk-SK"/>
        </w:rPr>
      </w:pPr>
      <w:r>
        <w:rPr>
          <w:rStyle w:val="KapitolaChar"/>
          <w:b/>
          <w:lang w:val="sk-SK"/>
        </w:rPr>
        <w:t>1 Úvod / Introduction</w:t>
      </w:r>
      <w:r>
        <w:rPr>
          <w:rStyle w:val="KapitolaChar"/>
          <w:lang w:val="sk-SK"/>
        </w:rPr>
        <w:t xml:space="preserve"> </w:t>
      </w:r>
    </w:p>
    <w:p w:rsidR="005C3F63" w:rsidRDefault="006536E7">
      <w:pPr>
        <w:spacing w:after="120"/>
        <w:rPr>
          <w:rFonts w:ascii="Verdana" w:hAnsi="Verdana"/>
          <w:sz w:val="20"/>
          <w:szCs w:val="20"/>
        </w:rPr>
      </w:pPr>
      <w:r>
        <w:rPr>
          <w:rFonts w:ascii="Verdana" w:hAnsi="Verdana"/>
          <w:sz w:val="20"/>
          <w:szCs w:val="20"/>
        </w:rPr>
        <w:t>Súčasný stav riešenej problematiky predaja podniku z právneho a účtovného  hľadiska je výsledkom neustáleho zdokonaľovania a spresňovania obchodnej a účtovnej legislatívy v príslušnej oblasti s úmyslom dosiahnuť verné a pravdivé zobrazenie podstaty transakcie predaja podniku, resp. jeho časti. Význam riešenej problematiky priamoúmerne narastá s počtom realizovaných kombinácií podnikov tohto typu vo svete i v Slovenskej republike.</w:t>
      </w:r>
      <w:r>
        <w:t xml:space="preserve"> (Juhászová, Z., Užík, J., 2014)  </w:t>
      </w:r>
      <w:r>
        <w:rPr>
          <w:rFonts w:ascii="Verdana" w:hAnsi="Verdana"/>
          <w:sz w:val="20"/>
          <w:szCs w:val="20"/>
        </w:rPr>
        <w:t xml:space="preserve"> Predmetom predaja môže byť tak zdravý prosperujúci podnik, ktorému sa dlhodobo darí, je schopný generovať príjmy a jeho predajom vlastník späť získava vložený a v ideálnom prípade aj zhodnotený kapitál, ako i podnik, ktorý stagnuje, či prechádza zložitým obdobím a jeho predajom vlastník eliminuje straty, ktoré vyrobil alebo získa aspoň časť zdrojov vložených do podnikania. Dôvody pre predaj podniku sú taktiež početné, ako napr.: nadmerné pracovné vyťaženie, zodpovednosť plynúca zo samotného kolobehu podnikateľskej činnosti, zefektívnenie štruktúry skupiny podnikov, či zjednodušenie riadenia podnikov. Na druhej strane investor kúpou podniku napr. výhodne investuje nadbytočný kapitál, expanduje do určitého geografického regiónu, posilňuje svoju pozíciu v danom ekonomickom odvetví alebo získava zabehnutý fungujúci a prosperujúci podnik napriek svojim minimálnym skúsenostiam v danom odvetí.</w:t>
      </w:r>
    </w:p>
    <w:p w:rsidR="005C3F63" w:rsidRDefault="006536E7">
      <w:pPr>
        <w:pStyle w:val="aff"/>
        <w:jc w:val="both"/>
      </w:pPr>
      <w:r>
        <w:t xml:space="preserve">Cieľom predkladaného príspevku je prezentovať a analyzovať právne a účtovné aspekty predaja podniku v Slovenskej republike podľa v súčasnosti platnej právnej úpravy danej problematiky. </w:t>
      </w:r>
    </w:p>
    <w:p w:rsidR="005C3F63" w:rsidRDefault="005C3F63">
      <w:pPr>
        <w:pStyle w:val="aff"/>
        <w:jc w:val="both"/>
      </w:pPr>
    </w:p>
    <w:p w:rsidR="005C3F63" w:rsidRDefault="006536E7">
      <w:pPr>
        <w:pStyle w:val="aff"/>
        <w:jc w:val="both"/>
        <w:rPr>
          <w:rStyle w:val="KapitolaChar"/>
          <w:rFonts w:eastAsia="MS Mincho" w:cs="Times New Roman"/>
          <w:b w:val="0"/>
          <w:bCs w:val="0"/>
          <w:kern w:val="2"/>
          <w:sz w:val="20"/>
          <w:szCs w:val="20"/>
          <w:lang w:val="sk-SK" w:eastAsia="ja-JP"/>
        </w:rPr>
      </w:pPr>
      <w:r>
        <w:t xml:space="preserve">Príspevok sa venuje danej problematike z právneho a účtovného hľadiska. Pre správne účtovné zobrazenie predaja podniku je mimoriadne dôležité pochopenie vzťahov medzi predávajúcim a kupujúcim daného podniku z obchodného hľadiska. Nakoľko účtovníctvo má verne a pravdivo zobrazovať danú transakciu, ak nechápeme podstate transakcie a jej právnym dôsledkom, je takmer vylúčené, aby sme verne a pravdivo zobrazili danú transakciu v účtovníctve podnikateľa. </w:t>
      </w:r>
    </w:p>
    <w:p w:rsidR="005C3F63" w:rsidRDefault="005C3F63">
      <w:pPr>
        <w:spacing w:before="240" w:after="120"/>
        <w:jc w:val="left"/>
        <w:rPr>
          <w:rStyle w:val="KapitolaChar"/>
          <w:lang w:val="sk-SK"/>
        </w:rPr>
      </w:pPr>
    </w:p>
    <w:p w:rsidR="005C3F63" w:rsidRDefault="006536E7">
      <w:pPr>
        <w:spacing w:before="240" w:after="120"/>
        <w:jc w:val="left"/>
        <w:rPr>
          <w:rFonts w:ascii="Verdana" w:hAnsi="Verdana" w:cs="Arial"/>
          <w:bCs/>
          <w:kern w:val="32"/>
          <w:sz w:val="18"/>
          <w:szCs w:val="18"/>
          <w:lang w:eastAsia="cs-CZ" w:bidi="ar-SA"/>
        </w:rPr>
      </w:pPr>
      <w:r>
        <w:rPr>
          <w:rStyle w:val="KapitolaChar"/>
          <w:lang w:val="sk-SK"/>
        </w:rPr>
        <w:lastRenderedPageBreak/>
        <w:t>2 Metodológia a zdrojové údaje / Methodology and Data</w:t>
      </w:r>
      <w:r>
        <w:rPr>
          <w:rFonts w:ascii="Verdana" w:hAnsi="Verdana"/>
          <w:b/>
          <w:sz w:val="22"/>
        </w:rPr>
        <w:t xml:space="preserve"> </w:t>
      </w:r>
    </w:p>
    <w:p w:rsidR="005C3F63" w:rsidRDefault="006536E7">
      <w:pPr>
        <w:pStyle w:val="aff"/>
      </w:pPr>
      <w:r>
        <w:t>Príspevok prezentuje a analyzuje problematiku predaja podniku v Slovenskej republike z právneho a účtovného hľadiska tak, ako je riešená v platnej právnej úprave tejto problematiky v súčasnosti, predovšetkým v súlade so zákonom č. 513/1991 Zb. Obchodný zákonník v znení neskorších predpisov (ďalej len „Obchodný zákonník“), zákonom č. 431/2002 Z. z. o účtovníctve v znení neskorších predpisov (ďalej len „zákon o účtovníctve“) a opatrením Ministerstva financií Slovenskej republiky č. 23054/2002-92 zo 16. decembra 2002, ktorým sa ustanovujú podrobnosti o postupoch účtovania a rámcovej účtovej osnove pre podnikateľov účtujúcich v sústave podvojného účtovníctva, v znení neskorších predpisov (ďalej len „postupy účtovania pre podvojné účtovníctvo“). Preto sme pri písaní príspevku analyzovali najmä ustanovenia daných právnych predpisov. Inšpiráciou pre zostavenie príspevku nám boli i knižné publikácie a príspevky v odborných časopisoch uvádzané v časti Literárne zdroje a iné odkazy.</w:t>
      </w:r>
    </w:p>
    <w:p w:rsidR="005C3F63" w:rsidRDefault="006536E7">
      <w:pPr>
        <w:pStyle w:val="Kapitola"/>
        <w:rPr>
          <w:b w:val="0"/>
          <w:sz w:val="18"/>
          <w:szCs w:val="18"/>
          <w:lang w:val="sk-SK"/>
        </w:rPr>
      </w:pPr>
      <w:r>
        <w:rPr>
          <w:szCs w:val="22"/>
          <w:lang w:val="sk-SK"/>
        </w:rPr>
        <w:t xml:space="preserve">3 Výsledky a diskusia / Results and Discussion </w:t>
      </w:r>
    </w:p>
    <w:p w:rsidR="005C3F63" w:rsidRDefault="006536E7">
      <w:pPr>
        <w:pStyle w:val="Kapitola"/>
        <w:spacing w:before="0"/>
        <w:rPr>
          <w:sz w:val="20"/>
          <w:szCs w:val="20"/>
          <w:lang w:val="sk-SK"/>
        </w:rPr>
      </w:pPr>
      <w:r>
        <w:rPr>
          <w:sz w:val="20"/>
          <w:szCs w:val="20"/>
          <w:lang w:val="sk-SK"/>
        </w:rPr>
        <w:t>3. 1 Právny aspekt predaja podniku v Slovenskej republike</w:t>
      </w:r>
    </w:p>
    <w:p w:rsidR="005C3F63" w:rsidRDefault="006536E7">
      <w:pPr>
        <w:spacing w:after="120"/>
        <w:rPr>
          <w:rFonts w:ascii="Verdana" w:hAnsi="Verdana"/>
          <w:sz w:val="20"/>
          <w:szCs w:val="20"/>
        </w:rPr>
      </w:pPr>
      <w:r>
        <w:rPr>
          <w:rFonts w:ascii="Verdana" w:hAnsi="Verdana"/>
          <w:sz w:val="20"/>
          <w:szCs w:val="20"/>
        </w:rPr>
        <w:t xml:space="preserve">Obchodný zákonník podnikom rozumie súbor hmotných, osobných a nehmotných zložiek podnikania, pričom k podniku patria veci, práva a iné majetkové hodnoty, ktoré patria podnikateľovi a slúžia na prevádzkovanie podniku alebo vzhľadom na svoju povahu majú tomuto účelu slúžiť. Z tejto definície je zrejmé, že podnik je objektom právnych vzťahov, nie jeho subjektom. Preto je správne uvádzať, že „spoločnosť predáva svoj podnik alebo kupuje podnik od iného subjektu“, nie že „podnik niečo predáva alebo kupuje“. Z pohľadu obchodného práva ide teda o všetky aktíva spoločnosti. </w:t>
      </w:r>
    </w:p>
    <w:p w:rsidR="005C3F63" w:rsidRDefault="006536E7">
      <w:pPr>
        <w:spacing w:after="120"/>
        <w:rPr>
          <w:rFonts w:ascii="Verdana" w:hAnsi="Verdana"/>
          <w:sz w:val="20"/>
          <w:szCs w:val="20"/>
        </w:rPr>
      </w:pPr>
      <w:r>
        <w:rPr>
          <w:rFonts w:ascii="Verdana" w:hAnsi="Verdana"/>
          <w:sz w:val="20"/>
          <w:szCs w:val="20"/>
        </w:rPr>
        <w:t>Nadobudnutie vlastníckeho práva k veciam, právam a iným majetkovým hodnotám, ktoré slúžia na prevádzku spoločnosti a súčasné prevzatie záväzkov spoločnosti sa uskutočňuje na základe zmluvy o predaji podniku, ktorá je upravená v ustanoveniach § 476 až § 488 Obchodného zákonníka. Ustanovenia § 477 až § 486 platia aj pre zmluvy, ktorými sa predáva časť podniku tvoriaca samostatnú organizačnú zložku.</w:t>
      </w:r>
    </w:p>
    <w:p w:rsidR="005C3F63" w:rsidRDefault="006536E7">
      <w:pPr>
        <w:spacing w:after="120"/>
        <w:rPr>
          <w:rFonts w:ascii="Verdana" w:hAnsi="Verdana"/>
          <w:sz w:val="20"/>
          <w:szCs w:val="20"/>
        </w:rPr>
      </w:pPr>
      <w:r>
        <w:rPr>
          <w:rFonts w:ascii="Verdana" w:hAnsi="Verdana"/>
          <w:sz w:val="20"/>
          <w:szCs w:val="20"/>
        </w:rPr>
        <w:t xml:space="preserve">V tejto súvislosti treba uviesť, že z porovnania ustanovenia definujúceho podnik (§ 5) a základného ustanovenia definujúceho zmluvu o predaji podniku (§ 476) vyplýva, že Obchodný zákonník v základnom ustanovení definujúcom zmluvu o predaji podniku (§ 476) sa odkláňa od definície podniku (§ 5). Súčasťou predaja podniku podľa základného ustanovenia sú aj záväzky predávajúceho súvisiace s podnikom. Podľa definície podniku záväzky podnikateľa súvisiace s podnikom nie sú súčasťou podniku. </w:t>
      </w:r>
    </w:p>
    <w:p w:rsidR="005C3F63" w:rsidRDefault="006536E7">
      <w:pPr>
        <w:spacing w:after="120"/>
        <w:rPr>
          <w:rFonts w:ascii="Verdana" w:hAnsi="Verdana"/>
          <w:sz w:val="20"/>
          <w:szCs w:val="20"/>
        </w:rPr>
      </w:pPr>
      <w:r>
        <w:rPr>
          <w:rFonts w:ascii="Verdana" w:hAnsi="Verdana"/>
          <w:sz w:val="20"/>
          <w:szCs w:val="20"/>
        </w:rPr>
        <w:t xml:space="preserve">Na kupujúceho prechádzajú všetky práva a záväzky, na ktoré sa predaj vzťahuje. Prechádzajú práva aj záväzky z existujúcich právnych vzťahov, napr. práva a záväzky z nájomných, poistných i úverových zmlúv. (Tumpach, M., Užík, J., Juhászová, Z., 2014)  Prevod práv znamená zmenu v osobe veriteľa.(Tumpach, M., Manová, E., Meluchová, J., 2014) Namiesto predávajúceho sa veriteľom stane kupujúci. Z predávajúceho na kupujúceho prechádza vlastnícke právo k veciam, ktoré sú zahrnuté do predaja účinnosťou zmluvy. Vlastnícke právo k nehnuteľnostiam prechádza vkladom do katastra nehnuteľností. Na kupujúceho prechádzajú práva a povinnosti z pracovnoprávnych vzťahov k zamestnancom podniku. Účinnosťou zmluvy sa zamestnanci stávajú zamestnancami kupujúceho, pričom na kupujúceho prechádzajú všetky povinnosti z pôvodného zamestnávateľa bez ohľadu na to, či vznikli z pracovného pomeru na základe pracovnej zmluvy alebo dohody o práci vykonávanej mimo pracovného pomeru. Kupujúci je povinný uspokojiť všetky pracovnoprávne nároky zamestnancov, ktoré neboli ku dňu prevodu uspokojené, aj keď na ne vzniklo právo pred uzatvorením zmluvy o predaji podniku. Na kupujúceho prechádzajú i všetky práva vyplývajúce z priemyselného (patenty, vynálezy, zlepšovacie návrhy, ochranné známky, úžitkové vzory a pod.) alebo iného duševného (najmä autorské práva a práva príbuzné autorskému právu) vlastníctva, ktoré sa týkajú podnikateľskej činnosti predávaného </w:t>
      </w:r>
      <w:r>
        <w:rPr>
          <w:rFonts w:ascii="Verdana" w:hAnsi="Verdana"/>
          <w:sz w:val="20"/>
          <w:szCs w:val="20"/>
        </w:rPr>
        <w:lastRenderedPageBreak/>
        <w:t>podniku s výnimkou prípadov, ak by to odporovalo zmluve o poskytnutí výkonu práv z priemyselného alebo iného duševného vlastníctva alebo povahe týchto práv. (</w:t>
      </w:r>
      <w:r>
        <w:t xml:space="preserve">Pakšiová, R., Kubaščíková, Z., 2015) </w:t>
      </w:r>
      <w:r>
        <w:rPr>
          <w:rFonts w:ascii="Verdana" w:hAnsi="Verdana"/>
          <w:sz w:val="20"/>
          <w:szCs w:val="20"/>
        </w:rPr>
        <w:t>Zmluvou o poskytnutí výkonu práv z priemyselného vlastníctva je licenčná zmluva na predmety priemyselného vlastníctva. K prechodu práv, na výkon ktorých je nadobúdateľ licenčnou zmluvou oprávnený, nedôjde, pokiaľ s prechodom poskytovateľ licencie nesúhlasí. Ak zo zmluvy nevyplýva niečo iné, prechádza na kupujúceho aj oprávnenie používať obchodné meno spojené s predávaným podnikom, ibaže by to bolo v rozpore so zákonom alebo s právom tretej osoby. Pokiaľ na kupujúceho prechádzajú i pohľadávky, tak prechod pohľadávok sa spravuje ustanoveniami o postúpení pohľadávok.</w:t>
      </w:r>
      <w:r>
        <w:t xml:space="preserve"> (Pakšiová, R., Kubaščíková, Z., 2014) </w:t>
      </w:r>
      <w:r>
        <w:rPr>
          <w:rFonts w:ascii="Verdana" w:hAnsi="Verdana"/>
          <w:sz w:val="20"/>
          <w:szCs w:val="20"/>
        </w:rPr>
        <w:t xml:space="preserve">S pohľadávkou prechádza na kupujúceho aj jej príslušenstvo (úroky, úroky z omeškania, náklady spojené s uplatnením pohľadávky) a všetky práva s ňou spojené (záložné právo, ručenie). Predávajúci je povinný bez zbytočného odkladu oznámiť dlžníkom prechod pohľadávok na kupujúceho. Ak splnenie pohľadávky je zabezpečené záložným právom, ručením alebo iným spôsobom, predávajúci je povinný o prechode pohľadávky bez zbytočného odkladu podať správu osobe, ktorá zabezpečenie záväzku poskytla. Predávajúci je rovnako povinný odovzdať kupujúcemu všetky doklady a poskytnúť všetky potrebné informácie, ktoré sa týkajú prevedenej pohľadávky.  </w:t>
      </w:r>
    </w:p>
    <w:p w:rsidR="005C3F63" w:rsidRDefault="006536E7">
      <w:pPr>
        <w:spacing w:after="120"/>
        <w:rPr>
          <w:rFonts w:ascii="Verdana" w:hAnsi="Verdana"/>
          <w:sz w:val="20"/>
          <w:szCs w:val="20"/>
        </w:rPr>
      </w:pPr>
      <w:r>
        <w:rPr>
          <w:rFonts w:ascii="Verdana" w:hAnsi="Verdana"/>
          <w:sz w:val="20"/>
          <w:szCs w:val="20"/>
        </w:rPr>
        <w:t xml:space="preserve">Prevzatie peňažných záväzkov kupujúcim znamená pre predávajúceho skutočnosť, že sa zbaví povinnosti zaplatiť dlh, pričom túto povinnosť na seba preberá kupujúci, ktorý sa stáva novým dlžníkom. Na prechod záväzku sa nevyžaduje súhlas veriteľa. Kupujúcemu vzniká oznamovacia povinnosť oznámiť veriteľom prevzatie záväzkov. Povinnou náležitosťou zmluvy o predaji podniku je záväzok kupujúceho prevziať všetky záväzky predávajúceho súvisiace s podnikom ako i zaplatiť kúpnu cenu. Aby bolo možné zmluvu o predaji podniku skutočne považovať za zmluvu o predaji podniku podľa § 476 až § 488 Obchodného zákonníka, je dôležité, aby sa kupujúci zaviazal prevziať všetky záväzky predávajúceho. Toto je základná nevýhoda predaja podniku. Na kupujúceho totiž spolu s právami prechádzajú aj záväzky predávajúceho, ktorých rozsah nemusí byť v momente predaja preukázateľne zistiteľný, pričom predávajúci len ručí za splnenie prevedených záväzkov. </w:t>
      </w:r>
    </w:p>
    <w:p w:rsidR="005C3F63" w:rsidRDefault="006536E7">
      <w:pPr>
        <w:spacing w:after="120"/>
        <w:rPr>
          <w:rFonts w:ascii="Verdana" w:hAnsi="Verdana"/>
          <w:sz w:val="20"/>
          <w:szCs w:val="20"/>
        </w:rPr>
      </w:pPr>
      <w:r>
        <w:rPr>
          <w:rFonts w:ascii="Verdana" w:hAnsi="Verdana"/>
          <w:sz w:val="20"/>
          <w:szCs w:val="20"/>
        </w:rPr>
        <w:t xml:space="preserve">Zákonný prechod práv a záväzkov súvisiacich s predávaným podnikom z predávajúceho na kupujúceho sa však týka len práv a záväzkov súkromnoprávnej povahy, ktoré vznikli na základe noriem súkromného práva, nie práv a záväzkov, ktoré vznikli na základe noriem verejného práva. To znamená, že na základe zmluvy o predaji podniku dochádza len k prevodu povinností súkromnoprávnej povahy a nie je možné previesť povinnosti, ktoré vznikli na základe predpisov verejného práva. Na kupujúceho teda neprechádzajú daňové povinnosti, záväzky voči štátnemu rozpočtu, povinnosť platiť clo, záväzky z titulu sociálneho či zdravotného poistenia, pokuty uložené orgánmi verejnej správy a iné záväzky verejnoprávnej povahy.  </w:t>
      </w:r>
    </w:p>
    <w:p w:rsidR="005C3F63" w:rsidRDefault="006536E7">
      <w:pPr>
        <w:spacing w:after="120"/>
        <w:rPr>
          <w:rFonts w:ascii="Verdana" w:hAnsi="Verdana"/>
          <w:sz w:val="20"/>
          <w:szCs w:val="20"/>
        </w:rPr>
      </w:pPr>
      <w:r>
        <w:rPr>
          <w:rFonts w:ascii="Verdana" w:hAnsi="Verdana"/>
          <w:sz w:val="20"/>
          <w:szCs w:val="20"/>
        </w:rPr>
        <w:t xml:space="preserve">Na kupujúceho neprechádza ani živnostenské oprávnenie, či iné oprávnenie alebo povolenie udelené predávajúcemu na podnikateľskú činnosť. </w:t>
      </w:r>
    </w:p>
    <w:p w:rsidR="005C3F63" w:rsidRDefault="006536E7">
      <w:pPr>
        <w:spacing w:after="120"/>
        <w:rPr>
          <w:rFonts w:ascii="Verdana" w:hAnsi="Verdana"/>
          <w:sz w:val="20"/>
          <w:szCs w:val="20"/>
        </w:rPr>
      </w:pPr>
      <w:r>
        <w:rPr>
          <w:rFonts w:ascii="Verdana" w:hAnsi="Verdana"/>
          <w:sz w:val="20"/>
          <w:szCs w:val="20"/>
        </w:rPr>
        <w:t xml:space="preserve">Predpokladá sa, že kúpna cena/predajná cena je určená na základe údajov o súhrne vecí, práv a záväzkov vyplývajúcich z účtovníctva predávaného podniku ku dňu uzavretia zmluvy a tiež na základe ďalších hodnôt uvedených v zmluve, pokiaľ nie sú zahrnuté v účtovníctve predávaného podniku. Uvedené ustanovenie má len dispozitívny charakter, zmluvné strany ho teda môžu uplatniť v prípade, že sa nedohodnú inak.   </w:t>
      </w:r>
    </w:p>
    <w:p w:rsidR="005C3F63" w:rsidRDefault="006536E7">
      <w:pPr>
        <w:spacing w:after="120"/>
        <w:rPr>
          <w:rFonts w:ascii="Verdana" w:hAnsi="Verdana"/>
          <w:sz w:val="20"/>
          <w:szCs w:val="20"/>
        </w:rPr>
      </w:pPr>
      <w:r>
        <w:rPr>
          <w:rFonts w:ascii="Verdana" w:hAnsi="Verdana"/>
          <w:sz w:val="20"/>
          <w:szCs w:val="20"/>
        </w:rPr>
        <w:t>Vzhľadom na zložitosť predmetu predaja podniku, samotnému uzatvoreniu zmluvy predchádzajú dlhodobé rokovania zmluvných strán.</w:t>
      </w:r>
      <w:r>
        <w:t xml:space="preserve"> (Bombor, T. 2019).</w:t>
      </w:r>
      <w:r>
        <w:rPr>
          <w:rFonts w:ascii="Verdana" w:hAnsi="Verdana"/>
          <w:sz w:val="20"/>
          <w:szCs w:val="20"/>
        </w:rPr>
        <w:t xml:space="preserve"> Konštrukcia samotnej zmluvy je zložitá, nakoľko sa odporúča v zmluve o predaji podniku špecifikovať jednotlivé prevádzané zložky podniku – veci, práva a záväzky tvoriace predmet predaja, aby sa predišlo možným sporom v budúcnosti. Obchodný zákonník vyžaduje písomnú formu zmluvy o predaji podniku a notársky osvedčené podpisy predávajúceho a kupujúceho. Zvyčajne sa zmluvou o predaji podniku prevádza i vlastnícke právo k nehnuteľnostiam, ktoré sú súčasťou podniku, zmluva o predaji podniku sa tak stáva </w:t>
      </w:r>
      <w:r>
        <w:rPr>
          <w:rFonts w:ascii="Verdana" w:hAnsi="Verdana"/>
          <w:sz w:val="20"/>
          <w:szCs w:val="20"/>
        </w:rPr>
        <w:lastRenderedPageBreak/>
        <w:t>podkladom pre zápis zmien v katastri nehnuteľností. Ku dňu účinnosti zmluvy je predávajúci povinný odovzdať a kupujúci prevziať veci zahrnuté do predaja. O prevzatí sa spíše zápisnica a podpíše sa oboma stranami. Prevzatím vecí prechádza nebezpečenstvo škody na týchto veciach z predávajúceho na kupujúceho. Deň účinnosti zmluvy o predaji podniku nie je v právnej úprave explicitne upravený, preto by mal byť uvedený v samotnej zmluve. V prípade, že zmluva výslovne neuvádza deň svojej účinnosti, účinná bude dňom jej uzavretia, t. j. dňom podpisu oboma zmluvnými stranami.</w:t>
      </w:r>
    </w:p>
    <w:p w:rsidR="005C3F63" w:rsidRDefault="006536E7">
      <w:pPr>
        <w:spacing w:after="120"/>
        <w:rPr>
          <w:rFonts w:ascii="Verdana" w:hAnsi="Verdana"/>
          <w:sz w:val="20"/>
          <w:szCs w:val="20"/>
        </w:rPr>
      </w:pPr>
      <w:r>
        <w:rPr>
          <w:rFonts w:ascii="Verdana" w:hAnsi="Verdana"/>
          <w:sz w:val="20"/>
          <w:szCs w:val="20"/>
        </w:rPr>
        <w:t xml:space="preserve">Predaj podniku alebo jeho časti sa zapisuje do obchodného registra v prípade, že predávajúci je osoba zapísaná o obchodnom registri. Deň zápisu predaja podniku v obchodnom registri nie je dňom účinnosti zmluvy o predaji podniku. Právnická osoba, ktorá predala podnik tvoriaci jej imanie, môže ukončiť svoju likvidáciu a byť vymazaná z obchodného registra až po uplynutí jedného roka po tomto predaji. </w:t>
      </w:r>
    </w:p>
    <w:p w:rsidR="005C3F63" w:rsidRDefault="006536E7">
      <w:pPr>
        <w:pStyle w:val="Kapitola"/>
        <w:spacing w:before="0"/>
        <w:rPr>
          <w:sz w:val="20"/>
          <w:szCs w:val="20"/>
          <w:lang w:val="sk-SK"/>
        </w:rPr>
      </w:pPr>
      <w:r>
        <w:rPr>
          <w:sz w:val="20"/>
          <w:szCs w:val="20"/>
          <w:lang w:val="sk-SK"/>
        </w:rPr>
        <w:t>3. 2 Účtovný aspekt predaja podniku v Slovenskej republike</w:t>
      </w:r>
    </w:p>
    <w:p w:rsidR="005C3F63" w:rsidRDefault="006536E7">
      <w:pPr>
        <w:spacing w:after="120"/>
        <w:rPr>
          <w:rFonts w:ascii="Verdana" w:hAnsi="Verdana"/>
          <w:sz w:val="20"/>
          <w:szCs w:val="20"/>
        </w:rPr>
      </w:pPr>
      <w:r>
        <w:rPr>
          <w:rFonts w:ascii="Verdana" w:hAnsi="Verdana"/>
          <w:sz w:val="20"/>
          <w:szCs w:val="20"/>
        </w:rPr>
        <w:t xml:space="preserve">Účtovanie predaja podniku účtovnou jednotkou, ktorá účtuje v sústave podvojného účtovníctva je v Slovenskej republike upravené v § 27 postupov účtovania pre podvojné účtovníctvo. </w:t>
      </w:r>
    </w:p>
    <w:p w:rsidR="005C3F63" w:rsidRDefault="006536E7">
      <w:pPr>
        <w:spacing w:after="120"/>
        <w:rPr>
          <w:rFonts w:ascii="Verdana" w:hAnsi="Verdana"/>
          <w:sz w:val="20"/>
          <w:szCs w:val="20"/>
        </w:rPr>
      </w:pPr>
      <w:r>
        <w:rPr>
          <w:rFonts w:ascii="Verdana" w:hAnsi="Verdana"/>
          <w:sz w:val="20"/>
          <w:szCs w:val="20"/>
        </w:rPr>
        <w:t xml:space="preserve">Pri predaji podniku alebo jeho časti sa v účtovníctve predávajúceho účtuje predávaný majetok alebo jeho časti na ťarchu nákladového účtu 548 – Ostatné náklady na hospodársku činnosť a záväzky v prospech výnosového účtu 648 – Ostatné výnosy z hospodárskej činnosti. Predajná cena sa účtuje na ťarchu účtu 371 – Pohľadávky z predaja podniku a v prospech účtu 648 – Ostatné výnosy z hospodárskej činnosti. Rozdiel súm zaúčtovaných na príslušných účtoch nákladov a výnosov viažucich sa k danej transakcii predaja vyjadruje zisk alebo stratu z predaja podniku, pre predávajúceho je predaj podniku teda výsledkovou transakciou. </w:t>
      </w:r>
    </w:p>
    <w:p w:rsidR="005C3F63" w:rsidRDefault="006536E7">
      <w:pPr>
        <w:spacing w:after="120"/>
        <w:rPr>
          <w:rFonts w:ascii="Verdana" w:hAnsi="Verdana"/>
          <w:sz w:val="20"/>
          <w:szCs w:val="20"/>
        </w:rPr>
      </w:pPr>
      <w:r>
        <w:rPr>
          <w:rFonts w:ascii="Verdana" w:hAnsi="Verdana"/>
          <w:sz w:val="20"/>
          <w:szCs w:val="20"/>
        </w:rPr>
        <w:t>V účtovníctve kupujúceho sa kupovaný majetok podniku alebo jeho časti účtuje na ťarchu príslušných účtov majetku a prevzaté záväzky sa účtujú v prospech príslušných účtov záväzkov. Kúpna cena podniku alebo jeho časti sa účtuje v prospech účtu 372 – Záväzky z kúpy podniku. Kúpa podniku je teda pre kupujúceho súvahová transakcia. Podľa § 25 ods. 1 písm. e) bodu 1. zákona o účtovníctve kupujúci majetok a záväzky nadobudnuté kúpou podniku alebo jeho časti ocení reálnou hodnotou podľa § 27 ods. 2 zákona o účtovníctve. Špecifikom kúpy podniku je skutočnosť, že sa reálnou hodnotou neoceňuje len majetok a záväzky, ktoré boli vykázané v súvahe predávajúceho, ale aj tie, ktoré vykázané neboli z dôvodu, že nespĺňali kritériá pre ich vykázanie. Typickým príkladom je napr. nehmotný majetok vytvorený vlastnou činnosťou.</w:t>
      </w:r>
    </w:p>
    <w:p w:rsidR="005C3F63" w:rsidRDefault="006536E7">
      <w:pPr>
        <w:spacing w:after="120"/>
        <w:rPr>
          <w:rFonts w:ascii="Verdana" w:hAnsi="Verdana"/>
          <w:sz w:val="20"/>
          <w:szCs w:val="20"/>
        </w:rPr>
      </w:pPr>
      <w:r>
        <w:rPr>
          <w:rFonts w:ascii="Verdana" w:hAnsi="Verdana"/>
          <w:sz w:val="20"/>
          <w:szCs w:val="20"/>
        </w:rPr>
        <w:t>Podkladom pre zaúčtovanie uvedených účtovných prípadov je zmluva o predaji podniku a zápisnica, ktorá sa povinne vyhotovuje pri prevode a prevzatí vecí, práv, iných majetkových hodnôt a záväzkov, ako aj vystavené interné doklady.</w:t>
      </w:r>
      <w:r>
        <w:t xml:space="preserve"> (Petrovická, I. 2019).</w:t>
      </w:r>
    </w:p>
    <w:p w:rsidR="005C3F63" w:rsidRDefault="006536E7">
      <w:pPr>
        <w:spacing w:after="120"/>
        <w:rPr>
          <w:rFonts w:ascii="Verdana" w:hAnsi="Verdana"/>
          <w:sz w:val="20"/>
          <w:szCs w:val="20"/>
        </w:rPr>
      </w:pPr>
      <w:r>
        <w:rPr>
          <w:rFonts w:ascii="Verdana" w:hAnsi="Verdana"/>
          <w:sz w:val="20"/>
          <w:szCs w:val="20"/>
        </w:rPr>
        <w:t>V prípade, ak je kúpna cena podniku alebo jeho časti vyššia ako je reálna hodnota jednotlivých zložiek majetku a záväzkov, ktorou sa tento majetok a záväzky ocenia v účtovníctve kupujúceho podnik alebo jeho časť, v účtovníctve kupujúceho vzniká goodwill, ktorý sa účtuje na ťarchu účtu 015 - Goodwill. Ak je kúpna cena podniku alebo jeho časti nižšia ako je reálna hodnota jednotlivých zložiek majetku a záväzkov, ktorou sa tento majetok a záväzky ocenia v účtovníctve kupujúceho, v účtovníctve kupujúceho vzniká záporný goodwill, ktorý sa účtuje v prospech účtu 015 – 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ako je výška goodwillu zaúčtovaná na účte 015 – Goodwill, príslušná časť goodwillu sa odpíše pri kúpe podniku alebo jeho časti. Vzniknutý záporný goodwill sa jednorazovo odpíše v prospech účtu 551 – Odpisy dlhodobého nehmotného majetku a dlhodobého hmotného majetku so súvzťažným zápisom na ťarchu účtu 075 – Oprávky ku goodwillu. Podľa zákona o účtovníctve, ak sa nedá životnosť goodwillu spoľahlivo odhadnúť, musí ho účtovná jednotka odpísať najneskôr do piatich rokov od jeho obstarania. (</w:t>
      </w:r>
      <w:r>
        <w:t xml:space="preserve">Farkaš, R., 2008). </w:t>
      </w:r>
      <w:r>
        <w:rPr>
          <w:rFonts w:ascii="Verdana" w:hAnsi="Verdana"/>
          <w:sz w:val="20"/>
          <w:szCs w:val="20"/>
        </w:rPr>
        <w:t xml:space="preserve">Na </w:t>
      </w:r>
      <w:r>
        <w:rPr>
          <w:rFonts w:ascii="Verdana" w:hAnsi="Verdana"/>
          <w:sz w:val="20"/>
          <w:szCs w:val="20"/>
        </w:rPr>
        <w:lastRenderedPageBreak/>
        <w:t xml:space="preserve">prvotné zaúčtovanie goodwillu alebo záporného goodwillu sa nevzťahuje požiadavka účtovania o odloženej dani.  </w:t>
      </w:r>
    </w:p>
    <w:p w:rsidR="005C3F63" w:rsidRDefault="006536E7">
      <w:pPr>
        <w:pStyle w:val="Kapitola"/>
        <w:rPr>
          <w:lang w:val="sk-SK"/>
        </w:rPr>
      </w:pPr>
      <w:r>
        <w:rPr>
          <w:lang w:val="sk-SK"/>
        </w:rPr>
        <w:t>Záver / Conclusions</w:t>
      </w:r>
    </w:p>
    <w:p w:rsidR="005C3F63" w:rsidRDefault="006536E7">
      <w:pPr>
        <w:pStyle w:val="aff"/>
        <w:jc w:val="both"/>
      </w:pPr>
      <w:r>
        <w:t xml:space="preserve">Príspevok prezentuje a analyzuje problematiku predaja podniku v Slovenskej republike z právneho a účtovného hľadiska. Pre správne účtovné zobrazenie predaja podniku je mimoriadne dôležité pochopenie vzťahov medzi predávajúcim a kupujúcim daného podniku z obchodného hľadiska. Nakoľko účtovníctvo má verne a pravdivo zobrazovať danú transakciu, ak nechápeme podstate transakcie a jej právnym dôsledkom, je takmer vylúčené, aby sme verne a pravdivo zobrazili danú transakciu v účtovníctve podnikateľa.  Kľúčovým pre účtovné riešenie problematiky predaja, resp. kúpy podniku alebo jeho časti je pochopenie skutočnosti, že predaj a nákup podniku musíme vnímať ako transakciu s podnikom ako ekonomickým celkom, ktorý je predávaný resp. kupovaný za predajnú/kúpnu cenu stanovenú ako výsledok ponuky a dopytu po danom podniku. Racionálnym dôsledkom tejto skutočnosti je fakt, že v účtovníctve kupujúceho podnik sú jednotlivé položky majetku a záväzkov ocenené v reálnej hodnote, ktorá nahrádza obstarávaciu cenu pre jednotlivé položky, ktoré sú v účtovníctve samostatne sledované. Vo svojej podstate sa však daná transakcia významne nelíši od transakcie predaja, resp. kúpy jednotlivého majetku. Predaj podniku je výsledkovou transakciou, pričom kúpa podniku je súvahovou transakciou. </w:t>
      </w:r>
    </w:p>
    <w:p w:rsidR="005C3F63" w:rsidRDefault="006536E7">
      <w:pPr>
        <w:pStyle w:val="Kapitola"/>
        <w:rPr>
          <w:lang w:val="sk-SK"/>
        </w:rPr>
      </w:pPr>
      <w:r>
        <w:rPr>
          <w:lang w:val="sk-SK"/>
        </w:rPr>
        <w:t>Literárne zdroje a iné odkazy / References</w:t>
      </w:r>
    </w:p>
    <w:p w:rsidR="005C3F63" w:rsidRDefault="006536E7">
      <w:pPr>
        <w:pStyle w:val="aff"/>
        <w:jc w:val="both"/>
      </w:pPr>
      <w:r>
        <w:t xml:space="preserve">Bombor, T. (2019). Zmluva o predaji podniku z právneho hľadiska. </w:t>
      </w:r>
      <w:r>
        <w:rPr>
          <w:i/>
        </w:rPr>
        <w:t>Daňový a účtovný poradca podnikateľa</w:t>
      </w:r>
      <w:r>
        <w:t>, 19(1), s. 16-21.</w:t>
      </w:r>
    </w:p>
    <w:p w:rsidR="005C3F63" w:rsidRDefault="005C3F63">
      <w:pPr>
        <w:pStyle w:val="aff"/>
        <w:jc w:val="both"/>
      </w:pPr>
    </w:p>
    <w:p w:rsidR="005C3F63" w:rsidRDefault="006536E7">
      <w:pPr>
        <w:pStyle w:val="aff"/>
        <w:jc w:val="both"/>
      </w:pPr>
      <w:r>
        <w:t xml:space="preserve">Farkaš, R. (2008). </w:t>
      </w:r>
      <w:r>
        <w:rPr>
          <w:i/>
        </w:rPr>
        <w:t>Kombinácie podnikov (účtovné aspekty)</w:t>
      </w:r>
      <w:r>
        <w:t>, prvé vydanie. Bratislava:Iura Edition.</w:t>
      </w:r>
    </w:p>
    <w:p w:rsidR="005C3F63" w:rsidRDefault="005C3F63">
      <w:pPr>
        <w:pStyle w:val="aff"/>
        <w:jc w:val="both"/>
      </w:pPr>
    </w:p>
    <w:p w:rsidR="005C3F63" w:rsidRDefault="006536E7">
      <w:pPr>
        <w:pStyle w:val="aff"/>
        <w:jc w:val="both"/>
      </w:pPr>
      <w:r>
        <w:t>Juhászová, Z., Užík, J. (2014). Zákutia úpravy účtovníctva na Slovensku. In Marketing manažment, obchod a sociálne aspekty podnikania. In: Zborník recenzovaných príspevkov z 2. ročníka medzinárodnej vedeckej konferencie : Košice, 23. - 24. október 2014 [elektronický zdroj]. Bratislava : Vydavateľstvo EKONÓM,  s. 181-185 CD-ROM.</w:t>
      </w:r>
    </w:p>
    <w:p w:rsidR="005C3F63" w:rsidRDefault="005C3F63">
      <w:pPr>
        <w:pStyle w:val="aff"/>
        <w:jc w:val="both"/>
      </w:pPr>
    </w:p>
    <w:p w:rsidR="005C3F63" w:rsidRDefault="006536E7">
      <w:pPr>
        <w:pStyle w:val="aff"/>
        <w:jc w:val="both"/>
      </w:pPr>
      <w:r>
        <w:t>Pakšiová, R., Kubaščíková, Z. (2014). Risks of company´s non-realised profits distribution. In Managing and Modelling of Financial Risks. International scientific conference. Managing and Modelling of Financial Risks: 7th International Scientific Conference: 8th-9th September 2014 Ostrava, Czech Republic : proceedings. Ostrava : VŠB - Technical University of Ostrava, p. 598-605. Dostupné na internete: &lt;</w:t>
      </w:r>
      <w:hyperlink r:id="rId216" w:tgtFrame="_blank" w:history="1">
        <w:r>
          <w:rPr>
            <w:rStyle w:val="af9"/>
          </w:rPr>
          <w:t>http://www.ekf.vsb.cz/export/sites/ekf/rmfr/cs/sbornik/Sbornik_parts/Sbornik_II.dil.pdf</w:t>
        </w:r>
      </w:hyperlink>
      <w:r>
        <w:t>&gt;.</w:t>
      </w:r>
    </w:p>
    <w:p w:rsidR="005C3F63" w:rsidRDefault="005C3F63">
      <w:pPr>
        <w:pStyle w:val="aff"/>
        <w:jc w:val="both"/>
      </w:pPr>
    </w:p>
    <w:p w:rsidR="005C3F63" w:rsidRDefault="006536E7">
      <w:pPr>
        <w:pStyle w:val="aff"/>
        <w:jc w:val="both"/>
      </w:pPr>
      <w:r>
        <w:t>Pakšiová, R., Kubaščíková, Z. (2015). Business property of company and investments. In Annual conference on finance and accounting. Procedia economics and finance : 16th Annual conference on finance and Accounting, ACFA, Prague 2015, 29th May 2015 [elektronický zdroj]. - Holandsko : Elsevier B.V., 2015. p. 70-78 online. Dostupné na : &lt;</w:t>
      </w:r>
      <w:hyperlink r:id="rId217" w:tgtFrame="_blank" w:history="1">
        <w:r>
          <w:rPr>
            <w:rStyle w:val="af9"/>
          </w:rPr>
          <w:t>ftp://193.87.31.84/0210592/1-s2.0-S2212567115007145-main.pdf</w:t>
        </w:r>
      </w:hyperlink>
      <w:r>
        <w:t>&gt;.</w:t>
      </w:r>
    </w:p>
    <w:p w:rsidR="005C3F63" w:rsidRDefault="005C3F63">
      <w:pPr>
        <w:pStyle w:val="aff"/>
        <w:jc w:val="both"/>
      </w:pPr>
    </w:p>
    <w:p w:rsidR="005C3F63" w:rsidRDefault="006536E7">
      <w:pPr>
        <w:pStyle w:val="aff"/>
        <w:jc w:val="both"/>
      </w:pPr>
      <w:r>
        <w:t xml:space="preserve">Petrovická, I. (2019). Predaj podniku a základ dane u daňovníkov účtujúcich v podvojnom účtovníctve. </w:t>
      </w:r>
      <w:r>
        <w:rPr>
          <w:i/>
        </w:rPr>
        <w:t>Daňový a účtovný poradca podnikateľa</w:t>
      </w:r>
      <w:r>
        <w:t>, 19(1), s. 22-38.</w:t>
      </w:r>
    </w:p>
    <w:p w:rsidR="005C3F63" w:rsidRDefault="005C3F63">
      <w:pPr>
        <w:pStyle w:val="aff"/>
        <w:jc w:val="both"/>
      </w:pPr>
    </w:p>
    <w:p w:rsidR="005C3F63" w:rsidRDefault="006536E7">
      <w:pPr>
        <w:spacing w:after="120"/>
        <w:rPr>
          <w:rFonts w:ascii="Verdana" w:hAnsi="Verdana"/>
          <w:sz w:val="20"/>
          <w:szCs w:val="20"/>
        </w:rPr>
      </w:pPr>
      <w:r>
        <w:rPr>
          <w:rFonts w:ascii="Verdana" w:hAnsi="Verdana"/>
          <w:sz w:val="20"/>
          <w:szCs w:val="20"/>
        </w:rPr>
        <w:t xml:space="preserve">Tumpach, M., Manová, E., Meluchová, J. (2014). Relevantnosť národného podnikového finančného výkazníctva v Slovenskej republike z pohľadu veriteľov ako neprivilegovaných </w:t>
      </w:r>
      <w:r>
        <w:rPr>
          <w:rFonts w:ascii="Verdana" w:hAnsi="Verdana"/>
          <w:sz w:val="20"/>
          <w:szCs w:val="20"/>
        </w:rPr>
        <w:lastRenderedPageBreak/>
        <w:t xml:space="preserve">používateľov. In: </w:t>
      </w:r>
      <w:r>
        <w:rPr>
          <w:rFonts w:ascii="Verdana" w:hAnsi="Verdana"/>
          <w:iCs/>
          <w:sz w:val="20"/>
          <w:szCs w:val="20"/>
        </w:rPr>
        <w:t>Ekonomický časopis : časopis pre ekonomickú teóriu, hospodársku politiku, spoločensko-ekonomické prognózovanie.</w:t>
      </w:r>
      <w:r>
        <w:rPr>
          <w:rFonts w:ascii="Verdana" w:hAnsi="Verdana"/>
          <w:sz w:val="20"/>
          <w:szCs w:val="20"/>
        </w:rPr>
        <w:t xml:space="preserve"> Bratislava : Ekonomický ústav SAV : Prognostický ústav SAV, s. 495-507.</w:t>
      </w:r>
    </w:p>
    <w:p w:rsidR="005C3F63" w:rsidRDefault="006536E7">
      <w:pPr>
        <w:spacing w:after="120"/>
        <w:rPr>
          <w:rFonts w:ascii="Verdana" w:hAnsi="Verdana"/>
          <w:sz w:val="20"/>
          <w:szCs w:val="20"/>
        </w:rPr>
      </w:pPr>
      <w:r>
        <w:rPr>
          <w:rFonts w:ascii="Verdana" w:hAnsi="Verdana"/>
          <w:sz w:val="20"/>
          <w:szCs w:val="20"/>
        </w:rPr>
        <w:t xml:space="preserve">Tumpach, M., Užík, J., Juhászová, Z. (2014). Irregularities in accounting for provision in Slovakia. In: Managing and modelling of financial risks. International scientific conference. </w:t>
      </w:r>
      <w:r>
        <w:rPr>
          <w:rFonts w:ascii="Verdana" w:hAnsi="Verdana"/>
          <w:iCs/>
          <w:sz w:val="20"/>
          <w:szCs w:val="20"/>
        </w:rPr>
        <w:t>Managing and modelling of financial risks : proceedings : 7th international scientific conference : 8th - 9th september 2014, Ostrava, Czech Republic</w:t>
      </w:r>
      <w:r>
        <w:rPr>
          <w:rFonts w:ascii="Verdana" w:hAnsi="Verdana"/>
          <w:sz w:val="20"/>
          <w:szCs w:val="20"/>
        </w:rPr>
        <w:t xml:space="preserve"> [elektronický zdroj]. Ostrava : VŠB - Technical University of Ostrava, p. 824-831.</w:t>
      </w:r>
    </w:p>
    <w:p w:rsidR="005C3F63" w:rsidRDefault="006536E7">
      <w:pPr>
        <w:pStyle w:val="aff"/>
        <w:jc w:val="both"/>
      </w:pPr>
      <w:r>
        <w:t>Zákon č. 513/1991 Zb. Obchodný zákonník v znení neskorších predpisov.</w:t>
      </w:r>
    </w:p>
    <w:p w:rsidR="005C3F63" w:rsidRDefault="006536E7">
      <w:pPr>
        <w:pStyle w:val="aff"/>
        <w:jc w:val="both"/>
      </w:pPr>
      <w:r>
        <w:t>Zákon č. 431/2002 Z. z. o účtovníctve v znení neskorších predpisov.</w:t>
      </w:r>
    </w:p>
    <w:p w:rsidR="005C3F63" w:rsidRDefault="006536E7">
      <w:pPr>
        <w:pStyle w:val="aff"/>
        <w:jc w:val="both"/>
      </w:pPr>
      <w:r>
        <w:t>Opatrenie Ministerstva financií Slovenskej republiky č. 23054/2002-92 zo 16. decembra 2002, ktorým sa ustanovujú podrobnosti o postupoch účtovania a rámcovej účtovej osnove pre podnikateľov účtujúcich v sústave podvojného účtovníctva, v znení neskorších predpisov.</w:t>
      </w:r>
    </w:p>
    <w:p w:rsidR="005C3F63" w:rsidRDefault="006536E7">
      <w:pPr>
        <w:rPr>
          <w:rFonts w:eastAsia="MS Mincho"/>
          <w:kern w:val="2"/>
          <w:szCs w:val="24"/>
          <w:shd w:val="clear" w:color="auto" w:fill="FFFFFF"/>
          <w:lang w:val="sk-SK" w:eastAsia="ja-JP" w:bidi="ar-SA"/>
        </w:rPr>
      </w:pPr>
      <w:r>
        <w:rPr>
          <w:rFonts w:eastAsia="MS Mincho"/>
          <w:kern w:val="2"/>
          <w:szCs w:val="24"/>
          <w:shd w:val="clear" w:color="auto" w:fill="FFFFFF"/>
          <w:lang w:val="sk-SK" w:eastAsia="ja-JP" w:bidi="ar-SA"/>
        </w:rPr>
        <w:br w:type="page"/>
      </w:r>
    </w:p>
    <w:p w:rsidR="005C3F63" w:rsidRDefault="006536E7">
      <w:pPr>
        <w:pStyle w:val="1"/>
      </w:pPr>
      <w:bookmarkStart w:id="832" w:name="_Toc47951546"/>
      <w:r>
        <w:lastRenderedPageBreak/>
        <w:t>Amendments to IFRS 16 and conceptual underpinnings of financial reporting</w:t>
      </w:r>
      <w:bookmarkEnd w:id="832"/>
    </w:p>
    <w:p w:rsidR="005C3F63" w:rsidRDefault="006536E7">
      <w:pPr>
        <w:pStyle w:val="Autor"/>
      </w:pPr>
      <w:bookmarkStart w:id="833" w:name="_Toc47441642"/>
      <w:bookmarkStart w:id="834" w:name="_Toc47448075"/>
      <w:bookmarkStart w:id="835" w:name="_Toc47443683"/>
      <w:bookmarkStart w:id="836" w:name="_Toc47448333"/>
      <w:bookmarkStart w:id="837" w:name="_Toc47444455"/>
      <w:bookmarkStart w:id="838" w:name="_Toc47446720"/>
      <w:bookmarkStart w:id="839" w:name="_Toc47438995"/>
      <w:bookmarkStart w:id="840" w:name="_Toc47448211"/>
      <w:bookmarkStart w:id="841" w:name="_Toc47446118"/>
      <w:bookmarkStart w:id="842" w:name="_Toc47448628"/>
      <w:bookmarkStart w:id="843" w:name="_Toc47448856"/>
      <w:bookmarkStart w:id="844" w:name="_Toc47441522"/>
      <w:bookmarkStart w:id="845" w:name="_Toc47435467"/>
      <w:bookmarkStart w:id="846" w:name="_Toc47448129"/>
      <w:bookmarkStart w:id="847" w:name="_Toc47447993"/>
      <w:bookmarkStart w:id="848" w:name="_Toc47441709"/>
      <w:bookmarkStart w:id="849" w:name="_Toc47440123"/>
      <w:bookmarkStart w:id="850" w:name="_Toc47441222"/>
      <w:bookmarkStart w:id="851" w:name="_Toc47951389"/>
      <w:bookmarkStart w:id="852" w:name="_Toc47443582"/>
      <w:bookmarkStart w:id="853" w:name="_Toc47444298"/>
      <w:bookmarkStart w:id="854" w:name="_Toc47440895"/>
      <w:bookmarkStart w:id="855" w:name="_Toc47443450"/>
      <w:bookmarkStart w:id="856" w:name="_Toc47449331"/>
      <w:bookmarkStart w:id="857" w:name="_Toc47446378"/>
      <w:bookmarkStart w:id="858" w:name="_Toc47447174"/>
      <w:bookmarkStart w:id="859" w:name="_Toc47442702"/>
      <w:bookmarkStart w:id="860" w:name="_Toc47439805"/>
      <w:bookmarkStart w:id="861" w:name="_Toc47448573"/>
      <w:bookmarkStart w:id="862" w:name="_Toc47444147"/>
      <w:bookmarkStart w:id="863" w:name="_Toc47951547"/>
      <w:bookmarkStart w:id="864" w:name="_Toc47444612"/>
      <w:bookmarkStart w:id="865" w:name="_Toc47951482"/>
      <w:bookmarkStart w:id="866" w:name="_Toc47451172"/>
      <w:bookmarkStart w:id="867" w:name="_Toc47948751"/>
      <w:bookmarkStart w:id="868" w:name="_Toc47948812"/>
      <w:bookmarkStart w:id="869" w:name="_Toc47447939"/>
      <w:bookmarkStart w:id="870" w:name="_Toc47445966"/>
      <w:bookmarkStart w:id="871" w:name="_Toc47445743"/>
      <w:bookmarkStart w:id="872" w:name="_Toc47949010"/>
      <w:bookmarkStart w:id="873" w:name="_Toc47949324"/>
      <w:r>
        <w:rPr>
          <w:rStyle w:val="AutorChar"/>
          <w:b/>
        </w:rPr>
        <w:t>David Procházka</w:t>
      </w:r>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p>
    <w:p w:rsidR="005C3F63" w:rsidRDefault="006536E7">
      <w:pPr>
        <w:jc w:val="center"/>
        <w:rPr>
          <w:rFonts w:ascii="Verdana" w:hAnsi="Verdana"/>
          <w:sz w:val="18"/>
          <w:szCs w:val="18"/>
          <w:lang w:val="cs-CZ"/>
        </w:rPr>
      </w:pPr>
      <w:r>
        <w:rPr>
          <w:rFonts w:ascii="Verdana" w:hAnsi="Verdana"/>
          <w:sz w:val="18"/>
          <w:szCs w:val="18"/>
          <w:lang w:val="cs-CZ"/>
        </w:rPr>
        <w:t>University of Economics, Prague</w:t>
      </w:r>
    </w:p>
    <w:p w:rsidR="005C3F63" w:rsidRDefault="006536E7">
      <w:pPr>
        <w:jc w:val="center"/>
        <w:rPr>
          <w:rFonts w:ascii="Verdana" w:hAnsi="Verdana"/>
          <w:sz w:val="18"/>
          <w:szCs w:val="18"/>
          <w:lang w:val="cs-CZ"/>
        </w:rPr>
      </w:pPr>
      <w:r>
        <w:rPr>
          <w:rFonts w:ascii="Verdana" w:hAnsi="Verdana"/>
          <w:sz w:val="18"/>
          <w:szCs w:val="18"/>
          <w:lang w:val="cs-CZ"/>
        </w:rPr>
        <w:t>Faculty of Finance and Accounting, Department of Financial Accounting and Auditing</w:t>
      </w:r>
    </w:p>
    <w:p w:rsidR="005C3F63" w:rsidRDefault="006536E7">
      <w:pPr>
        <w:jc w:val="center"/>
        <w:rPr>
          <w:rFonts w:ascii="Verdana" w:hAnsi="Verdana"/>
          <w:sz w:val="18"/>
          <w:szCs w:val="18"/>
          <w:lang w:val="cs-CZ"/>
        </w:rPr>
      </w:pPr>
      <w:r>
        <w:rPr>
          <w:rFonts w:ascii="Verdana" w:hAnsi="Verdana"/>
          <w:sz w:val="18"/>
          <w:szCs w:val="18"/>
          <w:lang w:val="cs-CZ"/>
        </w:rPr>
        <w:t>Nam. W. Churchilla 4, Praha 130 67, Czech Republic</w:t>
      </w:r>
    </w:p>
    <w:p w:rsidR="005C3F63" w:rsidRDefault="006536E7">
      <w:pPr>
        <w:jc w:val="center"/>
        <w:rPr>
          <w:rFonts w:ascii="Verdana" w:hAnsi="Verdana"/>
          <w:sz w:val="18"/>
          <w:szCs w:val="18"/>
          <w:lang w:val="en-GB"/>
        </w:rPr>
      </w:pPr>
      <w:r>
        <w:rPr>
          <w:rFonts w:ascii="Verdana" w:hAnsi="Verdana"/>
          <w:sz w:val="18"/>
          <w:szCs w:val="18"/>
          <w:lang w:val="cs-CZ"/>
        </w:rPr>
        <w:t>E-mail: prochazd@vse.cz</w:t>
      </w:r>
    </w:p>
    <w:p w:rsidR="005C3F63" w:rsidRDefault="005C3F63">
      <w:pPr>
        <w:jc w:val="center"/>
        <w:rPr>
          <w:rFonts w:ascii="Verdana" w:hAnsi="Verdana"/>
          <w:sz w:val="18"/>
          <w:szCs w:val="18"/>
          <w:lang w:val="en-GB"/>
        </w:rPr>
      </w:pPr>
    </w:p>
    <w:p w:rsidR="005C3F63" w:rsidRDefault="005C3F63">
      <w:pPr>
        <w:rPr>
          <w:rFonts w:ascii="Verdana" w:hAnsi="Verdana"/>
          <w:sz w:val="22"/>
          <w:lang w:val="en-GB"/>
        </w:rPr>
      </w:pPr>
    </w:p>
    <w:p w:rsidR="005C3F63" w:rsidRDefault="006536E7">
      <w:pPr>
        <w:spacing w:after="120"/>
        <w:rPr>
          <w:rFonts w:ascii="Verdana" w:hAnsi="Verdana"/>
          <w:i/>
          <w:sz w:val="20"/>
          <w:szCs w:val="20"/>
          <w:lang w:val="sk-SK"/>
        </w:rPr>
      </w:pPr>
      <w:r>
        <w:rPr>
          <w:rFonts w:ascii="Verdana" w:hAnsi="Verdana"/>
          <w:b/>
          <w:i/>
          <w:sz w:val="20"/>
          <w:szCs w:val="20"/>
          <w:lang w:val="sk-SK"/>
        </w:rPr>
        <w:t xml:space="preserve">Abstract: </w:t>
      </w:r>
      <w:r>
        <w:rPr>
          <w:rFonts w:ascii="Verdana" w:hAnsi="Verdana"/>
          <w:i/>
          <w:sz w:val="20"/>
          <w:szCs w:val="20"/>
          <w:lang w:val="en-GB"/>
        </w:rPr>
        <w:t xml:space="preserve">As an reaction to COVID-19 pandemics, the IASB issued Amendments to IFRS 16, containing a practical relief in lessee accounting for rent concessions. Even though the Amendments considerably reduce the administrative costs incurred in preparing financial statements, it has several drawbacks. The most significant ones relate to the issue of comparability and principle-based nature of IFRS. Furthermore, the users express concerns that long-term credibility and high-quality of IFRS can be endangered by one-off prompt changes. The paper discusses these views, referring to the findings of research related to the lobbying of accounting standard-setting and conceptual underpinning of financial reporting.  </w:t>
      </w:r>
    </w:p>
    <w:p w:rsidR="005C3F63" w:rsidRDefault="006536E7">
      <w:pPr>
        <w:spacing w:after="120"/>
        <w:rPr>
          <w:rFonts w:ascii="Verdana" w:hAnsi="Verdana"/>
          <w:i/>
          <w:sz w:val="20"/>
          <w:szCs w:val="20"/>
          <w:lang w:val="sk-SK"/>
        </w:rPr>
      </w:pPr>
      <w:r>
        <w:rPr>
          <w:rFonts w:ascii="Verdana" w:hAnsi="Verdana"/>
          <w:b/>
          <w:i/>
          <w:sz w:val="20"/>
          <w:szCs w:val="20"/>
          <w:lang w:val="sk-SK"/>
        </w:rPr>
        <w:t>Keywords:</w:t>
      </w:r>
      <w:r>
        <w:rPr>
          <w:rFonts w:ascii="Verdana" w:hAnsi="Verdana"/>
          <w:i/>
          <w:sz w:val="20"/>
          <w:szCs w:val="20"/>
          <w:lang w:val="sk-SK"/>
        </w:rPr>
        <w:t xml:space="preserve"> IFRS 16; rent concessions; lessee accounting; lobbying</w:t>
      </w:r>
    </w:p>
    <w:p w:rsidR="005C3F63" w:rsidRDefault="006536E7">
      <w:pPr>
        <w:pStyle w:val="04-Anotacijostekstas"/>
        <w:spacing w:before="0" w:after="120"/>
        <w:ind w:left="0" w:right="-284"/>
        <w:jc w:val="left"/>
        <w:rPr>
          <w:rFonts w:ascii="Verdana" w:hAnsi="Verdana"/>
          <w:i/>
          <w:lang w:val="sk-SK"/>
        </w:rPr>
      </w:pPr>
      <w:r>
        <w:rPr>
          <w:rFonts w:ascii="Verdana" w:hAnsi="Verdana"/>
          <w:i/>
          <w:lang w:val="sk-SK"/>
        </w:rPr>
        <w:t>JEL codes: M41</w:t>
      </w:r>
    </w:p>
    <w:p w:rsidR="005C3F63" w:rsidRDefault="006536E7">
      <w:pPr>
        <w:pStyle w:val="Kapitola"/>
        <w:rPr>
          <w:lang w:val="sk-SK"/>
        </w:rPr>
      </w:pPr>
      <w:r>
        <w:rPr>
          <w:rStyle w:val="KapitolaChar"/>
          <w:b/>
          <w:bCs/>
          <w:lang w:val="sk-SK"/>
        </w:rPr>
        <w:t>1 Úvod</w:t>
      </w:r>
    </w:p>
    <w:p w:rsidR="005C3F63" w:rsidRDefault="006536E7">
      <w:pPr>
        <w:spacing w:after="120"/>
        <w:rPr>
          <w:rFonts w:ascii="Verdana" w:hAnsi="Verdana"/>
          <w:sz w:val="20"/>
          <w:szCs w:val="20"/>
          <w:lang w:val="cs-CZ"/>
        </w:rPr>
      </w:pPr>
      <w:r>
        <w:rPr>
          <w:rFonts w:ascii="Verdana" w:hAnsi="Verdana"/>
          <w:sz w:val="20"/>
          <w:szCs w:val="20"/>
          <w:lang w:val="cs-CZ"/>
        </w:rPr>
        <w:t xml:space="preserve">Ekonomické důsledky pandemie COVID-19 mají a budou mít dopady na účetní závěrky podniků. Tento článek si klade za cíl posoudit reakci institucí, které regulují účetní výkaznictví veřejně obchodovaných společností na evropských burzách, na aktuální vývoj ve vztahu k dlouhodobě udržitelné vysoké kvalitě účetního výkaznictví. Konkrétně bude předmětem analýzy činnost IASB, a to na příkladu standardu IFRS 16. Článek je organizován následovně. Po úvodní kapitole je ve stručnosti představen obsah Dodatku k IFRS 16, který řeší účetní řešení nájemních koncesí na straně nájemce. Třetí kapitola diskutuje vhodnost této úpravy, která poskytuje nájemcům praktickou úlevu po přechodnou dobu, v kontextu cílů účetního výkaznictví. Poslední kapitola shrnuje poznatky.  </w:t>
      </w:r>
    </w:p>
    <w:p w:rsidR="005C3F63" w:rsidRDefault="006536E7">
      <w:pPr>
        <w:spacing w:before="240" w:after="120"/>
        <w:jc w:val="left"/>
        <w:rPr>
          <w:rFonts w:ascii="Verdana" w:hAnsi="Verdana" w:cs="Arial"/>
          <w:bCs/>
          <w:kern w:val="32"/>
          <w:sz w:val="18"/>
          <w:szCs w:val="18"/>
          <w:lang w:val="cs-CZ" w:eastAsia="cs-CZ" w:bidi="ar-SA"/>
        </w:rPr>
      </w:pPr>
      <w:r>
        <w:rPr>
          <w:rStyle w:val="KapitolaChar"/>
          <w:lang w:val="cs-CZ"/>
        </w:rPr>
        <w:t>2 Metodologie a data</w:t>
      </w:r>
    </w:p>
    <w:p w:rsidR="005C3F63" w:rsidRDefault="006536E7">
      <w:pPr>
        <w:spacing w:after="120"/>
        <w:rPr>
          <w:rFonts w:ascii="Verdana" w:hAnsi="Verdana"/>
          <w:sz w:val="20"/>
          <w:szCs w:val="20"/>
          <w:lang w:val="cs-CZ"/>
        </w:rPr>
      </w:pPr>
      <w:r>
        <w:rPr>
          <w:rFonts w:ascii="Verdana" w:hAnsi="Verdana"/>
          <w:sz w:val="20"/>
          <w:szCs w:val="20"/>
          <w:lang w:val="cs-CZ"/>
        </w:rPr>
        <w:t xml:space="preserve">Dne 28. května 2020 vydala IASB Dodatek k IFRS 16 (v originále </w:t>
      </w:r>
      <w:r>
        <w:rPr>
          <w:rFonts w:ascii="Verdana" w:hAnsi="Verdana"/>
          <w:i/>
          <w:iCs/>
          <w:sz w:val="20"/>
          <w:szCs w:val="20"/>
          <w:lang w:val="cs-CZ"/>
        </w:rPr>
        <w:t>Covid-19-Related Rent Concessions: Amendments to IFRS 16</w:t>
      </w:r>
      <w:r>
        <w:rPr>
          <w:rFonts w:ascii="Verdana" w:hAnsi="Verdana"/>
          <w:sz w:val="20"/>
          <w:szCs w:val="20"/>
          <w:lang w:val="cs-CZ"/>
        </w:rPr>
        <w:t xml:space="preserve">), který poskytuje nájemcům praktickou úlevu při účetním řešení nájemních koncesí (angl. „rent concessions“), mezi které patří např. odpuštění nájemného či odklad plateb v čase. Sleva na nájemném či odklad platby nájemného obecně představuje událost, s kterou původní text IFRS 16 počítal a která zakládá povinnost účetní jednotce posoudit, zda nedošlo ke změně leasingové smlouvy (angl. lease modification – viz IFRS16.44–46). Jestliže se jedná o změnu smlouvy, účetní jednotka musí přepočítat současnou hodnotu leasingového závazku (na základě aktualizovaného splátkového kalendáře a nově zjištěné diskontní sazby) a provést úpravu ocenění aktiva práva užití (Right-of-Use). </w:t>
      </w:r>
    </w:p>
    <w:p w:rsidR="005C3F63" w:rsidRDefault="006536E7">
      <w:pPr>
        <w:spacing w:after="120"/>
        <w:rPr>
          <w:rFonts w:ascii="Verdana" w:hAnsi="Verdana"/>
          <w:sz w:val="20"/>
          <w:szCs w:val="20"/>
          <w:lang w:val="cs-CZ"/>
        </w:rPr>
      </w:pPr>
      <w:r>
        <w:rPr>
          <w:rFonts w:ascii="Verdana" w:hAnsi="Verdana"/>
          <w:sz w:val="20"/>
          <w:szCs w:val="20"/>
          <w:lang w:val="cs-CZ"/>
        </w:rPr>
        <w:t xml:space="preserve">IASB vydáním Dodatku doplnila odstavce 46A a 46B, které umožňují nájemci rozhodnout, že nebude posuzovat, zda nájemní koncese představuje změnu leasingové smlouvy. Využije-li tuto praktickou úlevu, zachytí změny v leasingových platbách stejným způsobem, jako kdyby se jednalo změnu, která nekonstituje modifikaci leasingové smlouvy. V případě odpuštěného nájemného se užije analogický postup jako u negativních variabilních leasingových plateb podle IFRS16.38, tj. odúčtování části leasingového závazku do zisku za období (postup v souladu s IFR9.3.3.1). V případě odložených plateb nájemného se aplikuje IFRS16.36, tj. standardní navyšování </w:t>
      </w:r>
      <w:r>
        <w:rPr>
          <w:rFonts w:ascii="Verdana" w:hAnsi="Verdana"/>
          <w:sz w:val="20"/>
          <w:szCs w:val="20"/>
          <w:lang w:val="cs-CZ"/>
        </w:rPr>
        <w:lastRenderedPageBreak/>
        <w:t>leasingového závazku o naběhlý úrokový náklad a snižování leasingového závazku při úhradě splátky. IFRS16.46B stanovuje tři podmínky pro využití praktické úlevy:</w:t>
      </w:r>
    </w:p>
    <w:p w:rsidR="005C3F63" w:rsidRDefault="006536E7">
      <w:pPr>
        <w:pStyle w:val="afd"/>
        <w:spacing w:after="120"/>
        <w:ind w:hanging="360"/>
        <w:rPr>
          <w:rFonts w:ascii="Verdana" w:hAnsi="Verdana"/>
          <w:sz w:val="20"/>
          <w:szCs w:val="20"/>
          <w:lang w:val="cs-CZ"/>
        </w:rPr>
      </w:pPr>
      <w:r>
        <w:rPr>
          <w:rFonts w:ascii="Verdana" w:hAnsi="Verdana"/>
          <w:sz w:val="20"/>
          <w:szCs w:val="20"/>
          <w:lang w:val="cs-CZ"/>
        </w:rPr>
        <w:t>•</w:t>
      </w:r>
      <w:r>
        <w:rPr>
          <w:rFonts w:ascii="Verdana" w:hAnsi="Verdana"/>
          <w:sz w:val="20"/>
          <w:szCs w:val="20"/>
          <w:lang w:val="cs-CZ"/>
        </w:rPr>
        <w:tab/>
        <w:t>změna nájemného musí být takové povahy, že protihodnota v leasingu je po změně stejná nebo nižší než těsně před změnou (tj. jsou vyloučeny takové změny, který by navyšovaly hodnotu leasingového závazku s výjimkou efektu časové hodnoty peněz);</w:t>
      </w:r>
    </w:p>
    <w:p w:rsidR="005C3F63" w:rsidRDefault="006536E7">
      <w:pPr>
        <w:pStyle w:val="afd"/>
        <w:spacing w:after="120"/>
        <w:ind w:hanging="360"/>
        <w:rPr>
          <w:rFonts w:ascii="Verdana" w:hAnsi="Verdana"/>
          <w:sz w:val="20"/>
          <w:szCs w:val="20"/>
          <w:lang w:val="cs-CZ"/>
        </w:rPr>
      </w:pPr>
      <w:r>
        <w:rPr>
          <w:rFonts w:ascii="Verdana" w:hAnsi="Verdana"/>
          <w:sz w:val="20"/>
          <w:szCs w:val="20"/>
          <w:lang w:val="cs-CZ"/>
        </w:rPr>
        <w:t>•</w:t>
      </w:r>
      <w:r>
        <w:rPr>
          <w:rFonts w:ascii="Verdana" w:hAnsi="Verdana"/>
          <w:sz w:val="20"/>
          <w:szCs w:val="20"/>
          <w:lang w:val="cs-CZ"/>
        </w:rPr>
        <w:tab/>
        <w:t>jakékoliv snížení leasingových splátek se týká pouze plateb s původní splatností nejpozději do 30. června 2021;</w:t>
      </w:r>
    </w:p>
    <w:p w:rsidR="005C3F63" w:rsidRDefault="006536E7">
      <w:pPr>
        <w:pStyle w:val="afd"/>
        <w:spacing w:after="120"/>
        <w:ind w:hanging="360"/>
        <w:rPr>
          <w:rFonts w:ascii="Verdana" w:hAnsi="Verdana"/>
          <w:sz w:val="20"/>
          <w:szCs w:val="20"/>
          <w:lang w:val="cs-CZ"/>
        </w:rPr>
      </w:pPr>
      <w:r>
        <w:rPr>
          <w:rFonts w:ascii="Verdana" w:hAnsi="Verdana"/>
          <w:sz w:val="20"/>
          <w:szCs w:val="20"/>
          <w:lang w:val="cs-CZ"/>
        </w:rPr>
        <w:t>•</w:t>
      </w:r>
      <w:r>
        <w:rPr>
          <w:rFonts w:ascii="Verdana" w:hAnsi="Verdana"/>
          <w:sz w:val="20"/>
          <w:szCs w:val="20"/>
          <w:lang w:val="cs-CZ"/>
        </w:rPr>
        <w:tab/>
        <w:t>nedochází k žádným dalším významným úpravám leasingové smlouvy.</w:t>
      </w:r>
    </w:p>
    <w:p w:rsidR="005C3F63" w:rsidRDefault="006536E7">
      <w:pPr>
        <w:spacing w:after="120"/>
        <w:rPr>
          <w:rFonts w:ascii="Verdana" w:hAnsi="Verdana"/>
          <w:sz w:val="20"/>
          <w:szCs w:val="20"/>
          <w:lang w:val="cs-CZ"/>
        </w:rPr>
      </w:pPr>
      <w:r>
        <w:rPr>
          <w:rFonts w:ascii="Verdana" w:hAnsi="Verdana"/>
          <w:sz w:val="20"/>
          <w:szCs w:val="20"/>
          <w:lang w:val="cs-CZ"/>
        </w:rPr>
        <w:t>Dle textu IASB je Dodatek účinný od 1. června 2020 s možností dřívější aplikace. V kontextu regulace účetního výkaznictví v EU je nutné, aby změna proběhla schvalovacím mechanismem (tzv. endorsement process). EFRAG urychlil přípravu Endorsement Advice pro Evropskou komisi; dokument byl vydán dne 2.  června 2020. Accounting Regulatory Committee schválil doporučení EFRAGu dne 2. července 2020 a chybí tedy již jen poslední krok ve schvalovacím mechanismu – schválení Evropským parlamentem a Radou EU. Protože ale účetní jednotky už pracují na mezitímních účetních závěrkách za první pololetí 2020, případně na závěrkách ročních s rozvahovým dnem např. 30. 6. 2020, přistoupil European Securities and Market Authority (ESMA), tj. Evropský orgán pro cenné papíry a trhy, který reguluje účetnictví veřejně obchodovaných společností, k poměrně nestandardnímu kroku. Bylo vydáno opatření</w:t>
      </w:r>
      <w:r>
        <w:rPr>
          <w:rStyle w:val="af8"/>
          <w:rFonts w:ascii="Verdana" w:hAnsi="Verdana"/>
          <w:sz w:val="20"/>
          <w:szCs w:val="20"/>
          <w:lang w:val="cs-CZ"/>
        </w:rPr>
        <w:footnoteReference w:id="1"/>
      </w:r>
      <w:r>
        <w:rPr>
          <w:rFonts w:ascii="Verdana" w:hAnsi="Verdana"/>
          <w:sz w:val="20"/>
          <w:szCs w:val="20"/>
          <w:lang w:val="cs-CZ"/>
        </w:rPr>
        <w:t xml:space="preserve"> za účelem koordinace dohledových orgánů, na základě, kterého nemají národní dohledové orgány podnikat regulatorní kroky, jestliže účetní jednotky aplikují Dodatek k IFRS 16 (přesně dle textu schváleného IASB), přestože pro potřeby EU nebyl proces jeho schválení formálně úspěšně dokončen.</w:t>
      </w:r>
    </w:p>
    <w:p w:rsidR="005C3F63" w:rsidRDefault="006536E7">
      <w:pPr>
        <w:pStyle w:val="Kapitola"/>
        <w:rPr>
          <w:sz w:val="20"/>
          <w:szCs w:val="20"/>
          <w:lang w:val="cs-CZ"/>
        </w:rPr>
      </w:pPr>
      <w:r>
        <w:rPr>
          <w:szCs w:val="22"/>
          <w:lang w:val="cs-CZ"/>
        </w:rPr>
        <w:t>3 Výsledky a diskuse</w:t>
      </w:r>
    </w:p>
    <w:p w:rsidR="005C3F63" w:rsidRDefault="006536E7">
      <w:pPr>
        <w:spacing w:after="120"/>
        <w:rPr>
          <w:rFonts w:ascii="Verdana" w:hAnsi="Verdana"/>
          <w:sz w:val="20"/>
          <w:szCs w:val="20"/>
          <w:lang w:val="cs-CZ"/>
        </w:rPr>
      </w:pPr>
      <w:r>
        <w:rPr>
          <w:rFonts w:ascii="Verdana" w:hAnsi="Verdana"/>
          <w:sz w:val="20"/>
          <w:szCs w:val="20"/>
          <w:lang w:val="cs-CZ"/>
        </w:rPr>
        <w:t>Vydání Dodatku k IFRS 16 ze strany IASB se zdá být logickou reakcí na bezprecedentní ekonomické dopady pandemie COVID-19 a jejího dopadu na uzavřené nájemní smlouvy. Jedním z nástrojů řešení důsledků jsou totiž i úpravy nájemních smluv ve formě odpuštění nájemného, slev na nájemném, odkladů plateb apod., a to jak na individuální bázi mezi nájemcem a pronajímatelem, tak ale i na celonárodní úrovni. V kontextu původního textu IFRS 16 by nájemci museli všechny tyto úpravy smluv posuzovat individuálně, což by zejména u jednotek z oblasti maloobchodu znamenalo posuzování velkého množství smluv. Identifikace, zda smlouva je modifikována, je spíše založena na právní než ekonomické kvalifikaci, a je nutné mj. posoudit, zda smlouva či obecné právní předpisy obsahují ustanovení, která řeší změny smluv v důsledku pandemie (explicitně, nebo např. s odkazem na vyšší moc apod.). Vlastní posouzení se navíc může lišit napříč státy, právě z důvodu různorodosti národních právních rámců. Dodatek přináší účetním jednotkám významnou administrativní úlevu a snížení nákladů na přípravu informací do účetní závěrky. Současně může odstranit nekonzistence v posouzení, zda došlo, či nedošlo k modifikaci smluv nejen napříč jednotkami, ale dokonce i uvnitř jednotky, bude-li úleva účetními jednotkami využívána.</w:t>
      </w:r>
    </w:p>
    <w:p w:rsidR="005C3F63" w:rsidRDefault="006536E7">
      <w:pPr>
        <w:spacing w:after="120"/>
        <w:rPr>
          <w:rFonts w:ascii="Verdana" w:hAnsi="Verdana"/>
          <w:sz w:val="20"/>
          <w:szCs w:val="20"/>
          <w:lang w:val="cs-CZ"/>
        </w:rPr>
      </w:pPr>
      <w:r>
        <w:rPr>
          <w:rFonts w:ascii="Verdana" w:hAnsi="Verdana"/>
          <w:sz w:val="20"/>
          <w:szCs w:val="20"/>
          <w:lang w:val="cs-CZ"/>
        </w:rPr>
        <w:t xml:space="preserve">Lze ovšem nalézt i koncepční protiargumenty, proč vydání Dodatku není vhodné z dlouhodobé perspektivy účetního výkaznictví. IFRS jsou propracovaným účetním systémem určeným pro účetní jednotky s komplexním podnikatelským modelem. Vlastní proces tvorby standardů je formalizovaný a transparentní tak, aby se všechny zainteresované subjekty mohly rovnocenně vyjádřit k obsahu připravovaných standardů. Aktivní účast zainteresovaných subjektů zaručuje legitimitu procesu </w:t>
      </w:r>
      <w:r>
        <w:rPr>
          <w:rFonts w:ascii="Verdana" w:hAnsi="Verdana"/>
          <w:sz w:val="20"/>
          <w:szCs w:val="20"/>
          <w:lang w:val="cs-CZ"/>
        </w:rPr>
        <w:fldChar w:fldCharType="begin"/>
      </w:r>
      <w:r>
        <w:rPr>
          <w:rFonts w:ascii="Verdana" w:hAnsi="Verdana"/>
          <w:sz w:val="20"/>
          <w:szCs w:val="20"/>
          <w:lang w:val="cs-CZ"/>
        </w:rPr>
        <w:instrText xml:space="preserve"> ADDIN ZOTERO_ITEM CSL_CITATION {"citationID":"AM3s34V2","properties":{"formattedCitation":"(Durocher &amp; Fortin, 2011)","plainCitation":"(Durocher &amp; Fortin, 2011)","noteIndex":0},"citationItems":[{"id":431,"uris":["http://zotero.org/users/1103647/items/GE8ENBG3"],"uri":["http://zotero.org/users/1103647/items/GE8ENBG3"],"itemData":{"id":431,"type":"article-journal","container-title":"Accounting and Business Research","ISSN":"00014788","issue":"1","page":"29-50","title":"Practitioners' Participation in the Accounting Standard-Setting Process","volume":"41","author":[{"family":"Durocher","given":"Sylvain"},{"family":"Fortin","given":"Anne"}],"issued":{"date-parts":[["2011"]]}}}],"schema":"https://github.com/citation-style-language/schema/raw/master/csl-citation.json"} </w:instrText>
      </w:r>
      <w:r>
        <w:rPr>
          <w:rFonts w:ascii="Verdana" w:hAnsi="Verdana"/>
          <w:sz w:val="20"/>
          <w:szCs w:val="20"/>
          <w:lang w:val="cs-CZ"/>
        </w:rPr>
        <w:fldChar w:fldCharType="separate"/>
      </w:r>
      <w:r>
        <w:rPr>
          <w:rFonts w:ascii="Verdana" w:hAnsi="Verdana"/>
          <w:sz w:val="20"/>
          <w:lang w:val="cs-CZ"/>
        </w:rPr>
        <w:t>(Durocher &amp; Fortin, 2011)</w:t>
      </w:r>
      <w:r>
        <w:rPr>
          <w:rFonts w:ascii="Verdana" w:hAnsi="Verdana"/>
          <w:sz w:val="20"/>
          <w:szCs w:val="20"/>
          <w:lang w:val="cs-CZ"/>
        </w:rPr>
        <w:fldChar w:fldCharType="end"/>
      </w:r>
      <w:r>
        <w:rPr>
          <w:rFonts w:ascii="Verdana" w:hAnsi="Verdana"/>
          <w:sz w:val="20"/>
          <w:szCs w:val="20"/>
          <w:lang w:val="cs-CZ"/>
        </w:rPr>
        <w:t xml:space="preserve"> a odpovídá-li text standardu obecným východiskům a cílům Koncepčního rámce, poskytuje užitečné informace pro uživatele. Přestože pandemie COVID-19 má unikátní a obecně nepředvídané ekonomické důsledky, dílčí standardy mají nástroje, jak řešit tyto dopady (např. vyhodnocení předpokladu trvání účetní jednotky dle IAS 1, nevýhodné </w:t>
      </w:r>
      <w:r>
        <w:rPr>
          <w:rFonts w:ascii="Verdana" w:hAnsi="Verdana"/>
          <w:sz w:val="20"/>
          <w:szCs w:val="20"/>
          <w:lang w:val="cs-CZ"/>
        </w:rPr>
        <w:lastRenderedPageBreak/>
        <w:t xml:space="preserve">smlouvy dle IAS 37, znehodnocení finančních aktiv dle IFRS 9, znehodnocení hmotných a nehmotných aktiv dle IAS 36 či modifikace smluv dle IFRS 9 či IFRS 16). Síla argumentu, že je prakticky náročné přepočítávat dopad nájemních koncesí na smlouvy, u kterých IFRS 16 zavedl nový model teprve od 1. ledna 2019, je proto v tomto kontextu oslaben. Adekvátní implementace nového standardu si žádá kromě úpravy srovnávacích informací (příp. výpočtu dopadu na nerozdělené zisky k počátku období přechodu, není-li úplná retrospektivní aplikace vyžadována) i nastavení vnitřních IT systémů pro plnění požadavků nového standardu. Jinými slovy, nájemní koncese nejsou novou skutečností, která se objevila až v důsledku pandemie (byť jejich rozsah je neporovnatelný), ale jedná se o běžnou součást obchodního vyjednávání i v „normálních“ podmínkách a zodpovědná účetní jednotka je systémově připravena takové úpravy promítnout. </w:t>
      </w:r>
    </w:p>
    <w:p w:rsidR="005C3F63" w:rsidRDefault="006536E7">
      <w:pPr>
        <w:spacing w:after="120"/>
        <w:rPr>
          <w:rFonts w:ascii="Verdana" w:hAnsi="Verdana"/>
          <w:sz w:val="20"/>
          <w:szCs w:val="20"/>
          <w:lang w:val="cs-CZ"/>
        </w:rPr>
      </w:pPr>
      <w:r>
        <w:rPr>
          <w:rFonts w:ascii="Verdana" w:hAnsi="Verdana"/>
          <w:sz w:val="20"/>
          <w:szCs w:val="20"/>
          <w:lang w:val="cs-CZ"/>
        </w:rPr>
        <w:t xml:space="preserve">Tlak připravovatelů účetních závěrek, aby IASB zmírnila požadavky na promítnutí změn, je tedy spíše motivován nepřipraveností anebo snahou dosáhnout příhodnějšího účetního řešení. IASB či regulatorní orgány, které zprostředkovávají zájmy regulovaných podniků vůči IASB nepřímo, se ocitají pod silným tlakem „něco udělat“, aby nebyly obviňovány z nečinnosti. Regulované subjekty (tj. podniky) využívají různé strategie založené na argumentech „obecného blaha“ </w:t>
      </w:r>
      <w:r>
        <w:rPr>
          <w:rFonts w:ascii="Verdana" w:hAnsi="Verdana"/>
          <w:sz w:val="20"/>
          <w:szCs w:val="20"/>
          <w:lang w:val="cs-CZ"/>
        </w:rPr>
        <w:fldChar w:fldCharType="begin"/>
      </w:r>
      <w:r>
        <w:rPr>
          <w:rFonts w:ascii="Verdana" w:hAnsi="Verdana"/>
          <w:sz w:val="20"/>
          <w:szCs w:val="20"/>
          <w:lang w:val="cs-CZ"/>
        </w:rPr>
        <w:instrText xml:space="preserve"> ADDIN ZOTERO_ITEM CSL_CITATION {"citationID":"fPznNc1P","properties":{"formattedCitation":"(Victor, 2007)","plainCitation":"(Victor, 2007)","noteIndex":0},"citationItems":[{"id":1712,"uris":["http://zotero.org/users/1103647/items/ZLJ5J8LS"],"uri":["http://zotero.org/users/1103647/items/ZLJ5J8LS"],"itemData":{"id":1712,"type":"article-journal","container-title":"American Politics Research","DOI":"10.1177/1532673X07300681","ISSN":"15523373","issue":"6","page":"826-845","source":"CrossRef","title":"Strategic Lobbying: Demonstrating How Legislative Context Affects Interest Groups' Lobbying Tactics","volume":"35","author":[{"family":"Victor","given":"Jennifer Nicoll"}],"issued":{"date-parts":[["2007"]]}}}],"schema":"https://github.com/citation-style-language/schema/raw/master/csl-citation.json"} </w:instrText>
      </w:r>
      <w:r>
        <w:rPr>
          <w:rFonts w:ascii="Verdana" w:hAnsi="Verdana"/>
          <w:sz w:val="20"/>
          <w:szCs w:val="20"/>
          <w:lang w:val="cs-CZ"/>
        </w:rPr>
        <w:fldChar w:fldCharType="separate"/>
      </w:r>
      <w:r>
        <w:rPr>
          <w:rFonts w:ascii="Verdana" w:hAnsi="Verdana"/>
          <w:sz w:val="20"/>
          <w:lang w:val="cs-CZ"/>
        </w:rPr>
        <w:t>(Victor, 2007)</w:t>
      </w:r>
      <w:r>
        <w:rPr>
          <w:rFonts w:ascii="Verdana" w:hAnsi="Verdana"/>
          <w:sz w:val="20"/>
          <w:szCs w:val="20"/>
          <w:lang w:val="cs-CZ"/>
        </w:rPr>
        <w:fldChar w:fldCharType="end"/>
      </w:r>
      <w:r>
        <w:rPr>
          <w:rFonts w:ascii="Verdana" w:hAnsi="Verdana"/>
          <w:sz w:val="20"/>
          <w:szCs w:val="20"/>
          <w:lang w:val="cs-CZ"/>
        </w:rPr>
        <w:t>, v tomto případě za účelem zmírnění dopadů pandemie na účetní výkaznictví. Požadavky podniků bývají často vyslyšeny, přestože uživatelé s jednorázovými, časově omezenými, změnami nesouhlasí, a to ani s odůvodněním mimořádné ekonomické situace. Takové kroky chápou jako podkopávaní důvěryhodnosti kvality IFRS.</w:t>
      </w:r>
      <w:r>
        <w:rPr>
          <w:rStyle w:val="af8"/>
          <w:rFonts w:ascii="Verdana" w:hAnsi="Verdana"/>
          <w:sz w:val="20"/>
          <w:szCs w:val="20"/>
          <w:lang w:val="cs-CZ"/>
        </w:rPr>
        <w:footnoteReference w:id="2"/>
      </w:r>
      <w:r>
        <w:rPr>
          <w:rFonts w:ascii="Verdana" w:hAnsi="Verdana"/>
          <w:sz w:val="20"/>
          <w:szCs w:val="20"/>
          <w:lang w:val="cs-CZ"/>
        </w:rPr>
        <w:t xml:space="preserve"> Důvodem, proč IASB a obecně tvůrci standardů těmto tlakům podléhají, je soustředěnější úsilí připravovatelů účetní závěrek, které mají větší motivaci se „lobbování“ účastnit a případné změny prosazovat a komentovat, jak vyplývá z předchozího výzkumu </w:t>
      </w:r>
      <w:r>
        <w:rPr>
          <w:rFonts w:ascii="Verdana" w:hAnsi="Verdana"/>
          <w:sz w:val="20"/>
          <w:szCs w:val="20"/>
          <w:lang w:val="cs-CZ"/>
        </w:rPr>
        <w:fldChar w:fldCharType="begin"/>
      </w:r>
      <w:r>
        <w:rPr>
          <w:rFonts w:ascii="Verdana" w:hAnsi="Verdana"/>
          <w:sz w:val="20"/>
          <w:szCs w:val="20"/>
          <w:lang w:val="cs-CZ"/>
        </w:rPr>
        <w:instrText xml:space="preserve"> ADDIN ZOTERO_ITEM CSL_CITATION {"citationID":"EIGwa1AS","properties":{"formattedCitation":"(Jorissen et al., 2012)","plainCitation":"(Jorissen et al., 2012)","dontUpdate":true,"noteIndex":0},"citationItems":[{"id":880,"uris":["http://zotero.org/users/1103647/items/ZB5ETU7H"],"uri":["http://zotero.org/users/1103647/items/ZB5ETU7H"],"itemData":{"id":880,"type":"article-journal","container-title":"European Accounting Review","DOI":"10.1080/09638180.2010.522775","ISSN":"09638180","issue":"4","page":"693-729","source":"CrossRef","title":"Formal Participation in the IASB's Due Process of Standard Setting: A Multi-issue/Multi-period Analysis","volume":"21","author":[{"family":"Jorissen","given":"Ann"},{"family":"Lybaert","given":"Nadine"},{"family":"Orens","given":"Raf"},{"family":"Van Der Tas","given":"Leo"}],"issued":{"date-parts":[["2012"]]}}}],"schema":"https://github.com/citation-style-language/schema/raw/master/csl-citation.json"} </w:instrText>
      </w:r>
      <w:r>
        <w:rPr>
          <w:rFonts w:ascii="Verdana" w:hAnsi="Verdana"/>
          <w:sz w:val="20"/>
          <w:szCs w:val="20"/>
          <w:lang w:val="cs-CZ"/>
        </w:rPr>
        <w:fldChar w:fldCharType="separate"/>
      </w:r>
      <w:r>
        <w:rPr>
          <w:rFonts w:ascii="Verdana" w:hAnsi="Verdana"/>
          <w:sz w:val="20"/>
          <w:lang w:val="cs-CZ"/>
        </w:rPr>
        <w:t>(Jorissen et al., 2012</w:t>
      </w:r>
      <w:r>
        <w:rPr>
          <w:rFonts w:ascii="Verdana" w:hAnsi="Verdana"/>
          <w:sz w:val="20"/>
          <w:szCs w:val="20"/>
          <w:lang w:val="cs-CZ"/>
        </w:rPr>
        <w:fldChar w:fldCharType="end"/>
      </w:r>
      <w:r>
        <w:rPr>
          <w:rFonts w:ascii="Verdana" w:hAnsi="Verdana"/>
          <w:sz w:val="20"/>
          <w:szCs w:val="20"/>
          <w:lang w:val="cs-CZ"/>
        </w:rPr>
        <w:t xml:space="preserve">; </w:t>
      </w:r>
      <w:r>
        <w:rPr>
          <w:rFonts w:ascii="Verdana" w:hAnsi="Verdana"/>
          <w:sz w:val="20"/>
          <w:szCs w:val="20"/>
          <w:lang w:val="cs-CZ"/>
        </w:rPr>
        <w:fldChar w:fldCharType="begin"/>
      </w:r>
      <w:r>
        <w:rPr>
          <w:rFonts w:ascii="Verdana" w:hAnsi="Verdana"/>
          <w:sz w:val="20"/>
          <w:szCs w:val="20"/>
          <w:lang w:val="cs-CZ"/>
        </w:rPr>
        <w:instrText xml:space="preserve"> ADDIN ZOTERO_ITEM CSL_CITATION {"citationID":"wlsU6LFG","properties":{"formattedCitation":"(Proch\\uc0\\u225{}zka, 2015)","plainCitation":"(Procházka, 2015)","dontUpdate":true,"noteIndex":0},"citationItems":[{"id":135,"uris":["http://zotero.org/users/1103647/items/5H7HG5S4"],"uri":["http://zotero.org/users/1103647/items/5H7HG5S4"],"itemData":{"id":135,"type":"article-journal","container-title":"Copernican Journal of Finance &amp; Accounting","DOI":"10.12775/CJFA.2015.020","ISSN":"23003065","issue":"2","page":"129","source":"CrossRef","title":"Lobbying on the IASB Standards: An Analysis of the Lobbyists’ Behaviour over Period 2006–2014","volume":"4","author":[{"family":"Procházka","given":"David"}],"issued":{"date-parts":[["2015"]]}}}],"schema":"https://github.com/citation-style-language/schema/raw/master/csl-citation.json"} </w:instrText>
      </w:r>
      <w:r>
        <w:rPr>
          <w:rFonts w:ascii="Verdana" w:hAnsi="Verdana"/>
          <w:sz w:val="20"/>
          <w:szCs w:val="20"/>
          <w:lang w:val="cs-CZ"/>
        </w:rPr>
        <w:fldChar w:fldCharType="separate"/>
      </w:r>
      <w:r>
        <w:rPr>
          <w:rFonts w:ascii="Verdana" w:hAnsi="Verdana"/>
          <w:sz w:val="20"/>
          <w:szCs w:val="24"/>
          <w:lang w:val="cs-CZ"/>
        </w:rPr>
        <w:t>Procházka, 2015)</w:t>
      </w:r>
      <w:r>
        <w:rPr>
          <w:rFonts w:ascii="Verdana" w:hAnsi="Verdana"/>
          <w:sz w:val="20"/>
          <w:szCs w:val="20"/>
          <w:lang w:val="cs-CZ"/>
        </w:rPr>
        <w:fldChar w:fldCharType="end"/>
      </w:r>
      <w:r>
        <w:rPr>
          <w:rFonts w:ascii="Verdana" w:hAnsi="Verdana"/>
          <w:sz w:val="20"/>
          <w:szCs w:val="20"/>
          <w:lang w:val="cs-CZ"/>
        </w:rPr>
        <w:t xml:space="preserve"> i z počtu komentářů k návrhu Dodatku k IFRS 16 (ze 114 comment letters jich bylo od uživatelů pouhých 5). Soustředěné úsilí podniků vytváří „reálný problém“, jehož řešení se obvykle přibližuje preferencím těchto subjektů. Je zřejmé, že i proces identifikace problému, který vedl ke schválení Dodatku k IFRS 16, nepochybně naplňuje znaky „politického“ procesu </w:t>
      </w:r>
      <w:r>
        <w:rPr>
          <w:rFonts w:ascii="Verdana" w:hAnsi="Verdana"/>
          <w:sz w:val="20"/>
          <w:szCs w:val="20"/>
          <w:lang w:val="cs-CZ"/>
        </w:rPr>
        <w:fldChar w:fldCharType="begin"/>
      </w:r>
      <w:r>
        <w:rPr>
          <w:rFonts w:ascii="Verdana" w:hAnsi="Verdana"/>
          <w:sz w:val="20"/>
          <w:szCs w:val="20"/>
          <w:lang w:val="cs-CZ"/>
        </w:rPr>
        <w:instrText xml:space="preserve"> ADDIN ZOTERO_ITEM CSL_CITATION {"citationID":"IbjXwgqh","properties":{"formattedCitation":"(Perry &amp; N\\uc0\\u246{}lke, 2006)","plainCitation":"(Perry &amp; Nölke, 2006)","noteIndex":0},"citationItems":[{"id":157,"uris":["http://zotero.org/users/1103647/items/692JSGWK"],"uri":["http://zotero.org/users/1103647/items/692JSGWK"],"itemData":{"id":157,"type":"article-journal","container-title":"Review of International Political Economy","ISSN":"09692290","issue":"4","page":"559-586","title":"The Political Economy of International Accounting Standards","volume":"13","author":[{"family":"Perry","given":"James"},{"family":"Nölke","given":"Andreas"}],"issued":{"date-parts":[["2006"]]}}}],"schema":"https://github.com/citation-style-language/schema/raw/master/csl-citation.json"} </w:instrText>
      </w:r>
      <w:r>
        <w:rPr>
          <w:rFonts w:ascii="Verdana" w:hAnsi="Verdana"/>
          <w:sz w:val="20"/>
          <w:szCs w:val="20"/>
          <w:lang w:val="cs-CZ"/>
        </w:rPr>
        <w:fldChar w:fldCharType="separate"/>
      </w:r>
      <w:r>
        <w:rPr>
          <w:rFonts w:ascii="Verdana" w:hAnsi="Verdana"/>
          <w:sz w:val="20"/>
          <w:szCs w:val="24"/>
          <w:lang w:val="cs-CZ"/>
        </w:rPr>
        <w:t>(Perry &amp; Nölke, 2006)</w:t>
      </w:r>
      <w:r>
        <w:rPr>
          <w:rFonts w:ascii="Verdana" w:hAnsi="Verdana"/>
          <w:sz w:val="20"/>
          <w:szCs w:val="20"/>
          <w:lang w:val="cs-CZ"/>
        </w:rPr>
        <w:fldChar w:fldCharType="end"/>
      </w:r>
      <w:r>
        <w:rPr>
          <w:rFonts w:ascii="Verdana" w:hAnsi="Verdana"/>
          <w:sz w:val="20"/>
          <w:szCs w:val="20"/>
          <w:lang w:val="cs-CZ"/>
        </w:rPr>
        <w:t xml:space="preserve">, </w:t>
      </w:r>
      <w:r>
        <w:rPr>
          <w:rFonts w:ascii="Verdana" w:hAnsi="Verdana"/>
          <w:sz w:val="20"/>
          <w:szCs w:val="20"/>
          <w:lang w:val="cs-CZ"/>
        </w:rPr>
        <w:fldChar w:fldCharType="begin"/>
      </w:r>
      <w:r>
        <w:rPr>
          <w:rFonts w:ascii="Verdana" w:hAnsi="Verdana"/>
          <w:sz w:val="20"/>
          <w:szCs w:val="20"/>
          <w:lang w:val="cs-CZ"/>
        </w:rPr>
        <w:instrText xml:space="preserve"> ADDIN ZOTERO_ITEM CSL_CITATION {"citationID":"YGuyq8wx","properties":{"formattedCitation":"(K\\uc0\\u246{}nigsgruber, 2010)","plainCitation":"(Königsgruber, 2010)","noteIndex":0},"citationItems":[{"id":749,"uris":["http://zotero.org/users/1103647/items/TDZ9VURV"],"uri":["http://zotero.org/users/1103647/items/TDZ9VURV"],"itemData":{"id":749,"type":"article-journal","container-title":"Journal of Management &amp; Governance","DOI":"10.1007/s10997-009-9101-1","ISSN":"13853457","issue":"4","page":"277-295","title":"A Political Economy of Accounting Standard Setting","volume":"14","author":[{"family":"Königsgruber","given":"Roland"}],"issued":{"date-parts":[["2010"]]}}}],"schema":"https://github.com/citation-style-language/schema/raw/master/csl-citation.json"} </w:instrText>
      </w:r>
      <w:r>
        <w:rPr>
          <w:rFonts w:ascii="Verdana" w:hAnsi="Verdana"/>
          <w:sz w:val="20"/>
          <w:szCs w:val="20"/>
          <w:lang w:val="cs-CZ"/>
        </w:rPr>
        <w:fldChar w:fldCharType="separate"/>
      </w:r>
      <w:r>
        <w:rPr>
          <w:rFonts w:ascii="Verdana" w:hAnsi="Verdana"/>
          <w:sz w:val="20"/>
          <w:szCs w:val="24"/>
          <w:lang w:val="cs-CZ"/>
        </w:rPr>
        <w:t>(Königsgruber, 2010)</w:t>
      </w:r>
      <w:r>
        <w:rPr>
          <w:rFonts w:ascii="Verdana" w:hAnsi="Verdana"/>
          <w:sz w:val="20"/>
          <w:szCs w:val="20"/>
          <w:lang w:val="cs-CZ"/>
        </w:rPr>
        <w:fldChar w:fldCharType="end"/>
      </w:r>
      <w:r>
        <w:rPr>
          <w:rFonts w:ascii="Verdana" w:hAnsi="Verdana"/>
          <w:sz w:val="20"/>
          <w:szCs w:val="20"/>
          <w:lang w:val="cs-CZ"/>
        </w:rPr>
        <w:t xml:space="preserve">, </w:t>
      </w:r>
      <w:r>
        <w:rPr>
          <w:rFonts w:ascii="Verdana" w:hAnsi="Verdana"/>
          <w:sz w:val="20"/>
          <w:szCs w:val="20"/>
          <w:lang w:val="cs-CZ"/>
        </w:rPr>
        <w:fldChar w:fldCharType="begin"/>
      </w:r>
      <w:r>
        <w:rPr>
          <w:rFonts w:ascii="Verdana" w:hAnsi="Verdana"/>
          <w:sz w:val="20"/>
          <w:szCs w:val="20"/>
          <w:lang w:val="cs-CZ"/>
        </w:rPr>
        <w:instrText xml:space="preserve"> ADDIN ZOTERO_ITEM CSL_CITATION {"citationID":"wxEvVuQf","properties":{"formattedCitation":"(Gipper et al., 2013)","plainCitation":"(Gipper et al., 2013)","noteIndex":0},"citationItems":[{"id":187,"uris":["http://zotero.org/users/1103647/items/7CW6UB4T"],"uri":["http://zotero.org/users/1103647/items/7CW6UB4T"],"itemData":{"id":187,"type":"article-journal","container-title":"Australian Journal of Management","ISSN":"0312-8962","issue":"3","page":"523–551","source":"Google Scholar","title":"The Politics of Accounting Standard-Setting: A Review of Empirical Research","volume":"38","author":[{"family":"Gipper","given":"Brandon"},{"family":"Lombardi","given":"Brett J."},{"family":"Skinner","given":"Douglas J."}],"issued":{"date-parts":[["2013"]]}}}],"schema":"https://github.com/citation-style-language/schema/raw/master/csl-citation.json"} </w:instrText>
      </w:r>
      <w:r>
        <w:rPr>
          <w:rFonts w:ascii="Verdana" w:hAnsi="Verdana"/>
          <w:sz w:val="20"/>
          <w:szCs w:val="20"/>
          <w:lang w:val="cs-CZ"/>
        </w:rPr>
        <w:fldChar w:fldCharType="separate"/>
      </w:r>
      <w:r>
        <w:rPr>
          <w:rFonts w:ascii="Verdana" w:hAnsi="Verdana"/>
          <w:sz w:val="20"/>
          <w:lang w:val="cs-CZ"/>
        </w:rPr>
        <w:t>(Gipper et al., 2013)</w:t>
      </w:r>
      <w:r>
        <w:rPr>
          <w:rFonts w:ascii="Verdana" w:hAnsi="Verdana"/>
          <w:sz w:val="20"/>
          <w:szCs w:val="20"/>
          <w:lang w:val="cs-CZ"/>
        </w:rPr>
        <w:fldChar w:fldCharType="end"/>
      </w:r>
      <w:r>
        <w:rPr>
          <w:rFonts w:ascii="Verdana" w:hAnsi="Verdana"/>
          <w:sz w:val="20"/>
          <w:szCs w:val="20"/>
          <w:lang w:val="cs-CZ"/>
        </w:rPr>
        <w:t xml:space="preserve">, kdy převažují zájmy podniků </w:t>
      </w:r>
      <w:r>
        <w:rPr>
          <w:rFonts w:ascii="Verdana" w:hAnsi="Verdana"/>
          <w:sz w:val="20"/>
          <w:szCs w:val="20"/>
          <w:lang w:val="cs-CZ"/>
        </w:rPr>
        <w:fldChar w:fldCharType="begin"/>
      </w:r>
      <w:r>
        <w:rPr>
          <w:rFonts w:ascii="Verdana" w:hAnsi="Verdana"/>
          <w:sz w:val="20"/>
          <w:szCs w:val="20"/>
          <w:lang w:val="cs-CZ"/>
        </w:rPr>
        <w:instrText xml:space="preserve"> ADDIN ZOTERO_ITEM CSL_CITATION {"citationID":"E5VAowb6","properties":{"formattedCitation":"(Kenny &amp; Larson, 1995)","plainCitation":"(Kenny &amp; Larson, 1995)","noteIndex":0},"citationItems":[{"id":676,"uris":["http://zotero.org/users/1103647/items/QASDIRR7"],"uri":["http://zotero.org/users/1103647/items/QASDIRR7"],"itemData":{"id":676,"type":"article-journal","container-title":"International Journal of Accounting","ISSN":"10944060","issue":"4","page":"283-301","title":"The Development of International Accounting Standards: An Analysis of Constituent Participation in Standard-Setting","volume":"30","author":[{"family":"Kenny","given":"Sara York"},{"family":"Larson","given":"Robert K."}],"issued":{"date-parts":[["1995"]]}}}],"schema":"https://github.com/citation-style-language/schema/raw/master/csl-citation.json"} </w:instrText>
      </w:r>
      <w:r>
        <w:rPr>
          <w:rFonts w:ascii="Verdana" w:hAnsi="Verdana"/>
          <w:sz w:val="20"/>
          <w:szCs w:val="20"/>
          <w:lang w:val="cs-CZ"/>
        </w:rPr>
        <w:fldChar w:fldCharType="separate"/>
      </w:r>
      <w:r>
        <w:rPr>
          <w:rFonts w:ascii="Verdana" w:hAnsi="Verdana"/>
          <w:sz w:val="20"/>
          <w:lang w:val="cs-CZ"/>
        </w:rPr>
        <w:t>(Kenny &amp; Larson, 1995)</w:t>
      </w:r>
      <w:r>
        <w:rPr>
          <w:rFonts w:ascii="Verdana" w:hAnsi="Verdana"/>
          <w:sz w:val="20"/>
          <w:szCs w:val="20"/>
          <w:lang w:val="cs-CZ"/>
        </w:rPr>
        <w:fldChar w:fldCharType="end"/>
      </w:r>
      <w:r>
        <w:rPr>
          <w:rFonts w:ascii="Verdana" w:hAnsi="Verdana"/>
          <w:sz w:val="20"/>
          <w:szCs w:val="20"/>
          <w:lang w:val="cs-CZ"/>
        </w:rPr>
        <w:t xml:space="preserve">, </w:t>
      </w:r>
      <w:r>
        <w:rPr>
          <w:rFonts w:ascii="Verdana" w:hAnsi="Verdana"/>
          <w:sz w:val="20"/>
          <w:szCs w:val="20"/>
          <w:lang w:val="cs-CZ"/>
        </w:rPr>
        <w:fldChar w:fldCharType="begin"/>
      </w:r>
      <w:r>
        <w:rPr>
          <w:rFonts w:ascii="Verdana" w:hAnsi="Verdana"/>
          <w:sz w:val="20"/>
          <w:szCs w:val="20"/>
          <w:lang w:val="cs-CZ"/>
        </w:rPr>
        <w:instrText xml:space="preserve"> ADDIN ZOTERO_ITEM CSL_CITATION {"citationID":"f32JkEqo","properties":{"formattedCitation":"(Weetman et al., 1996)","plainCitation":"(Weetman et al., 1996)","noteIndex":0},"citationItems":[{"id":647,"uris":["http://zotero.org/users/1103647/items/PCGZH6KA"],"uri":["http://zotero.org/users/1103647/items/PCGZH6KA"],"itemData":{"id":647,"type":"article-journal","container-title":"Accounting, Auditing &amp; Accountability Journal","DOI":"10.1108/09513579610109978","ISSN":"09513574","issue":"1","page":"59-76","title":"Lobbying on Accounting Issues: Preparer/User Imbalance in the Case of the Operating and Financial Review","volume":"9","author":[{"family":"Weetman","given":"P."},{"family":"Davie","given":"E.S."},{"family":"Collins","given":"W."}],"issued":{"date-parts":[["1996"]]}}}],"schema":"https://github.com/citation-style-language/schema/raw/master/csl-citation.json"} </w:instrText>
      </w:r>
      <w:r>
        <w:rPr>
          <w:rFonts w:ascii="Verdana" w:hAnsi="Verdana"/>
          <w:sz w:val="20"/>
          <w:szCs w:val="20"/>
          <w:lang w:val="cs-CZ"/>
        </w:rPr>
        <w:fldChar w:fldCharType="separate"/>
      </w:r>
      <w:r>
        <w:rPr>
          <w:rFonts w:ascii="Verdana" w:hAnsi="Verdana"/>
          <w:sz w:val="20"/>
          <w:lang w:val="cs-CZ"/>
        </w:rPr>
        <w:t>(Weetman et al., 1996)</w:t>
      </w:r>
      <w:r>
        <w:rPr>
          <w:rFonts w:ascii="Verdana" w:hAnsi="Verdana"/>
          <w:sz w:val="20"/>
          <w:szCs w:val="20"/>
          <w:lang w:val="cs-CZ"/>
        </w:rPr>
        <w:fldChar w:fldCharType="end"/>
      </w:r>
      <w:r>
        <w:rPr>
          <w:rFonts w:ascii="Verdana" w:hAnsi="Verdana"/>
          <w:sz w:val="20"/>
          <w:szCs w:val="20"/>
          <w:lang w:val="cs-CZ"/>
        </w:rPr>
        <w:t>.</w:t>
      </w:r>
    </w:p>
    <w:p w:rsidR="005C3F63" w:rsidRDefault="006536E7">
      <w:pPr>
        <w:spacing w:after="120"/>
        <w:rPr>
          <w:rFonts w:ascii="Verdana" w:hAnsi="Verdana"/>
          <w:sz w:val="20"/>
          <w:szCs w:val="20"/>
          <w:lang w:val="cs-CZ"/>
        </w:rPr>
      </w:pPr>
      <w:r>
        <w:rPr>
          <w:rFonts w:ascii="Verdana" w:hAnsi="Verdana"/>
          <w:sz w:val="20"/>
          <w:szCs w:val="20"/>
          <w:lang w:val="cs-CZ"/>
        </w:rPr>
        <w:t>V neposlední řadě je nutné upozornit, že IASB částečně aplikovala rules-based přístup místo obvyklého principle-based přístupu. Existenci pravidla lze identifikovat v případě omezující podmínky, že volba zjednodušeného zobrazení je přípustná jen u těch slev na nájemném, které jsou přímým důsledkem aktuální pandemie COVID-19 a které se týkají plateb do konce června 2021. Bude-li nájemní koncese poskytnuta na další období, poté účetní jednotka zjednodušené účetní řešení zvolit nesmí, a to ani na část smlouvy a na celou úpravu nájemného bude nutné aplikovat postupy pro modifikaci leasingu. Pravidlo časového testu má zamezit tomu, aby účetní jednotky ve vzdálených účetních obdobích neprohlašovaly nové koncese za pokračující důsledek současné pandemie a nesnižovala se tak srovnatelnost účetních závěrek v budoucnosti. Na druhou stranu lze těžko akceptovat hrozící významnou nesrovnatelnost</w:t>
      </w:r>
      <w:r>
        <w:rPr>
          <w:rStyle w:val="af8"/>
          <w:rFonts w:ascii="Verdana" w:hAnsi="Verdana"/>
          <w:sz w:val="20"/>
          <w:szCs w:val="20"/>
          <w:lang w:val="cs-CZ"/>
        </w:rPr>
        <w:footnoteReference w:id="3"/>
      </w:r>
      <w:r>
        <w:rPr>
          <w:rFonts w:ascii="Verdana" w:hAnsi="Verdana"/>
          <w:sz w:val="20"/>
          <w:szCs w:val="20"/>
          <w:lang w:val="cs-CZ"/>
        </w:rPr>
        <w:t xml:space="preserve"> účetních závěrek za roky 2020 a 2021, u kterých lze předpokládat zásadní ekonomické dopady pandemie a u kterých tedy budou uživatelé obzvláště potřebovat věrné informace, aby mohli vyhodnotit dopady na finanční pozici a výkonnost podniků. Význam této připomínky je zesílen i implicitním přiznáním </w:t>
      </w:r>
      <w:r>
        <w:rPr>
          <w:rFonts w:ascii="Verdana" w:hAnsi="Verdana"/>
          <w:sz w:val="20"/>
          <w:szCs w:val="20"/>
          <w:lang w:val="cs-CZ"/>
        </w:rPr>
        <w:lastRenderedPageBreak/>
        <w:t>IASB, že by o Dodatku nebylo uvažováno, kdyby se pandemie objevila o rok později (či datum účinnosti IFRS 16 by byl o rok dříve).</w:t>
      </w:r>
    </w:p>
    <w:p w:rsidR="005C3F63" w:rsidRDefault="006536E7">
      <w:pPr>
        <w:pStyle w:val="Kapitola"/>
        <w:rPr>
          <w:lang w:val="cs-CZ"/>
        </w:rPr>
      </w:pPr>
      <w:r>
        <w:rPr>
          <w:lang w:val="cs-CZ"/>
        </w:rPr>
        <w:t>Závěr</w:t>
      </w:r>
    </w:p>
    <w:p w:rsidR="005C3F63" w:rsidRDefault="006536E7">
      <w:pPr>
        <w:spacing w:after="120"/>
        <w:rPr>
          <w:rFonts w:ascii="Verdana" w:hAnsi="Verdana"/>
          <w:sz w:val="20"/>
          <w:szCs w:val="20"/>
          <w:lang w:val="cs-CZ"/>
        </w:rPr>
      </w:pPr>
      <w:r>
        <w:rPr>
          <w:rFonts w:ascii="Verdana" w:hAnsi="Verdana"/>
          <w:sz w:val="20"/>
          <w:szCs w:val="20"/>
          <w:lang w:val="cs-CZ"/>
        </w:rPr>
        <w:t>Článek se zabýval Dodatkem k IFRS 16, kterým IASB promptně reagovala na poptávku firem zjednodušit účetní výkaznictví na straně nájemce v důsledku rozsáhlých úprav nájemních smluv o koncese. Nájemní koncese jako jedno opatření proti negativním ekonomickým důsledkům pandemie COVID-19 má konsekvence i účetní, které řeší Dodatkem i IASB. V diskuzní části se článek věnoval identifikaci možných negativních dopadů této jednorázové změny ve vztahu ke koncepčním východiskům IFRS a obecné snahy vytvářet vysoce kvalitní, dlouhodobě důvěryhodné standardy. Zatímco Dodatek k IFRS 16 lze z pohledu uživatelů považovat za diskutabilní až kontraproduktivní, je nutné zmínit, že celková reakce IASB na pandemii obsahuje i několik pozitivních kroků.</w:t>
      </w:r>
    </w:p>
    <w:p w:rsidR="005C3F63" w:rsidRDefault="006536E7">
      <w:pPr>
        <w:spacing w:after="120"/>
        <w:rPr>
          <w:rFonts w:ascii="Verdana" w:hAnsi="Verdana"/>
          <w:sz w:val="20"/>
          <w:szCs w:val="20"/>
          <w:lang w:val="cs-CZ"/>
        </w:rPr>
      </w:pPr>
      <w:r>
        <w:rPr>
          <w:rFonts w:ascii="Verdana" w:hAnsi="Verdana"/>
          <w:sz w:val="20"/>
          <w:szCs w:val="20"/>
          <w:lang w:val="cs-CZ"/>
        </w:rPr>
        <w:t>Primárně došlo k úpravě harmonogramu prací tak, aby časově citlivé projekty (zejména IBOR reforma 2. fáze a dodatky k IFRS 17) byly schváleny včas</w:t>
      </w:r>
      <w:r>
        <w:rPr>
          <w:rStyle w:val="af8"/>
          <w:rFonts w:ascii="Verdana" w:hAnsi="Verdana"/>
          <w:sz w:val="20"/>
          <w:szCs w:val="20"/>
          <w:lang w:val="cs-CZ"/>
        </w:rPr>
        <w:footnoteReference w:id="4"/>
      </w:r>
      <w:r>
        <w:rPr>
          <w:rFonts w:ascii="Verdana" w:hAnsi="Verdana"/>
          <w:sz w:val="20"/>
          <w:szCs w:val="20"/>
          <w:lang w:val="cs-CZ"/>
        </w:rPr>
        <w:t xml:space="preserve"> a naopak u projektů, u kterých není nutná okamžitá akce, byly prodlouženy lhůty pro veřejné připomínkování. Kromě úpravy harmonogramu prací IASB též vydala doplňkové výkladové materiály. Klíčovým je materiál, který se zabývá aplikací modelu očekávaných ztrát pro potřeby IFRS 9.</w:t>
      </w:r>
      <w:r>
        <w:rPr>
          <w:rStyle w:val="af8"/>
          <w:rFonts w:ascii="Verdana" w:hAnsi="Verdana"/>
          <w:sz w:val="20"/>
          <w:szCs w:val="20"/>
          <w:lang w:val="cs-CZ"/>
        </w:rPr>
        <w:footnoteReference w:id="5"/>
      </w:r>
      <w:r>
        <w:rPr>
          <w:rFonts w:ascii="Verdana" w:hAnsi="Verdana"/>
          <w:sz w:val="20"/>
          <w:szCs w:val="20"/>
          <w:lang w:val="cs-CZ"/>
        </w:rPr>
        <w:t xml:space="preserve"> Materiál nemění ustanovení standardu, „pouze“ osvětluje, jak jednotlivé požadavky na testování znehodnocení finančních aktiv úvěrového charakteru naplnit tak, aby byly uživatelům poskytnuté užitečné informace odrážející ekonomickou situaci dlužníků. Opatření k aplikaci modelu očekávaných ztrát vydaly i ESMA</w:t>
      </w:r>
      <w:r>
        <w:rPr>
          <w:rStyle w:val="af8"/>
          <w:rFonts w:ascii="Verdana" w:hAnsi="Verdana"/>
          <w:sz w:val="20"/>
          <w:szCs w:val="20"/>
          <w:lang w:val="cs-CZ"/>
        </w:rPr>
        <w:footnoteReference w:id="6"/>
      </w:r>
      <w:r>
        <w:rPr>
          <w:rFonts w:ascii="Verdana" w:hAnsi="Verdana"/>
          <w:sz w:val="20"/>
          <w:szCs w:val="20"/>
          <w:lang w:val="cs-CZ"/>
        </w:rPr>
        <w:t xml:space="preserve"> či EBA.</w:t>
      </w:r>
      <w:r>
        <w:rPr>
          <w:rStyle w:val="af8"/>
          <w:rFonts w:ascii="Verdana" w:hAnsi="Verdana"/>
          <w:sz w:val="20"/>
          <w:szCs w:val="20"/>
          <w:lang w:val="cs-CZ"/>
        </w:rPr>
        <w:footnoteReference w:id="7"/>
      </w:r>
      <w:r>
        <w:rPr>
          <w:rFonts w:ascii="Verdana" w:hAnsi="Verdana"/>
          <w:sz w:val="20"/>
          <w:szCs w:val="20"/>
          <w:lang w:val="cs-CZ"/>
        </w:rPr>
        <w:t xml:space="preserve"> Podpora srovnatelné aplikace požadavků standardů, např. formou edukativních a jiných výkladových materiálů, je z dlouhodobého hlediska účinnějším nástrojem pro zvyšování kvality a důvěryhodnosti účetního výkaznictví než jednorázové změny reagující na aktuální ekonomické problémy, byť významné. Takový přístup může u firem vytvářet nepřiměřená očekávání, že i v budoucnu budou obdobné kroky učiněny. Současně to může zvyšovat motivaci ze strany připravovatelů účetních závěrek zapojovat se do procesu veřejného připomínkování s cílem prosadit své vlastní partikulární zájmy na úkor uživatelů, kdy rozsáhlý výzkum indikuje úspěšnost těchto snah.   </w:t>
      </w:r>
    </w:p>
    <w:p w:rsidR="005C3F63" w:rsidRDefault="006536E7">
      <w:pPr>
        <w:pStyle w:val="afd"/>
        <w:spacing w:after="120"/>
        <w:ind w:left="0"/>
        <w:contextualSpacing w:val="0"/>
        <w:rPr>
          <w:rFonts w:ascii="Verdana" w:hAnsi="Verdana"/>
          <w:sz w:val="20"/>
          <w:szCs w:val="20"/>
          <w:lang w:val="cs-CZ"/>
        </w:rPr>
      </w:pPr>
      <w:r>
        <w:rPr>
          <w:rFonts w:ascii="Verdana" w:hAnsi="Verdana"/>
          <w:sz w:val="20"/>
          <w:szCs w:val="20"/>
          <w:lang w:val="cs-CZ"/>
        </w:rPr>
        <w:t xml:space="preserve"> </w:t>
      </w:r>
    </w:p>
    <w:p w:rsidR="005C3F63" w:rsidRDefault="006536E7">
      <w:pPr>
        <w:pStyle w:val="Kapitola"/>
        <w:rPr>
          <w:lang w:val="cs-CZ"/>
        </w:rPr>
      </w:pPr>
      <w:r>
        <w:rPr>
          <w:lang w:val="cs-CZ"/>
        </w:rPr>
        <w:t>Příslušnost ke grantové úloze</w:t>
      </w:r>
    </w:p>
    <w:p w:rsidR="005C3F63" w:rsidRDefault="006536E7">
      <w:pPr>
        <w:spacing w:after="120"/>
        <w:rPr>
          <w:rFonts w:ascii="Verdana" w:hAnsi="Verdana"/>
          <w:sz w:val="20"/>
          <w:szCs w:val="20"/>
          <w:lang w:val="cs-CZ"/>
        </w:rPr>
      </w:pPr>
      <w:r>
        <w:rPr>
          <w:rFonts w:ascii="Verdana" w:hAnsi="Verdana"/>
          <w:sz w:val="20"/>
          <w:szCs w:val="20"/>
          <w:lang w:val="cs-CZ"/>
        </w:rPr>
        <w:t xml:space="preserve">Tento článek vznikl jako jeden z výstupů projektu Institucionální podpory na Fakultě financí a účetnictví VŠE v Praze. </w:t>
      </w:r>
    </w:p>
    <w:p w:rsidR="005C3F63" w:rsidRDefault="006536E7">
      <w:pPr>
        <w:pStyle w:val="Kapitola"/>
        <w:rPr>
          <w:lang w:val="cs-CZ"/>
        </w:rPr>
      </w:pPr>
      <w:r>
        <w:rPr>
          <w:lang w:val="cs-CZ"/>
        </w:rPr>
        <w:t>Literatura</w:t>
      </w:r>
    </w:p>
    <w:p w:rsidR="005C3F63" w:rsidRDefault="006536E7">
      <w:pPr>
        <w:pStyle w:val="12"/>
        <w:spacing w:before="120" w:after="120"/>
        <w:rPr>
          <w:rFonts w:ascii="Verdana" w:hAnsi="Verdana"/>
          <w:sz w:val="20"/>
        </w:rPr>
      </w:pPr>
      <w:r>
        <w:rPr>
          <w:rFonts w:ascii="Verdana" w:hAnsi="Verdana"/>
          <w:sz w:val="20"/>
          <w:szCs w:val="20"/>
          <w:lang w:val="cs-CZ"/>
        </w:rPr>
        <w:fldChar w:fldCharType="begin"/>
      </w:r>
      <w:r>
        <w:rPr>
          <w:rFonts w:ascii="Verdana" w:hAnsi="Verdana"/>
          <w:sz w:val="20"/>
          <w:szCs w:val="20"/>
          <w:lang w:val="cs-CZ"/>
        </w:rPr>
        <w:instrText xml:space="preserve"> ADDIN ZOTERO_BIBL {"uncited":[],"omitted":[],"custom":[]} CSL_BIBLIOGRAPHY </w:instrText>
      </w:r>
      <w:r>
        <w:rPr>
          <w:rFonts w:ascii="Verdana" w:hAnsi="Verdana"/>
          <w:sz w:val="20"/>
          <w:szCs w:val="20"/>
          <w:lang w:val="cs-CZ"/>
        </w:rPr>
        <w:fldChar w:fldCharType="separate"/>
      </w:r>
      <w:r>
        <w:rPr>
          <w:rFonts w:ascii="Verdana" w:hAnsi="Verdana"/>
          <w:sz w:val="20"/>
        </w:rPr>
        <w:t xml:space="preserve">Durocher, S., &amp; Fortin, A. (2011). Practitioners’ Participation in the Accounting Standard-Setting Process. </w:t>
      </w:r>
      <w:r>
        <w:rPr>
          <w:rFonts w:ascii="Verdana" w:hAnsi="Verdana"/>
          <w:i/>
          <w:iCs/>
          <w:sz w:val="20"/>
        </w:rPr>
        <w:t>Accounting and Business Research</w:t>
      </w:r>
      <w:r>
        <w:rPr>
          <w:rFonts w:ascii="Verdana" w:hAnsi="Verdana"/>
          <w:sz w:val="20"/>
        </w:rPr>
        <w:t xml:space="preserve">, </w:t>
      </w:r>
      <w:r>
        <w:rPr>
          <w:rFonts w:ascii="Verdana" w:hAnsi="Verdana"/>
          <w:i/>
          <w:iCs/>
          <w:sz w:val="20"/>
        </w:rPr>
        <w:t>41</w:t>
      </w:r>
      <w:r>
        <w:rPr>
          <w:rFonts w:ascii="Verdana" w:hAnsi="Verdana"/>
          <w:sz w:val="20"/>
        </w:rPr>
        <w:t>(1), 29–50.</w:t>
      </w:r>
    </w:p>
    <w:p w:rsidR="005C3F63" w:rsidRDefault="006536E7">
      <w:pPr>
        <w:pStyle w:val="12"/>
        <w:spacing w:before="120" w:after="120"/>
        <w:rPr>
          <w:rFonts w:ascii="Verdana" w:hAnsi="Verdana"/>
          <w:sz w:val="20"/>
        </w:rPr>
      </w:pPr>
      <w:r>
        <w:rPr>
          <w:rFonts w:ascii="Verdana" w:hAnsi="Verdana"/>
          <w:sz w:val="20"/>
        </w:rPr>
        <w:lastRenderedPageBreak/>
        <w:t xml:space="preserve">Gipper, B., Lombardi, B. J., &amp; Skinner, D. J. (2013). The Politics of Accounting Standard-Setting: A Review of Empirical Research. </w:t>
      </w:r>
      <w:r>
        <w:rPr>
          <w:rFonts w:ascii="Verdana" w:hAnsi="Verdana"/>
          <w:i/>
          <w:iCs/>
          <w:sz w:val="20"/>
        </w:rPr>
        <w:t>Australian Journal of Management</w:t>
      </w:r>
      <w:r>
        <w:rPr>
          <w:rFonts w:ascii="Verdana" w:hAnsi="Verdana"/>
          <w:sz w:val="20"/>
        </w:rPr>
        <w:t xml:space="preserve">, </w:t>
      </w:r>
      <w:r>
        <w:rPr>
          <w:rFonts w:ascii="Verdana" w:hAnsi="Verdana"/>
          <w:i/>
          <w:iCs/>
          <w:sz w:val="20"/>
        </w:rPr>
        <w:t>38</w:t>
      </w:r>
      <w:r>
        <w:rPr>
          <w:rFonts w:ascii="Verdana" w:hAnsi="Verdana"/>
          <w:sz w:val="20"/>
        </w:rPr>
        <w:t>(3), 523–551.</w:t>
      </w:r>
    </w:p>
    <w:p w:rsidR="005C3F63" w:rsidRDefault="006536E7">
      <w:pPr>
        <w:pStyle w:val="12"/>
        <w:spacing w:before="120" w:after="120"/>
        <w:rPr>
          <w:rFonts w:ascii="Verdana" w:hAnsi="Verdana"/>
          <w:sz w:val="20"/>
        </w:rPr>
      </w:pPr>
      <w:r>
        <w:rPr>
          <w:rFonts w:ascii="Verdana" w:hAnsi="Verdana"/>
          <w:sz w:val="20"/>
        </w:rPr>
        <w:t xml:space="preserve">Jorissen, A., Lybaert, N., Orens, R., &amp; Van Der Tas, L. (2012). Formal Participation in the IASB’s Due Process of Standard Setting: A Multi-issue/Multi-period Analysis. </w:t>
      </w:r>
      <w:r>
        <w:rPr>
          <w:rFonts w:ascii="Verdana" w:hAnsi="Verdana"/>
          <w:i/>
          <w:iCs/>
          <w:sz w:val="20"/>
        </w:rPr>
        <w:t>European Accounting Review</w:t>
      </w:r>
      <w:r>
        <w:rPr>
          <w:rFonts w:ascii="Verdana" w:hAnsi="Verdana"/>
          <w:sz w:val="20"/>
        </w:rPr>
        <w:t xml:space="preserve">, </w:t>
      </w:r>
      <w:r>
        <w:rPr>
          <w:rFonts w:ascii="Verdana" w:hAnsi="Verdana"/>
          <w:i/>
          <w:iCs/>
          <w:sz w:val="20"/>
        </w:rPr>
        <w:t>21</w:t>
      </w:r>
      <w:r>
        <w:rPr>
          <w:rFonts w:ascii="Verdana" w:hAnsi="Verdana"/>
          <w:sz w:val="20"/>
        </w:rPr>
        <w:t>(4), 693–729. https://doi.org/10.1080/09638180.2010.522775</w:t>
      </w:r>
    </w:p>
    <w:p w:rsidR="005C3F63" w:rsidRDefault="006536E7">
      <w:pPr>
        <w:pStyle w:val="12"/>
        <w:spacing w:before="120" w:after="120"/>
        <w:rPr>
          <w:rFonts w:ascii="Verdana" w:hAnsi="Verdana"/>
          <w:sz w:val="20"/>
        </w:rPr>
      </w:pPr>
      <w:r>
        <w:rPr>
          <w:rFonts w:ascii="Verdana" w:hAnsi="Verdana"/>
          <w:sz w:val="20"/>
        </w:rPr>
        <w:t xml:space="preserve">Kenny, S. Y., &amp; Larson, R. K. (1995). The Development of International Accounting Standards: An Analysis of Constituent Participation in Standard-Setting. </w:t>
      </w:r>
      <w:r>
        <w:rPr>
          <w:rFonts w:ascii="Verdana" w:hAnsi="Verdana"/>
          <w:i/>
          <w:iCs/>
          <w:sz w:val="20"/>
        </w:rPr>
        <w:t>International Journal of Accounting</w:t>
      </w:r>
      <w:r>
        <w:rPr>
          <w:rFonts w:ascii="Verdana" w:hAnsi="Verdana"/>
          <w:sz w:val="20"/>
        </w:rPr>
        <w:t xml:space="preserve">, </w:t>
      </w:r>
      <w:r>
        <w:rPr>
          <w:rFonts w:ascii="Verdana" w:hAnsi="Verdana"/>
          <w:i/>
          <w:iCs/>
          <w:sz w:val="20"/>
        </w:rPr>
        <w:t>30</w:t>
      </w:r>
      <w:r>
        <w:rPr>
          <w:rFonts w:ascii="Verdana" w:hAnsi="Verdana"/>
          <w:sz w:val="20"/>
        </w:rPr>
        <w:t>(4), 283–301.</w:t>
      </w:r>
    </w:p>
    <w:p w:rsidR="005C3F63" w:rsidRDefault="006536E7">
      <w:pPr>
        <w:pStyle w:val="12"/>
        <w:spacing w:before="120" w:after="120"/>
        <w:rPr>
          <w:rFonts w:ascii="Verdana" w:hAnsi="Verdana"/>
          <w:sz w:val="20"/>
        </w:rPr>
      </w:pPr>
      <w:r>
        <w:rPr>
          <w:rFonts w:ascii="Verdana" w:hAnsi="Verdana"/>
          <w:sz w:val="20"/>
        </w:rPr>
        <w:t xml:space="preserve">Königsgruber, R. (2010). A Political Economy of Accounting Standard Setting. </w:t>
      </w:r>
      <w:r>
        <w:rPr>
          <w:rFonts w:ascii="Verdana" w:hAnsi="Verdana"/>
          <w:i/>
          <w:iCs/>
          <w:sz w:val="20"/>
        </w:rPr>
        <w:t>Journal of Management &amp; Governance</w:t>
      </w:r>
      <w:r>
        <w:rPr>
          <w:rFonts w:ascii="Verdana" w:hAnsi="Verdana"/>
          <w:sz w:val="20"/>
        </w:rPr>
        <w:t xml:space="preserve">, </w:t>
      </w:r>
      <w:r>
        <w:rPr>
          <w:rFonts w:ascii="Verdana" w:hAnsi="Verdana"/>
          <w:i/>
          <w:iCs/>
          <w:sz w:val="20"/>
        </w:rPr>
        <w:t>14</w:t>
      </w:r>
      <w:r>
        <w:rPr>
          <w:rFonts w:ascii="Verdana" w:hAnsi="Verdana"/>
          <w:sz w:val="20"/>
        </w:rPr>
        <w:t>(4), 277–295. https://doi.org/10.1007/s10997-009-9101-1</w:t>
      </w:r>
    </w:p>
    <w:p w:rsidR="005C3F63" w:rsidRDefault="006536E7">
      <w:pPr>
        <w:pStyle w:val="12"/>
        <w:spacing w:before="120" w:after="120"/>
        <w:rPr>
          <w:rFonts w:ascii="Verdana" w:hAnsi="Verdana"/>
          <w:sz w:val="20"/>
        </w:rPr>
      </w:pPr>
      <w:r>
        <w:rPr>
          <w:rFonts w:ascii="Verdana" w:hAnsi="Verdana"/>
          <w:sz w:val="20"/>
        </w:rPr>
        <w:t xml:space="preserve">Perry, J., &amp; Nölke, A. (2006). The Political Economy of International Accounting Standards. </w:t>
      </w:r>
      <w:r>
        <w:rPr>
          <w:rFonts w:ascii="Verdana" w:hAnsi="Verdana"/>
          <w:i/>
          <w:iCs/>
          <w:sz w:val="20"/>
        </w:rPr>
        <w:t>Review of International Political Economy</w:t>
      </w:r>
      <w:r>
        <w:rPr>
          <w:rFonts w:ascii="Verdana" w:hAnsi="Verdana"/>
          <w:sz w:val="20"/>
        </w:rPr>
        <w:t xml:space="preserve">, </w:t>
      </w:r>
      <w:r>
        <w:rPr>
          <w:rFonts w:ascii="Verdana" w:hAnsi="Verdana"/>
          <w:i/>
          <w:iCs/>
          <w:sz w:val="20"/>
        </w:rPr>
        <w:t>13</w:t>
      </w:r>
      <w:r>
        <w:rPr>
          <w:rFonts w:ascii="Verdana" w:hAnsi="Verdana"/>
          <w:sz w:val="20"/>
        </w:rPr>
        <w:t>(4), 559–586.</w:t>
      </w:r>
    </w:p>
    <w:p w:rsidR="005C3F63" w:rsidRDefault="006536E7">
      <w:pPr>
        <w:pStyle w:val="12"/>
        <w:spacing w:before="120" w:after="120"/>
        <w:rPr>
          <w:rFonts w:ascii="Verdana" w:hAnsi="Verdana"/>
          <w:sz w:val="20"/>
        </w:rPr>
      </w:pPr>
      <w:r>
        <w:rPr>
          <w:rFonts w:ascii="Verdana" w:hAnsi="Verdana"/>
          <w:sz w:val="20"/>
        </w:rPr>
        <w:t xml:space="preserve">Procházka, D. (2015). Lobbying on the IASB Standards: An Analysis of the Lobbyists’ Behaviour over Period 2006–2014. </w:t>
      </w:r>
      <w:r>
        <w:rPr>
          <w:rFonts w:ascii="Verdana" w:hAnsi="Verdana"/>
          <w:i/>
          <w:iCs/>
          <w:sz w:val="20"/>
        </w:rPr>
        <w:t>Copernican Journal of Finance &amp; Accounting</w:t>
      </w:r>
      <w:r>
        <w:rPr>
          <w:rFonts w:ascii="Verdana" w:hAnsi="Verdana"/>
          <w:sz w:val="20"/>
        </w:rPr>
        <w:t xml:space="preserve">, </w:t>
      </w:r>
      <w:r>
        <w:rPr>
          <w:rFonts w:ascii="Verdana" w:hAnsi="Verdana"/>
          <w:i/>
          <w:iCs/>
          <w:sz w:val="20"/>
        </w:rPr>
        <w:t>4</w:t>
      </w:r>
      <w:r>
        <w:rPr>
          <w:rFonts w:ascii="Verdana" w:hAnsi="Verdana"/>
          <w:sz w:val="20"/>
        </w:rPr>
        <w:t>(2), 129. https://doi.org/10.12775/CJFA.2015.020</w:t>
      </w:r>
    </w:p>
    <w:p w:rsidR="005C3F63" w:rsidRDefault="006536E7">
      <w:pPr>
        <w:pStyle w:val="12"/>
        <w:spacing w:before="120" w:after="120"/>
        <w:rPr>
          <w:rFonts w:ascii="Verdana" w:hAnsi="Verdana"/>
          <w:sz w:val="20"/>
        </w:rPr>
      </w:pPr>
      <w:r>
        <w:rPr>
          <w:rFonts w:ascii="Verdana" w:hAnsi="Verdana"/>
          <w:sz w:val="20"/>
        </w:rPr>
        <w:t xml:space="preserve">Victor, J. N. (2007). Strategic Lobbying: Demonstrating How Legislative Context Affects Interest Groups’ Lobbying Tactics. </w:t>
      </w:r>
      <w:r>
        <w:rPr>
          <w:rFonts w:ascii="Verdana" w:hAnsi="Verdana"/>
          <w:i/>
          <w:iCs/>
          <w:sz w:val="20"/>
        </w:rPr>
        <w:t>American Politics Research</w:t>
      </w:r>
      <w:r>
        <w:rPr>
          <w:rFonts w:ascii="Verdana" w:hAnsi="Verdana"/>
          <w:sz w:val="20"/>
        </w:rPr>
        <w:t xml:space="preserve">, </w:t>
      </w:r>
      <w:r>
        <w:rPr>
          <w:rFonts w:ascii="Verdana" w:hAnsi="Verdana"/>
          <w:i/>
          <w:iCs/>
          <w:sz w:val="20"/>
        </w:rPr>
        <w:t>35</w:t>
      </w:r>
      <w:r>
        <w:rPr>
          <w:rFonts w:ascii="Verdana" w:hAnsi="Verdana"/>
          <w:sz w:val="20"/>
        </w:rPr>
        <w:t>(6), 826–845. https://doi.org/10.1177/1532673X07300681</w:t>
      </w:r>
    </w:p>
    <w:p w:rsidR="005C3F63" w:rsidRDefault="006536E7">
      <w:pPr>
        <w:pStyle w:val="12"/>
        <w:spacing w:before="120" w:after="120"/>
        <w:rPr>
          <w:rFonts w:ascii="Verdana" w:hAnsi="Verdana"/>
          <w:sz w:val="20"/>
        </w:rPr>
      </w:pPr>
      <w:r>
        <w:rPr>
          <w:rFonts w:ascii="Verdana" w:hAnsi="Verdana"/>
          <w:sz w:val="20"/>
        </w:rPr>
        <w:t xml:space="preserve">Weetman, P., Davie, E. S., &amp; Collins, W. (1996). Lobbying on Accounting Issues: Preparer/User Imbalance in the Case of the Operating and Financial Review. </w:t>
      </w:r>
      <w:r>
        <w:rPr>
          <w:rFonts w:ascii="Verdana" w:hAnsi="Verdana"/>
          <w:i/>
          <w:iCs/>
          <w:sz w:val="20"/>
        </w:rPr>
        <w:t>Accounting, Auditing &amp; Accountability Journal</w:t>
      </w:r>
      <w:r>
        <w:rPr>
          <w:rFonts w:ascii="Verdana" w:hAnsi="Verdana"/>
          <w:sz w:val="20"/>
        </w:rPr>
        <w:t xml:space="preserve">, </w:t>
      </w:r>
      <w:r>
        <w:rPr>
          <w:rFonts w:ascii="Verdana" w:hAnsi="Verdana"/>
          <w:i/>
          <w:iCs/>
          <w:sz w:val="20"/>
        </w:rPr>
        <w:t>9</w:t>
      </w:r>
      <w:r>
        <w:rPr>
          <w:rFonts w:ascii="Verdana" w:hAnsi="Verdana"/>
          <w:sz w:val="20"/>
        </w:rPr>
        <w:t>(1), 59–76. https://doi.org/10.1108/09513579610109978</w:t>
      </w:r>
    </w:p>
    <w:p w:rsidR="005C3F63" w:rsidRDefault="006536E7">
      <w:pPr>
        <w:spacing w:before="120" w:after="120"/>
        <w:rPr>
          <w:rFonts w:ascii="Verdana" w:hAnsi="Verdana"/>
          <w:sz w:val="20"/>
          <w:szCs w:val="20"/>
          <w:lang w:val="cs-CZ"/>
        </w:rPr>
      </w:pPr>
      <w:r>
        <w:rPr>
          <w:rFonts w:ascii="Verdana" w:hAnsi="Verdana"/>
          <w:sz w:val="20"/>
          <w:szCs w:val="20"/>
          <w:lang w:val="cs-CZ"/>
        </w:rPr>
        <w:fldChar w:fldCharType="end"/>
      </w:r>
    </w:p>
    <w:p w:rsidR="005C3F63" w:rsidRDefault="005C3F63">
      <w:pPr>
        <w:pStyle w:val="aff"/>
      </w:pPr>
    </w:p>
    <w:p w:rsidR="005C3F63" w:rsidRDefault="005C3F63">
      <w:pPr>
        <w:spacing w:after="120"/>
        <w:rPr>
          <w:rFonts w:ascii="Verdana" w:hAnsi="Verdana"/>
          <w:sz w:val="20"/>
          <w:szCs w:val="20"/>
        </w:rPr>
      </w:pPr>
    </w:p>
    <w:p w:rsidR="005C3F63" w:rsidRDefault="005C3F63">
      <w:pPr>
        <w:spacing w:after="120"/>
        <w:rPr>
          <w:rFonts w:ascii="Verdana" w:hAnsi="Verdana"/>
          <w:sz w:val="20"/>
          <w:szCs w:val="20"/>
        </w:rPr>
      </w:pPr>
    </w:p>
    <w:p w:rsidR="005C3F63" w:rsidRDefault="005C3F63">
      <w:pPr>
        <w:spacing w:after="120"/>
        <w:rPr>
          <w:rFonts w:ascii="Verdana" w:hAnsi="Verdana"/>
          <w:sz w:val="20"/>
          <w:szCs w:val="20"/>
        </w:rPr>
      </w:pPr>
    </w:p>
    <w:p w:rsidR="005C3F63" w:rsidRDefault="005C3F63">
      <w:pPr>
        <w:spacing w:after="120"/>
        <w:rPr>
          <w:rFonts w:ascii="Verdana" w:hAnsi="Verdana"/>
          <w:sz w:val="20"/>
          <w:szCs w:val="20"/>
        </w:rPr>
      </w:pPr>
    </w:p>
    <w:p w:rsidR="005C3F63" w:rsidRDefault="005C3F63">
      <w:pPr>
        <w:spacing w:after="120"/>
        <w:rPr>
          <w:rFonts w:ascii="Verdana" w:hAnsi="Verdana"/>
          <w:sz w:val="20"/>
          <w:szCs w:val="20"/>
        </w:rPr>
      </w:pPr>
    </w:p>
    <w:p w:rsidR="005C3F63" w:rsidRDefault="005C3F63">
      <w:pPr>
        <w:spacing w:after="120"/>
        <w:rPr>
          <w:rFonts w:ascii="Verdana" w:hAnsi="Verdana"/>
          <w:sz w:val="20"/>
          <w:szCs w:val="20"/>
        </w:rPr>
      </w:pPr>
    </w:p>
    <w:p w:rsidR="005C3F63" w:rsidRDefault="005C3F63">
      <w:pPr>
        <w:spacing w:after="120"/>
        <w:rPr>
          <w:rFonts w:ascii="Verdana" w:hAnsi="Verdana"/>
          <w:sz w:val="20"/>
          <w:szCs w:val="20"/>
        </w:rPr>
      </w:pPr>
    </w:p>
    <w:p w:rsidR="005C3F63" w:rsidRDefault="005C3F63">
      <w:pPr>
        <w:spacing w:after="120"/>
        <w:rPr>
          <w:rFonts w:ascii="Verdana" w:hAnsi="Verdana"/>
          <w:sz w:val="20"/>
          <w:szCs w:val="20"/>
        </w:rPr>
      </w:pPr>
    </w:p>
    <w:p w:rsidR="005C3F63" w:rsidRDefault="005C3F63">
      <w:pPr>
        <w:spacing w:after="120"/>
        <w:rPr>
          <w:rFonts w:ascii="Verdana" w:hAnsi="Verdana"/>
          <w:sz w:val="20"/>
          <w:szCs w:val="20"/>
        </w:rPr>
      </w:pPr>
    </w:p>
    <w:p w:rsidR="005C3F63" w:rsidRDefault="005C3F63">
      <w:pPr>
        <w:spacing w:after="120"/>
        <w:rPr>
          <w:rFonts w:ascii="Verdana" w:hAnsi="Verdana"/>
          <w:sz w:val="20"/>
          <w:szCs w:val="20"/>
        </w:rPr>
      </w:pPr>
    </w:p>
    <w:p w:rsidR="005C3F63" w:rsidRDefault="005C3F63">
      <w:pPr>
        <w:spacing w:after="120"/>
        <w:rPr>
          <w:rFonts w:ascii="Verdana" w:hAnsi="Verdana"/>
          <w:sz w:val="20"/>
          <w:szCs w:val="20"/>
        </w:rPr>
      </w:pPr>
    </w:p>
    <w:p w:rsidR="005C3F63" w:rsidRDefault="005C3F63">
      <w:pPr>
        <w:spacing w:after="120"/>
        <w:rPr>
          <w:rFonts w:ascii="Verdana" w:hAnsi="Verdana"/>
          <w:sz w:val="20"/>
          <w:szCs w:val="20"/>
        </w:rPr>
      </w:pPr>
    </w:p>
    <w:p w:rsidR="005C3F63" w:rsidRDefault="005C3F63">
      <w:pPr>
        <w:spacing w:after="120"/>
        <w:rPr>
          <w:rFonts w:ascii="Verdana" w:hAnsi="Verdana"/>
          <w:sz w:val="20"/>
          <w:szCs w:val="20"/>
        </w:rPr>
      </w:pPr>
    </w:p>
    <w:p w:rsidR="005C3F63" w:rsidRDefault="005C3F63">
      <w:pPr>
        <w:spacing w:after="120"/>
        <w:rPr>
          <w:rFonts w:ascii="Verdana" w:hAnsi="Verdana"/>
          <w:sz w:val="20"/>
          <w:szCs w:val="20"/>
        </w:rPr>
      </w:pPr>
    </w:p>
    <w:p w:rsidR="005C3F63" w:rsidRDefault="005C3F63">
      <w:pPr>
        <w:spacing w:after="120"/>
        <w:rPr>
          <w:rFonts w:ascii="Verdana" w:hAnsi="Verdana"/>
          <w:sz w:val="20"/>
          <w:szCs w:val="20"/>
        </w:rPr>
      </w:pPr>
    </w:p>
    <w:p w:rsidR="005C3F63" w:rsidRDefault="005C3F63">
      <w:pPr>
        <w:spacing w:after="120"/>
        <w:rPr>
          <w:rFonts w:ascii="Verdana" w:hAnsi="Verdana"/>
          <w:sz w:val="20"/>
          <w:szCs w:val="20"/>
        </w:rPr>
      </w:pPr>
    </w:p>
    <w:p w:rsidR="005C3F63" w:rsidRDefault="005C3F63">
      <w:pPr>
        <w:spacing w:after="120"/>
        <w:rPr>
          <w:rFonts w:ascii="Verdana" w:hAnsi="Verdana"/>
          <w:sz w:val="20"/>
          <w:szCs w:val="20"/>
        </w:rPr>
      </w:pPr>
    </w:p>
    <w:p w:rsidR="005C3F63" w:rsidRDefault="005C3F63">
      <w:pPr>
        <w:spacing w:after="120"/>
        <w:rPr>
          <w:rFonts w:ascii="Verdana" w:hAnsi="Verdana"/>
          <w:sz w:val="20"/>
          <w:szCs w:val="20"/>
        </w:rPr>
      </w:pPr>
    </w:p>
    <w:p w:rsidR="005C3F63" w:rsidRDefault="005C3F63">
      <w:pPr>
        <w:spacing w:after="120"/>
        <w:rPr>
          <w:rFonts w:ascii="Verdana" w:hAnsi="Verdana"/>
          <w:sz w:val="20"/>
          <w:szCs w:val="20"/>
        </w:rPr>
      </w:pPr>
    </w:p>
    <w:p w:rsidR="005C3F63" w:rsidRDefault="005C3F63">
      <w:pPr>
        <w:spacing w:after="120"/>
        <w:rPr>
          <w:rFonts w:ascii="Verdana" w:hAnsi="Verdana"/>
          <w:sz w:val="20"/>
          <w:szCs w:val="20"/>
        </w:rPr>
      </w:pPr>
    </w:p>
    <w:p w:rsidR="005C3F63" w:rsidRDefault="006536E7">
      <w:pPr>
        <w:pStyle w:val="1"/>
      </w:pPr>
      <w:bookmarkStart w:id="874" w:name="_Toc47951548"/>
      <w:r>
        <w:t>Risks of Material Irregularities Contained in Financial Statements</w:t>
      </w:r>
      <w:bookmarkEnd w:id="874"/>
    </w:p>
    <w:p w:rsidR="005C3F63" w:rsidRDefault="006536E7">
      <w:pPr>
        <w:pStyle w:val="Autor"/>
      </w:pPr>
      <w:bookmarkStart w:id="875" w:name="_Toc47433559"/>
      <w:bookmarkStart w:id="876" w:name="_Toc47435470"/>
      <w:bookmarkStart w:id="877" w:name="_Toc47448131"/>
      <w:bookmarkStart w:id="878" w:name="_Toc47448575"/>
      <w:bookmarkStart w:id="879" w:name="_Toc47445968"/>
      <w:bookmarkStart w:id="880" w:name="_Toc47448630"/>
      <w:bookmarkStart w:id="881" w:name="_Toc47448858"/>
      <w:bookmarkStart w:id="882" w:name="_Toc47444614"/>
      <w:bookmarkStart w:id="883" w:name="_Toc47444458"/>
      <w:bookmarkStart w:id="884" w:name="_Toc47443453"/>
      <w:bookmarkStart w:id="885" w:name="_Toc47445745"/>
      <w:bookmarkStart w:id="886" w:name="_Toc47439808"/>
      <w:bookmarkStart w:id="887" w:name="_Toc47447941"/>
      <w:bookmarkStart w:id="888" w:name="_Toc47447176"/>
      <w:bookmarkStart w:id="889" w:name="_Toc47448213"/>
      <w:bookmarkStart w:id="890" w:name="_Toc47449333"/>
      <w:bookmarkStart w:id="891" w:name="_Toc47446120"/>
      <w:bookmarkStart w:id="892" w:name="_Toc47448335"/>
      <w:bookmarkStart w:id="893" w:name="_Toc47448077"/>
      <w:bookmarkStart w:id="894" w:name="_Toc47441225"/>
      <w:bookmarkStart w:id="895" w:name="_Toc47444150"/>
      <w:bookmarkStart w:id="896" w:name="_Toc47446722"/>
      <w:bookmarkStart w:id="897" w:name="_Toc47951391"/>
      <w:bookmarkStart w:id="898" w:name="_Toc47949326"/>
      <w:bookmarkStart w:id="899" w:name="_Toc47441525"/>
      <w:bookmarkStart w:id="900" w:name="_Toc47451174"/>
      <w:bookmarkStart w:id="901" w:name="_Toc47949012"/>
      <w:bookmarkStart w:id="902" w:name="_Toc47440126"/>
      <w:bookmarkStart w:id="903" w:name="_Toc47440898"/>
      <w:bookmarkStart w:id="904" w:name="_Toc47441712"/>
      <w:bookmarkStart w:id="905" w:name="_Toc47443686"/>
      <w:bookmarkStart w:id="906" w:name="_Toc47442705"/>
      <w:bookmarkStart w:id="907" w:name="_Toc47441645"/>
      <w:bookmarkStart w:id="908" w:name="_Toc47447995"/>
      <w:bookmarkStart w:id="909" w:name="_Toc47443585"/>
      <w:bookmarkStart w:id="910" w:name="_Toc47438998"/>
      <w:bookmarkStart w:id="911" w:name="_Toc47444301"/>
      <w:bookmarkStart w:id="912" w:name="_Toc47446380"/>
      <w:bookmarkStart w:id="913" w:name="_Toc47948753"/>
      <w:bookmarkStart w:id="914" w:name="_Toc47948814"/>
      <w:bookmarkStart w:id="915" w:name="_Toc47951549"/>
      <w:bookmarkStart w:id="916" w:name="_Toc47951484"/>
      <w:r>
        <w:rPr>
          <w:rStyle w:val="AutorChar"/>
          <w:b/>
        </w:rPr>
        <w:t>Katarína Sigetová</w:t>
      </w:r>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p>
    <w:p w:rsidR="005C3F63" w:rsidRDefault="006536E7">
      <w:pPr>
        <w:jc w:val="center"/>
        <w:rPr>
          <w:rFonts w:ascii="Verdana" w:hAnsi="Verdana"/>
          <w:sz w:val="18"/>
          <w:szCs w:val="18"/>
          <w:lang w:val="en-GB"/>
        </w:rPr>
      </w:pPr>
      <w:r>
        <w:rPr>
          <w:rFonts w:ascii="Verdana" w:hAnsi="Verdana"/>
          <w:sz w:val="18"/>
          <w:szCs w:val="18"/>
          <w:lang w:val="en-GB"/>
        </w:rPr>
        <w:t xml:space="preserve">University of Economics in Bratislava </w:t>
      </w:r>
    </w:p>
    <w:p w:rsidR="005C3F63" w:rsidRDefault="006536E7">
      <w:pPr>
        <w:jc w:val="center"/>
        <w:rPr>
          <w:rFonts w:ascii="Verdana" w:hAnsi="Verdana"/>
          <w:sz w:val="18"/>
          <w:szCs w:val="18"/>
          <w:lang w:val="en-GB"/>
        </w:rPr>
      </w:pPr>
      <w:r>
        <w:rPr>
          <w:rFonts w:ascii="Verdana" w:hAnsi="Verdana"/>
          <w:sz w:val="18"/>
          <w:szCs w:val="18"/>
          <w:lang w:val="en-GB"/>
        </w:rPr>
        <w:t>Faculty of Economic Informatics, Department of Accounting and Auditing</w:t>
      </w:r>
    </w:p>
    <w:p w:rsidR="005C3F63" w:rsidRDefault="006536E7">
      <w:pPr>
        <w:jc w:val="center"/>
        <w:rPr>
          <w:rFonts w:ascii="Verdana" w:hAnsi="Verdana"/>
          <w:sz w:val="18"/>
          <w:szCs w:val="18"/>
          <w:lang w:val="en-GB"/>
        </w:rPr>
      </w:pPr>
      <w:r>
        <w:rPr>
          <w:rFonts w:ascii="Verdana" w:hAnsi="Verdana"/>
          <w:sz w:val="18"/>
          <w:szCs w:val="18"/>
          <w:lang w:val="en-GB"/>
        </w:rPr>
        <w:t>Dolnozemská cesta 1/b, 852 35 Bratislava, Slovak Republic</w:t>
      </w:r>
    </w:p>
    <w:p w:rsidR="005C3F63" w:rsidRDefault="006536E7">
      <w:pPr>
        <w:jc w:val="center"/>
        <w:rPr>
          <w:rFonts w:ascii="Verdana" w:hAnsi="Verdana"/>
          <w:sz w:val="18"/>
          <w:szCs w:val="18"/>
          <w:lang w:val="de-DE"/>
        </w:rPr>
      </w:pPr>
      <w:r>
        <w:rPr>
          <w:rFonts w:ascii="Verdana" w:hAnsi="Verdana"/>
          <w:sz w:val="18"/>
          <w:szCs w:val="18"/>
          <w:lang w:val="de-DE"/>
        </w:rPr>
        <w:t xml:space="preserve">E-mail: katarina.sigetova@gmail.com </w:t>
      </w:r>
    </w:p>
    <w:p w:rsidR="005C3F63" w:rsidRDefault="005C3F63">
      <w:pPr>
        <w:rPr>
          <w:rFonts w:ascii="Verdana" w:hAnsi="Verdana"/>
          <w:sz w:val="22"/>
          <w:lang w:val="de-DE"/>
        </w:rPr>
      </w:pPr>
    </w:p>
    <w:p w:rsidR="005C3F63" w:rsidRDefault="006536E7">
      <w:pPr>
        <w:spacing w:after="120"/>
        <w:rPr>
          <w:rFonts w:ascii="Verdana" w:hAnsi="Verdana"/>
          <w:i/>
          <w:sz w:val="20"/>
          <w:szCs w:val="20"/>
          <w:lang w:val="en-GB"/>
        </w:rPr>
      </w:pPr>
      <w:r>
        <w:rPr>
          <w:rFonts w:ascii="Verdana" w:hAnsi="Verdana"/>
          <w:b/>
          <w:i/>
          <w:sz w:val="20"/>
          <w:szCs w:val="20"/>
          <w:lang w:val="en-GB"/>
        </w:rPr>
        <w:t xml:space="preserve">Abstract: </w:t>
      </w:r>
      <w:r>
        <w:rPr>
          <w:rFonts w:ascii="Verdana" w:hAnsi="Verdana"/>
          <w:i/>
          <w:sz w:val="20"/>
          <w:szCs w:val="20"/>
          <w:lang w:val="en-GB"/>
        </w:rPr>
        <w:t>In connection with accounting, it is generally known that it forms the basis of information for other economic disciplines. Fulfilling a true and fair view of the facts that are the subject of accounting should result in financial statements that provide users with a clear picture of the situation in the accounting entity. However, in the conditions of the Slovak Republic, relatively little attention is paid to the risk of significant distortion of financial statements and for this reason the financial statements in a large number of cases contain material irregularities and can be a confusing and poor source for users to meet their expectations. This limited attention is associated with shortcomings in the financial statements of businesses, and we do not always find errors only on the part of the entities that prepare these financial statements. Shortcomings can also be noted in Slovak accounting regulations, in which weaknesses can be found and which offer accounting entities space to manipulate accounting information and thus distortion that weakens the correct judgment of users of financial statements.</w:t>
      </w:r>
    </w:p>
    <w:p w:rsidR="005C3F63" w:rsidRDefault="006536E7">
      <w:pPr>
        <w:spacing w:after="120"/>
        <w:rPr>
          <w:rFonts w:ascii="Verdana" w:hAnsi="Verdana"/>
          <w:i/>
          <w:sz w:val="20"/>
          <w:szCs w:val="20"/>
          <w:lang w:val="en-GB"/>
        </w:rPr>
      </w:pPr>
      <w:r>
        <w:rPr>
          <w:rFonts w:ascii="Verdana" w:hAnsi="Verdana"/>
          <w:b/>
          <w:i/>
          <w:sz w:val="20"/>
          <w:szCs w:val="20"/>
          <w:lang w:val="en-GB"/>
        </w:rPr>
        <w:t>Keywords:</w:t>
      </w:r>
      <w:r>
        <w:rPr>
          <w:rFonts w:ascii="Verdana" w:hAnsi="Verdana"/>
          <w:i/>
          <w:sz w:val="20"/>
          <w:szCs w:val="20"/>
          <w:lang w:val="en-GB"/>
        </w:rPr>
        <w:t xml:space="preserve"> financial statements, materiality, risks of material irregularities</w:t>
      </w:r>
    </w:p>
    <w:p w:rsidR="005C3F63" w:rsidRDefault="006536E7">
      <w:pPr>
        <w:pStyle w:val="04-Anotacijostekstas"/>
        <w:spacing w:before="0" w:after="120"/>
        <w:ind w:left="0" w:right="0"/>
        <w:jc w:val="left"/>
        <w:rPr>
          <w:rFonts w:ascii="Verdana" w:hAnsi="Verdana"/>
          <w:i/>
          <w:lang w:val="de-DE"/>
        </w:rPr>
      </w:pPr>
      <w:r>
        <w:rPr>
          <w:rFonts w:ascii="Verdana" w:hAnsi="Verdana"/>
          <w:i/>
          <w:lang w:val="de-DE"/>
        </w:rPr>
        <w:t>JEL codes: D 81, M 41, M 42, M 48</w:t>
      </w:r>
    </w:p>
    <w:p w:rsidR="005C3F63" w:rsidRDefault="006536E7">
      <w:pPr>
        <w:pStyle w:val="Kapitola"/>
        <w:rPr>
          <w:lang w:val="sk-SK"/>
        </w:rPr>
      </w:pPr>
      <w:r>
        <w:rPr>
          <w:rStyle w:val="KapitolaChar"/>
          <w:b/>
          <w:bCs/>
          <w:lang w:val="de-DE"/>
        </w:rPr>
        <w:t>1 Úvod</w:t>
      </w:r>
      <w:r>
        <w:rPr>
          <w:rStyle w:val="KapitolaChar"/>
          <w:b/>
          <w:bCs/>
          <w:lang w:val="sk-SK"/>
        </w:rPr>
        <w:t xml:space="preserve"> / Introduction</w:t>
      </w:r>
    </w:p>
    <w:p w:rsidR="005C3F63" w:rsidRDefault="006536E7">
      <w:pPr>
        <w:spacing w:after="120"/>
        <w:rPr>
          <w:rFonts w:ascii="Verdana" w:hAnsi="Verdana"/>
          <w:sz w:val="20"/>
          <w:szCs w:val="20"/>
          <w:lang w:val="sk-SK"/>
        </w:rPr>
      </w:pPr>
      <w:r>
        <w:rPr>
          <w:rFonts w:ascii="Verdana" w:hAnsi="Verdana"/>
          <w:sz w:val="20"/>
          <w:szCs w:val="20"/>
          <w:lang w:val="sk-SK"/>
        </w:rPr>
        <w:t xml:space="preserve">Príspevok vychádza z rámcového projektu k téme budúcej dizertačnej práce. Cieľom dizertačnej práce je vypracovať model, ktorý by umožnil redukovať riziko vplyvu významných nesprávností na úsudok a rozhodovanie používateľa informácií z účtovných závierok. Tento model bude vypracovaný na základe analýzy najlepšej praxe </w:t>
      </w:r>
      <w:r>
        <w:rPr>
          <w:rFonts w:ascii="Verdana" w:hAnsi="Verdana"/>
          <w:sz w:val="20"/>
          <w:szCs w:val="20"/>
          <w:lang w:val="sk-SK"/>
        </w:rPr>
        <w:br/>
        <w:t>vo svete a zistených nedostatkov vykazovania podnikateľských subjektov v Slovenskej republike. Pre podporu splnenia cieľa bude potrebná najprv identifikácia rizikových a kritických účtovných informácií, ktorých skreslenie môže oslabiť správny úsudok používateľov, ďalej by bola dôležitá detekcia slabých miest v účtovných predpisoch a ich implementácii do praxe a nakoniec aj voľba nástrojov, ktoré umožňujú včas signalizovať možné problémy. Avšak v tomto príspevku sa zameriame len na čiastkové splnenie tohto cieľa, t. j. pôjde najmä o definovanie základných pojmov a charakteristiku už existujúcich modelov.</w:t>
      </w:r>
    </w:p>
    <w:p w:rsidR="005C3F63" w:rsidRDefault="006536E7">
      <w:pPr>
        <w:spacing w:after="120"/>
        <w:rPr>
          <w:rFonts w:ascii="Verdana" w:hAnsi="Verdana"/>
          <w:sz w:val="20"/>
          <w:szCs w:val="20"/>
          <w:lang w:val="sk-SK"/>
        </w:rPr>
      </w:pPr>
      <w:r>
        <w:rPr>
          <w:rFonts w:ascii="Verdana" w:hAnsi="Verdana"/>
          <w:sz w:val="20"/>
          <w:szCs w:val="20"/>
          <w:lang w:val="sk-SK"/>
        </w:rPr>
        <w:t xml:space="preserve">Výsledkom splnenia verného a pravdivého obrazu o skutočnostiach, ktoré sú predmetom účtovníctva, by mala byť účtovná závierka poskytujúca jej používateľom jasný obraz o situácii v účtovnej jednotke. V podmienkach Slovenskej republiky sa venuje relatívne málo pozornosti riziku významného skreslenia účtovných závierok a aj z tohto dôvodu účtovné závierky vo veľkom množstve prípadov obsahujú významné nesprávnosti a môžu byť pre používateľov mätúcim a nekvalitným zdrojom nezodpovedajúcim ich očakávaniam. </w:t>
      </w:r>
    </w:p>
    <w:p w:rsidR="005C3F63" w:rsidRDefault="006536E7">
      <w:pPr>
        <w:spacing w:after="120"/>
        <w:rPr>
          <w:rFonts w:ascii="Verdana" w:hAnsi="Verdana"/>
          <w:sz w:val="20"/>
          <w:szCs w:val="20"/>
          <w:lang w:val="sk-SK"/>
        </w:rPr>
      </w:pPr>
      <w:r>
        <w:rPr>
          <w:rFonts w:ascii="Verdana" w:hAnsi="Verdana"/>
          <w:sz w:val="20"/>
          <w:szCs w:val="20"/>
          <w:lang w:val="sk-SK"/>
        </w:rPr>
        <w:t>Nedostatky badať aj v slovenských účtovných predpisoch, v ktorých možno nájsť slabé miesta a ktoré ponúkajú účtovným jednotkám priestor na manipuláciu účtovných informácií a tým pádom aj skreslenie oslabujúce správny úsudok používateľov účtovných závierok. Preto tu vznikajú rôzne riziká spojené s kvalitou informácií z účtovníctva, ktorým by sa každý podnikateľský subjekt mal snažiť čo najviac predchádzať. Okrem toho v kontexte všetkých účtovných predpisov vznikajú rôzne otázky o tom, či sú požiadavky na účtovníctvo nastavené tak, aby bola zabezpečená potrebná kvalita informácií.</w:t>
      </w:r>
    </w:p>
    <w:p w:rsidR="005C3F63" w:rsidRDefault="006536E7">
      <w:pPr>
        <w:spacing w:after="120"/>
        <w:rPr>
          <w:rFonts w:ascii="Verdana" w:hAnsi="Verdana"/>
          <w:sz w:val="20"/>
          <w:szCs w:val="20"/>
          <w:lang w:val="sk-SK"/>
        </w:rPr>
      </w:pPr>
      <w:r>
        <w:rPr>
          <w:rFonts w:ascii="Verdana" w:hAnsi="Verdana"/>
          <w:sz w:val="20"/>
          <w:szCs w:val="20"/>
          <w:lang w:val="sk-SK"/>
        </w:rPr>
        <w:lastRenderedPageBreak/>
        <w:t>V podmienkach Európskej únie a rovnako aj Slovenskej republiky je pre potreby overovania účtovných závierok vytvorený inštitút štatutárneho auditu. Práve úlohou štatutárneho auditu je odhaľovať významné nesprávnosti. Pri výkone auditu sa získava len primerané uistenie, tzn. neoveruje sa úplne všetko, overuje sa výberovo, čiže aj tu vzniká riziko, že niektoré nesprávnosti ostanú vo významnej miere neodhalené. Dôležité je poukázať aj na fakt, že nie všetky účtovné jednotky, resp. podnikateľské subjekty majú povinnosť overenia účtovnej závierky štatutárnym audítorom, preto v rámci takýchto účtovných jednotiek sú riziká oveľa vyššie. Avšak ani vykonaný audit nedokáže ovplyvniť riziká, ktoré vznikajú v spojení s obmedzenosťou a slabými miestami v účtovných predpisoch.</w:t>
      </w:r>
    </w:p>
    <w:p w:rsidR="005C3F63" w:rsidRDefault="006536E7">
      <w:pPr>
        <w:spacing w:after="120"/>
        <w:rPr>
          <w:rFonts w:ascii="Verdana" w:hAnsi="Verdana"/>
          <w:sz w:val="20"/>
          <w:szCs w:val="20"/>
          <w:lang w:val="sk-SK"/>
        </w:rPr>
      </w:pPr>
      <w:r>
        <w:rPr>
          <w:rFonts w:ascii="Verdana" w:hAnsi="Verdana"/>
          <w:sz w:val="20"/>
          <w:szCs w:val="20"/>
          <w:lang w:val="sk-SK"/>
        </w:rPr>
        <w:t>V Slovenskej republike natrafíme aj na podnikateľské subjekty, ktoré sa v rámci účtovníctva nedržia iba národnej právnej úpravy, ale aj nadnárodnej právnej úpravy, konkrétne medzinárodných štandardov IFRS. Slovenské účtovné predpisy, presnejšie zákon o účtovníctve, vymedzuje účtovné jednotky, pre ktoré sú medzinárodné štandardy IFRS povinne aplikovateľné. Z tohto dôvodu nie je možné vynechať ani tieto predpisy a práve medzinárodné štandardy IFRS je vhodné použiť ako určitý porovnávací základ voči slovenským národným účtovným predpisom. Netreba však zabúdať, že ani medzinárodné štandardy IFRS nie sú úplne dokonalé a aj v nich sa vyskytujú určité riziká, na ktoré je potrebné upozorniť.</w:t>
      </w:r>
    </w:p>
    <w:p w:rsidR="005C3F63" w:rsidRDefault="006536E7">
      <w:pPr>
        <w:spacing w:after="120"/>
        <w:rPr>
          <w:rFonts w:ascii="Verdana" w:hAnsi="Verdana"/>
          <w:sz w:val="20"/>
          <w:szCs w:val="20"/>
          <w:lang w:val="sk-SK"/>
        </w:rPr>
      </w:pPr>
      <w:r>
        <w:rPr>
          <w:rFonts w:ascii="Verdana" w:hAnsi="Verdana"/>
          <w:sz w:val="20"/>
          <w:szCs w:val="20"/>
          <w:lang w:val="sk-SK"/>
        </w:rPr>
        <w:t>Všetky už spomenuté riziká sú len zovšeobecnením rizík, ktoré sa môžu vyskytnúť v spojení s významnými nesprávnosťami v účtovných závierkach podnikateľských subjektov v Slovenskej republike, preto bude dôležité v dizertačnej práci obsahovo bližšie špecifikovať riziká v konkrétnejšej rovine.</w:t>
      </w:r>
    </w:p>
    <w:p w:rsidR="005C3F63" w:rsidRDefault="006536E7">
      <w:pPr>
        <w:spacing w:before="240" w:after="120"/>
        <w:jc w:val="left"/>
        <w:rPr>
          <w:rFonts w:ascii="Verdana" w:hAnsi="Verdana" w:cs="Arial"/>
          <w:bCs/>
          <w:kern w:val="32"/>
          <w:sz w:val="18"/>
          <w:szCs w:val="18"/>
          <w:lang w:val="sk-SK" w:eastAsia="cs-CZ" w:bidi="ar-SA"/>
        </w:rPr>
      </w:pPr>
      <w:r>
        <w:rPr>
          <w:rStyle w:val="KapitolaChar"/>
          <w:lang w:val="sk-SK"/>
        </w:rPr>
        <w:t>2 Metodológia a zdrojové údaje / Methodology and Data</w:t>
      </w:r>
    </w:p>
    <w:p w:rsidR="005C3F63" w:rsidRDefault="006536E7">
      <w:pPr>
        <w:spacing w:after="120"/>
        <w:rPr>
          <w:rFonts w:ascii="Verdana" w:hAnsi="Verdana"/>
          <w:sz w:val="20"/>
          <w:szCs w:val="20"/>
          <w:lang w:val="sk-SK"/>
        </w:rPr>
      </w:pPr>
      <w:r>
        <w:rPr>
          <w:rFonts w:ascii="Verdana" w:hAnsi="Verdana"/>
          <w:sz w:val="20"/>
          <w:szCs w:val="20"/>
          <w:lang w:val="sk-SK"/>
        </w:rPr>
        <w:t>V kontexte všetkých účtovných predpisov vznikajú rôzne otázky o tom, či sú požiadavky na účtovníctvo nastavené tak, aby bola zabezpečená potrebná kvalita informácií a aby mali používatelia informácií z účtovnej závierky jasný obraz o situácii v účtovnej jednotke.</w:t>
      </w:r>
      <w:r>
        <w:rPr>
          <w:lang w:val="sk-SK"/>
        </w:rPr>
        <w:t xml:space="preserve"> </w:t>
      </w:r>
      <w:r>
        <w:rPr>
          <w:rFonts w:ascii="Verdana" w:hAnsi="Verdana"/>
          <w:sz w:val="20"/>
          <w:szCs w:val="20"/>
          <w:lang w:val="sk-SK"/>
        </w:rPr>
        <w:t>Slovenská právna úprava, ale aj nadnárodná právna úprava obsahuje rôzne pojmy a ich definície, z ktorých je potrebné vychádzať pri spracovaní témy v budúcej dizertačnej práci. Taktiež je vhodné spomenúť, že v súčasnosti existujú modely, ktoré môžu slúžiť ako dobrý základ pre vytváranie vlastného modelu, prípadne už existujúce modely použiť v podmienkach Slovenskej republiky.</w:t>
      </w:r>
    </w:p>
    <w:p w:rsidR="005C3F63" w:rsidRDefault="006536E7">
      <w:pPr>
        <w:spacing w:after="120"/>
        <w:rPr>
          <w:rFonts w:ascii="Verdana" w:hAnsi="Verdana"/>
          <w:sz w:val="20"/>
          <w:szCs w:val="20"/>
          <w:lang w:val="sk-SK"/>
        </w:rPr>
      </w:pPr>
      <w:r>
        <w:rPr>
          <w:rFonts w:ascii="Verdana" w:hAnsi="Verdana"/>
          <w:sz w:val="20"/>
          <w:szCs w:val="20"/>
          <w:lang w:val="sk-SK"/>
        </w:rPr>
        <w:t>Príspevok sa zameriava na vysvetlenie základných pojmov, definovanie ktorých napomáha k lepšiemu pochopeniu danej problematiky. Tieto pojmy vychádzajú z národnej aj nadnárodnej právnej úpravy.</w:t>
      </w:r>
    </w:p>
    <w:p w:rsidR="005C3F63" w:rsidRDefault="006536E7">
      <w:pPr>
        <w:spacing w:after="120"/>
        <w:rPr>
          <w:rFonts w:ascii="Verdana" w:hAnsi="Verdana"/>
          <w:sz w:val="20"/>
          <w:szCs w:val="20"/>
          <w:lang w:val="sk-SK"/>
        </w:rPr>
      </w:pPr>
      <w:r>
        <w:rPr>
          <w:rFonts w:ascii="Verdana" w:hAnsi="Verdana"/>
          <w:sz w:val="20"/>
          <w:szCs w:val="20"/>
          <w:lang w:val="sk-SK"/>
        </w:rPr>
        <w:t>Okrem toho príspevok obsahuje charakteristiku niekoľkých už existujúcich modelov. Ich charakteristiky a výsledky vychádzajú zo štúdií viacerých odborníkov, ktorí sa podieľali na ich vývoji alebo testovaní.</w:t>
      </w:r>
    </w:p>
    <w:p w:rsidR="005C3F63" w:rsidRDefault="006536E7">
      <w:pPr>
        <w:spacing w:after="120"/>
        <w:rPr>
          <w:rFonts w:ascii="Verdana" w:hAnsi="Verdana"/>
          <w:sz w:val="20"/>
          <w:szCs w:val="20"/>
          <w:lang w:val="sk-SK"/>
        </w:rPr>
      </w:pPr>
      <w:r>
        <w:rPr>
          <w:rFonts w:ascii="Verdana" w:hAnsi="Verdana"/>
          <w:sz w:val="20"/>
          <w:szCs w:val="20"/>
          <w:lang w:val="sk-SK"/>
        </w:rPr>
        <w:t>V rámci príspevku boli využité dve hlavné metódy skúmania. Týmito metódami sú analýza a komparácia. Analýza je vo všeobecnosti jednou zo základných metód skúmania a predstavuje postup, pri ktorom sa určitý celok rozkladá na jednotlivé zložky. V rámci príspevku bola využitá najmä pri skúmaní štúdií o existujúcich modeloch. Komparácia alebo porovnávanie je metóda skúmania používaná na zisťovanie zhodných alebo rozdielnych vlastností pozorovaných predmetov, javov. V prípade daného príspevku bolo jej využitie nevyhnutné v prípade porovnania definícií pojmov z národnej a nadnárodnej právnej úpravy.</w:t>
      </w:r>
    </w:p>
    <w:p w:rsidR="005C3F63" w:rsidRDefault="006536E7">
      <w:pPr>
        <w:pStyle w:val="Kapitola"/>
        <w:rPr>
          <w:lang w:val="sk-SK"/>
        </w:rPr>
      </w:pPr>
      <w:r>
        <w:rPr>
          <w:szCs w:val="22"/>
          <w:lang w:val="sk-SK"/>
        </w:rPr>
        <w:t>3 Výsledky a diskusia / Results and Discussion</w:t>
      </w:r>
    </w:p>
    <w:p w:rsidR="005C3F63" w:rsidRDefault="006536E7">
      <w:pPr>
        <w:spacing w:after="120"/>
        <w:rPr>
          <w:rFonts w:ascii="Verdana" w:hAnsi="Verdana"/>
          <w:sz w:val="20"/>
          <w:szCs w:val="20"/>
          <w:lang w:val="sk-SK"/>
        </w:rPr>
      </w:pPr>
      <w:r>
        <w:rPr>
          <w:rFonts w:ascii="Verdana" w:hAnsi="Verdana"/>
          <w:sz w:val="20"/>
          <w:szCs w:val="20"/>
          <w:lang w:val="sk-SK"/>
        </w:rPr>
        <w:t xml:space="preserve">V súčasnosti sa vo svete využívajú rôzne modely, nástroje a metódy, ktorých cieľom je včas odhaľovať chyby a podvody spôsobujúce významné nesprávnosti v účtovných závierkach. Najprv je však potrebné kvôli lepšiemu pochopeniu danej problematiky </w:t>
      </w:r>
      <w:r>
        <w:rPr>
          <w:rFonts w:ascii="Verdana" w:hAnsi="Verdana"/>
          <w:sz w:val="20"/>
          <w:szCs w:val="20"/>
          <w:lang w:val="sk-SK"/>
        </w:rPr>
        <w:lastRenderedPageBreak/>
        <w:t xml:space="preserve">definovať niektoré základné pojmy. Ich definície budú vychádzať z národnej aj nadnárodnej právnej úpravy. </w:t>
      </w:r>
    </w:p>
    <w:p w:rsidR="005C3F63" w:rsidRDefault="006536E7">
      <w:pPr>
        <w:spacing w:after="120"/>
        <w:rPr>
          <w:rFonts w:ascii="Verdana" w:hAnsi="Verdana"/>
          <w:sz w:val="20"/>
          <w:szCs w:val="20"/>
          <w:lang w:val="sk-SK"/>
        </w:rPr>
      </w:pPr>
      <w:r>
        <w:rPr>
          <w:rFonts w:ascii="Verdana" w:hAnsi="Verdana"/>
          <w:sz w:val="20"/>
          <w:szCs w:val="20"/>
          <w:lang w:val="sk-SK"/>
        </w:rPr>
        <w:t>V prvom rade sa pozrieme na definíciu účtovnej závierky. Podľa zákona o účtovníctve je účtovná závierka štruktúrovaná prezentácia skutočností, ktoré sú predmetom účtovníctva, poskytovaná osobám, ktoré tieto informácie využívajú (ďalej len „používatelia"). Účtovná závierka tvorí jeden celok (Zákon č. 431/2002 Z. z. o účtovníctve v znení neskorších predpisov). Na porovnanie môžeme použiť charakteristiku účtovnej závierky podľa medzinárodných štandardov IFRS, podľa ktorých je účtovná závierka štruktúrovaná prezentácia finančnej situácie a finančnej výkonnosti účtovnej jednotky. Cieľom účtovnej závierky je poskytnúť informácie o finančnej situácii, finančnej výkonnosti a peňažných tokoch účtovnej jednotky, ktoré sú pre široký okruh používateľov užitočné pri prijímaní ekonomických rozhodnutí (IASB, 2007). Okrem týchto základných definícií sú obsahom ustanovení zákona o účtovníctve a medzinárodných štandardov IFRS aj bližšie špecifikácie súčastí účtovnej závierky.</w:t>
      </w:r>
    </w:p>
    <w:p w:rsidR="005C3F63" w:rsidRDefault="006536E7">
      <w:pPr>
        <w:spacing w:after="120"/>
        <w:rPr>
          <w:rFonts w:ascii="Verdana" w:hAnsi="Verdana"/>
          <w:sz w:val="20"/>
          <w:szCs w:val="20"/>
          <w:lang w:val="sk-SK"/>
        </w:rPr>
      </w:pPr>
      <w:r>
        <w:rPr>
          <w:rFonts w:ascii="Verdana" w:hAnsi="Verdana"/>
          <w:sz w:val="20"/>
          <w:szCs w:val="20"/>
          <w:lang w:val="sk-SK"/>
        </w:rPr>
        <w:t>Ďalej sa zameriame na pojem významnosť. Jej definícia sa v zákone o účtovníctve vyskytuje v spojení s významnosťou informácií v účtovnej závierke, čiže informácia sa považuje za významnú, ak by jej neuvedenie alebo jej chybné uvedenie v účtovnej závierke mohlo ovplyvniť úsudok alebo rozhodovanie používateľa informácií z účtovnej závierky (Zákon č. 431/2002 Z. z. o účtovníctve v znení neskorších predpisov). Ako porovnanie si uvedieme definíciu pojmu významný v medzinárodných štandardoch IFRS, pričom znie nasledovne: vynechania alebo chybné uvedenia položiek sú významné, ak by mohli jednotlivo alebo spoločne ovplyvniť ekonomické rozhodnutia používateľov uskutočnené na základe účtovných závierok. Významnosť závisí od veľkosti a povahy vynechania alebo chybného vykázania posudzovaných v konkrétnych podmienkach. Určujúcim faktorom by mohla byť veľkosť alebo povaha položky alebo kombinácia oboch (IASB, 2007). Podstata definície je zhodná, avšak v rámci medzinárodných štandardov IFRS sa celkovo významnosti venuje viac priestoru. Už pri tejto skutočnosti môžeme vidieť stručnosť a obmedzenosť slovenských účtovných predpisov.</w:t>
      </w:r>
    </w:p>
    <w:p w:rsidR="005C3F63" w:rsidRDefault="006536E7">
      <w:pPr>
        <w:spacing w:after="120"/>
        <w:rPr>
          <w:rFonts w:ascii="Verdana" w:hAnsi="Verdana"/>
          <w:sz w:val="20"/>
          <w:szCs w:val="20"/>
          <w:lang w:val="sk-SK"/>
        </w:rPr>
      </w:pPr>
      <w:r>
        <w:rPr>
          <w:rFonts w:ascii="Verdana" w:hAnsi="Verdana"/>
          <w:sz w:val="20"/>
          <w:szCs w:val="20"/>
          <w:lang w:val="sk-SK"/>
        </w:rPr>
        <w:t xml:space="preserve">Ďalším v poradí na definovanie je slovné spojenie riziko významnej nesprávnosti. Tejto definícii sa venujú medzinárodné audítorské štandardy (ISA). Práve pre audítorskú profesiu je riziko významnej nesprávnosti veľmi dôležitým faktorom, stanovenie ktorého vo veľkej miere ovplyvňuje výkon celého auditu. Medzinárodné audítorské štandardy definujú riziko významnej nesprávnosti ako riziko, že účtovná závierka pred vykonaním auditu obsahuje významné nesprávnosti (IAASB, 2009). Toto riziko sa podľa ISA ďalej rozčleňuje na prirodzené a kontrolné. Okrem tejto definície obsahujú ISA aj definíciu nesprávnosti. Nesprávnosť je rozdiel medzi sumou, klasifikáciou, prezentáciou alebo uvedením položky vykazovanej v účtovnej závierke a sumou, klasifikáciou, prezentáciou alebo zverejnením, ktoré sa pre danú položku vyžadujú na to, aby bola v súlade s platným rámcom účtovného vykazovania (IAASB, 2009). Nesprávnosti môžu vyplynúť z chyby alebo z podvodu, pričom chybu môžeme chápať ako neúmyselnú nesprávnosť a podvod ako úmyselnú. Toto vyplýva aj z definície podvodu v súlade s ISA. Podvod je úmyselné konanie jednej alebo viacerých osôb z radov manažmentu, osôb poverených spravovaním, zamestnancov, prípadne tretích strán, pri ktorom sa použije lož na získanie neoprávnenej alebo nezákonnej výhody (IAASB, 2009). </w:t>
      </w:r>
    </w:p>
    <w:p w:rsidR="005C3F63" w:rsidRDefault="006536E7">
      <w:pPr>
        <w:spacing w:after="120"/>
        <w:rPr>
          <w:rFonts w:ascii="Verdana" w:hAnsi="Verdana"/>
          <w:sz w:val="20"/>
          <w:szCs w:val="20"/>
          <w:lang w:val="sk-SK"/>
        </w:rPr>
      </w:pPr>
      <w:r>
        <w:rPr>
          <w:rFonts w:ascii="Verdana" w:hAnsi="Verdana"/>
          <w:sz w:val="20"/>
          <w:szCs w:val="20"/>
          <w:lang w:val="sk-SK"/>
        </w:rPr>
        <w:t>Všetky definované pojmy budú slúžiť ako základ pre ďalšie charakterizovanie súčasného stavu problematiky vo svete. Už existujúce modely sú zamerané na predchádzanie nesprávnostiam. V súčasnosti sa v odbornej spoločnosti vyskytujú rozličné výskumy, výsledkom ktorých sú modely používajúce rôzne štatistické a iné metódy. V ďalšej časti uvedieme príklady už existujúcich výskumov.</w:t>
      </w:r>
    </w:p>
    <w:p w:rsidR="005C3F63" w:rsidRDefault="006536E7">
      <w:pPr>
        <w:spacing w:after="120"/>
        <w:rPr>
          <w:rFonts w:ascii="Verdana" w:hAnsi="Verdana"/>
          <w:sz w:val="20"/>
          <w:szCs w:val="20"/>
          <w:lang w:val="sk-SK"/>
        </w:rPr>
      </w:pPr>
      <w:r>
        <w:rPr>
          <w:rFonts w:ascii="Verdana" w:hAnsi="Verdana"/>
          <w:sz w:val="20"/>
          <w:szCs w:val="20"/>
          <w:lang w:val="sk-SK"/>
        </w:rPr>
        <w:t xml:space="preserve">Ako prvý príklad uvedieme štúdiu, ktorej autormi sú Mário a Lenka Papíkovci (Papík and Papíková, 2020). Ich štúdia testovala existujúci Beneishov model používaný na zisťovanie podvodov v oblasti účtovníctva, resp. bilančných podvodov. Testovanie vykonávali na vzorke 40 spoločností so sídlom v USA v periodicite 10 rokov, pričom išlo o spoločnosti, ktoré svoje účtovné závierky opravovali a nanovo zverejňovali. Okrem testovania Beneishovho modelu vyvinuli aj dva nové predikčné modely, pričom prvý bol založený na </w:t>
      </w:r>
      <w:r>
        <w:rPr>
          <w:rFonts w:ascii="Verdana" w:hAnsi="Verdana"/>
          <w:sz w:val="20"/>
          <w:szCs w:val="20"/>
          <w:lang w:val="sk-SK"/>
        </w:rPr>
        <w:lastRenderedPageBreak/>
        <w:t>lineárnej diskriminačnej analýze a druhý vychádzal z logistickej regresie. Tieto modely vo výsledku odhalili rôzne odchýlky v podobe chýb, resp. bilančných podvodov. Išlo o nesprávnosti vo viacerých vykazovaných položkách v účtovných závierkach, napríklad náklady na predaný tovar, krátkodobé záväzky. Samotní autori považujú vyvinuté modely za široko použiteľné kvôli ľahkej interpretácii výsledkov vo forme rovníc.</w:t>
      </w:r>
    </w:p>
    <w:p w:rsidR="005C3F63" w:rsidRDefault="006536E7">
      <w:pPr>
        <w:spacing w:after="120"/>
        <w:rPr>
          <w:rFonts w:ascii="Verdana" w:hAnsi="Verdana"/>
          <w:sz w:val="20"/>
          <w:szCs w:val="20"/>
          <w:lang w:val="sk-SK"/>
        </w:rPr>
      </w:pPr>
      <w:r>
        <w:rPr>
          <w:rFonts w:ascii="Verdana" w:hAnsi="Verdana"/>
          <w:sz w:val="20"/>
          <w:szCs w:val="20"/>
          <w:lang w:val="sk-SK"/>
        </w:rPr>
        <w:t>Ďalšou zaujímavou štúdiou z tejto oblasti je štúdia z dielne čínskych autorov (Qui et al., 2019). Táto štúdia vychádza z predpokladu, že ak dôjde k prehodnoteniu účtovnej závierky, reflektuje to chyby a znižuje sa dôveryhodnosť vo vzťahu k používateľom informácií z účtovných závierok. Výskum bol vykonávaný na čínskych spoločnostiach a bol založený najmä na použití deskriptívnej štatistiky s dôrazom na rôzne hypotézy, ktoré sa štúdia snažila potvrdiť alebo vyvrátiť. Táto štúdia odhaľuje významný vzťah medzi opravami účtovných závierok a náchylnosťou na budúce podvody.</w:t>
      </w:r>
    </w:p>
    <w:p w:rsidR="005C3F63" w:rsidRDefault="006536E7">
      <w:pPr>
        <w:spacing w:after="120"/>
        <w:rPr>
          <w:rFonts w:ascii="Verdana" w:hAnsi="Verdana"/>
          <w:sz w:val="20"/>
          <w:szCs w:val="20"/>
          <w:lang w:val="sk-SK"/>
        </w:rPr>
      </w:pPr>
      <w:r>
        <w:rPr>
          <w:rFonts w:ascii="Verdana" w:hAnsi="Verdana"/>
          <w:sz w:val="20"/>
          <w:szCs w:val="20"/>
          <w:lang w:val="sk-SK"/>
        </w:rPr>
        <w:t>Výskum v oblasti podvodov v účtovných závierkach vykonávali aj malajzijskí odborníci (Aghghaleh et al., 2016). V tomto prípade boli základom výskumu účtovné závierky v rokoch 2001 až 2014 spoločností z Malajzie kótované na burze. Na zisťovanie a odhaľovanie podvodov boli v práci využité existujúce modely, konkrétne opäť Beneishov model, resp. Beneishovo M-skóre a Dechowovo F-skóre. Táto štúdia porovnáva presnosť a chybovosť týchto dvoch modelov. Z jej výsledkov vyplýva, že Dechowov model je lepší a autori ho odporúčajú aj regulačným úradom na používanie pri detekcií chýb a podvodov.</w:t>
      </w:r>
    </w:p>
    <w:p w:rsidR="005C3F63" w:rsidRDefault="006536E7">
      <w:pPr>
        <w:spacing w:after="120"/>
        <w:rPr>
          <w:rFonts w:ascii="Verdana" w:hAnsi="Verdana"/>
          <w:sz w:val="20"/>
          <w:szCs w:val="20"/>
          <w:lang w:val="sk-SK"/>
        </w:rPr>
      </w:pPr>
      <w:r>
        <w:rPr>
          <w:rFonts w:ascii="Verdana" w:hAnsi="Verdana"/>
          <w:sz w:val="20"/>
          <w:szCs w:val="20"/>
          <w:lang w:val="sk-SK"/>
        </w:rPr>
        <w:t>V neposlednom rade existujú aj štúdie, ktoré využívajú najmodernejšie metódy umelej inteligencie. Jednou z takýchto metód je strojové učenie. Táto metóda bola použitá v štúdii, ktorá sa zameriava na účtovné podvody vo verejne obchodovateľných spoločnostiach v USA (Bao et al., 2020). Autori vo svojej štúdii vychádzali z prvotných účtovných čísel. Výsledky porovnávali aj s inými modelmi, ktoré sa pri zisťovaní podvodov v účtovných závierkach využívajú. Zistili, že práve strojové učenie má oproti ostatnými porovnávaným modelom najlepšiu vypovedaciu schopnosť.</w:t>
      </w:r>
    </w:p>
    <w:p w:rsidR="005C3F63" w:rsidRDefault="006536E7">
      <w:pPr>
        <w:spacing w:after="120"/>
        <w:rPr>
          <w:rFonts w:ascii="Verdana" w:hAnsi="Verdana"/>
          <w:sz w:val="20"/>
          <w:szCs w:val="20"/>
          <w:lang w:val="sk-SK"/>
        </w:rPr>
      </w:pPr>
      <w:r>
        <w:rPr>
          <w:rFonts w:ascii="Verdana" w:hAnsi="Verdana"/>
          <w:sz w:val="20"/>
          <w:szCs w:val="20"/>
          <w:lang w:val="sk-SK"/>
        </w:rPr>
        <w:t>Existujúce štúdie používajú rôzne overené modely a vychádzajú z predpokladov, ktoré sú dobrým základom pre vytvorenie vlastného modelu. Niektoré štúdie v modeloch vychádzajú z prvotných informácií v účtovných závierkach, iné zase používajú už vypočítané finančné ukazovatele.</w:t>
      </w:r>
    </w:p>
    <w:p w:rsidR="005C3F63" w:rsidRDefault="006536E7">
      <w:pPr>
        <w:pStyle w:val="Kapitola"/>
        <w:rPr>
          <w:lang w:val="sk-SK"/>
        </w:rPr>
      </w:pPr>
      <w:r>
        <w:rPr>
          <w:lang w:val="sk-SK"/>
        </w:rPr>
        <w:t>Záver / Conclusions</w:t>
      </w:r>
    </w:p>
    <w:p w:rsidR="005C3F63" w:rsidRDefault="006536E7">
      <w:pPr>
        <w:spacing w:after="120"/>
        <w:rPr>
          <w:rFonts w:ascii="Verdana" w:hAnsi="Verdana"/>
          <w:sz w:val="20"/>
          <w:szCs w:val="20"/>
          <w:lang w:val="sk-SK"/>
        </w:rPr>
      </w:pPr>
      <w:r>
        <w:rPr>
          <w:rFonts w:ascii="Verdana" w:hAnsi="Verdana"/>
          <w:sz w:val="20"/>
          <w:szCs w:val="20"/>
          <w:lang w:val="sk-SK"/>
        </w:rPr>
        <w:t>Ak existuje predpoklad, že model dokáže včas odhaliť problémy a predchádzať nedostatkom, je to veľkým prínosom nielen pre používateľov informácií z účtovných závierok, ale aj pre samotné podnikateľské subjekty zostavujúce účtovné závierky. Prínos môžeme vidieť najmä v tom, že predchádzanie nesprávnostiam šetrí čas aj peniaze podnikateľských subjektov, ktorých strata môže nastať v dôsledku prípadných opráv, pokút a iných sankcií spojených s nesprávnosťami v účtovných závierkach.</w:t>
      </w:r>
    </w:p>
    <w:p w:rsidR="005C3F63" w:rsidRDefault="006536E7">
      <w:pPr>
        <w:spacing w:after="120"/>
        <w:rPr>
          <w:rFonts w:ascii="Verdana" w:hAnsi="Verdana"/>
          <w:sz w:val="20"/>
          <w:szCs w:val="20"/>
          <w:lang w:val="sk-SK"/>
        </w:rPr>
      </w:pPr>
      <w:r>
        <w:rPr>
          <w:rFonts w:ascii="Verdana" w:hAnsi="Verdana"/>
          <w:sz w:val="20"/>
          <w:szCs w:val="20"/>
          <w:lang w:val="sk-SK"/>
        </w:rPr>
        <w:t>Spomenuté štúdie obsahujú výsledky o chybách v rôznych položkách účtovných závierok, preto je dôležité považovať tieto položky za rizikové. Okrem toho je však potrebné preskúmať aj účtovné závierky podnikateľských subjektov v Slovenskej republike a zamerať sa aj na špecifické položky, ktoré môžu detegovať kritické účtovné informácie náchylné na skreslenie a manipuláciu spôsobené chybami alebo podvodmi. V súčasnosti je preto veľkou pomocou pri ďalšom výskume dostupný online register účtovných závierok podnikateľských subjektov, ktoré majú povinnosť v Slovenskej republike na tomto mieste svoje účtovné závierky zverejňovať.</w:t>
      </w:r>
    </w:p>
    <w:p w:rsidR="005C3F63" w:rsidRDefault="006536E7">
      <w:pPr>
        <w:spacing w:after="120"/>
        <w:rPr>
          <w:rFonts w:ascii="Verdana" w:hAnsi="Verdana"/>
          <w:sz w:val="20"/>
          <w:szCs w:val="20"/>
          <w:lang w:val="sk-SK"/>
        </w:rPr>
      </w:pPr>
      <w:r>
        <w:rPr>
          <w:rFonts w:ascii="Verdana" w:hAnsi="Verdana"/>
          <w:sz w:val="20"/>
          <w:szCs w:val="20"/>
          <w:lang w:val="sk-SK"/>
        </w:rPr>
        <w:t>Zákon o účtovníctve a ďalšie slovenské účtovné predpisy obsahujú ustanovenia, ktoré ponúkajú vykazujúcim podnikateľským subjektom viaceré možnosti v určitých oblastiach. Preto tu vznikajú otázky o tom, či sú účtovné právne predpisy nastavené správne a či nie sú len dobrým základom na vytváranie chýb a podvodov. Ako porovnávací základ voči slovenským účtovným predpisom veľmi dobre poslúžia medzinárodné štandardy IFRS, ale aj pri nich netreba zabúdať, že nie sú úplne dokonalé.</w:t>
      </w:r>
    </w:p>
    <w:p w:rsidR="005C3F63" w:rsidRDefault="006536E7">
      <w:pPr>
        <w:spacing w:after="120"/>
        <w:rPr>
          <w:rFonts w:ascii="Verdana" w:hAnsi="Verdana"/>
          <w:sz w:val="20"/>
          <w:szCs w:val="20"/>
          <w:lang w:val="sk-SK"/>
        </w:rPr>
      </w:pPr>
      <w:r>
        <w:rPr>
          <w:rFonts w:ascii="Verdana" w:hAnsi="Verdana"/>
          <w:sz w:val="20"/>
          <w:szCs w:val="20"/>
          <w:lang w:val="sk-SK"/>
        </w:rPr>
        <w:lastRenderedPageBreak/>
        <w:t>Tento príspevok len čiastkovo zahŕňa to, čo bude cieľom a obsahom budúcej dizertačnej práce, ktorá bude na výsledky príspevku priamo nadväzovať. V súčasnosti existuje mnoho rizík, na ktoré práca vo svojom výsledku poukáže a na základe ktorých bude vypracovaná.</w:t>
      </w:r>
    </w:p>
    <w:p w:rsidR="005C3F63" w:rsidRDefault="006536E7">
      <w:pPr>
        <w:pStyle w:val="Kapitola"/>
        <w:rPr>
          <w:lang w:val="sk-SK"/>
        </w:rPr>
      </w:pPr>
      <w:r>
        <w:rPr>
          <w:lang w:val="sk-SK"/>
        </w:rPr>
        <w:t>Literárne zdroje a iné odkazy / References</w:t>
      </w:r>
    </w:p>
    <w:p w:rsidR="005C3F63" w:rsidRDefault="006536E7">
      <w:pPr>
        <w:rPr>
          <w:rFonts w:ascii="Verdana" w:hAnsi="Verdana"/>
          <w:sz w:val="20"/>
          <w:szCs w:val="20"/>
          <w:lang w:val="sk-SK"/>
        </w:rPr>
      </w:pPr>
      <w:r>
        <w:rPr>
          <w:rFonts w:ascii="Verdana" w:hAnsi="Verdana"/>
          <w:sz w:val="20"/>
          <w:szCs w:val="20"/>
          <w:lang w:val="sk-SK"/>
        </w:rPr>
        <w:t>AGHGHALEH, S. F. et al. (2016). Detecting Financial Statement Frauds in Malaysia: Comparing the Abilities of Beneish and Dechow Models. ASIAN JOURNAL OF ACCOUNTING AND GOVERNANCE. 7. doi: 10.17576/AJAG-2016-07-05.</w:t>
      </w:r>
    </w:p>
    <w:p w:rsidR="005C3F63" w:rsidRDefault="006536E7">
      <w:pPr>
        <w:rPr>
          <w:rFonts w:ascii="Verdana" w:hAnsi="Verdana"/>
          <w:sz w:val="20"/>
          <w:szCs w:val="20"/>
          <w:lang w:val="sk-SK"/>
        </w:rPr>
      </w:pPr>
      <w:r>
        <w:rPr>
          <w:rFonts w:ascii="Verdana" w:hAnsi="Verdana"/>
          <w:sz w:val="20"/>
          <w:szCs w:val="20"/>
          <w:lang w:val="sk-SK"/>
        </w:rPr>
        <w:t>BAO, Y et al. (2020). Detecting Accounting Fraud in Publicly Traded US Firms Using a Machine Learning Approach. JOURNAL OF ACCOUNTING RESEARC. 58(1). doi: 10.1111/1475-679X.12292.</w:t>
      </w:r>
    </w:p>
    <w:p w:rsidR="005C3F63" w:rsidRDefault="006536E7">
      <w:pPr>
        <w:rPr>
          <w:rFonts w:ascii="Verdana" w:hAnsi="Verdana"/>
          <w:sz w:val="20"/>
          <w:szCs w:val="20"/>
          <w:lang w:val="sk-SK"/>
        </w:rPr>
      </w:pPr>
      <w:r>
        <w:rPr>
          <w:rFonts w:ascii="Verdana" w:hAnsi="Verdana"/>
          <w:sz w:val="20"/>
          <w:szCs w:val="20"/>
          <w:lang w:val="sk-SK"/>
        </w:rPr>
        <w:t xml:space="preserve">IAS 1. </w:t>
      </w:r>
      <w:r>
        <w:rPr>
          <w:rFonts w:ascii="Verdana" w:hAnsi="Verdana"/>
          <w:i/>
          <w:sz w:val="20"/>
          <w:szCs w:val="20"/>
          <w:lang w:val="sk-SK"/>
        </w:rPr>
        <w:t>Presentation of Financial Statements</w:t>
      </w:r>
      <w:r>
        <w:rPr>
          <w:rFonts w:ascii="Verdana" w:hAnsi="Verdana"/>
          <w:sz w:val="20"/>
          <w:szCs w:val="20"/>
          <w:lang w:val="sk-SK"/>
        </w:rPr>
        <w:t>. IASB, 2007.</w:t>
      </w:r>
    </w:p>
    <w:p w:rsidR="005C3F63" w:rsidRDefault="006536E7">
      <w:r>
        <w:rPr>
          <w:rFonts w:ascii="Verdana" w:hAnsi="Verdana"/>
          <w:sz w:val="20"/>
          <w:szCs w:val="20"/>
          <w:lang w:val="sk-SK"/>
        </w:rPr>
        <w:t xml:space="preserve">ISA 200. </w:t>
      </w:r>
      <w:r>
        <w:rPr>
          <w:rFonts w:ascii="Verdana" w:hAnsi="Verdana"/>
          <w:i/>
          <w:sz w:val="20"/>
          <w:szCs w:val="20"/>
          <w:lang w:val="sk-SK"/>
        </w:rPr>
        <w:t>Overall objectives of the Independent Auditor and the Conduct of an Audit in Accordance with International Standards on Auditing</w:t>
      </w:r>
      <w:r>
        <w:rPr>
          <w:rFonts w:ascii="Verdana" w:hAnsi="Verdana"/>
          <w:sz w:val="20"/>
          <w:szCs w:val="20"/>
          <w:lang w:val="sk-SK"/>
        </w:rPr>
        <w:t>. IAASB, 2009.</w:t>
      </w:r>
    </w:p>
    <w:p w:rsidR="005C3F63" w:rsidRDefault="006536E7">
      <w:r>
        <w:rPr>
          <w:rFonts w:ascii="Verdana" w:hAnsi="Verdana"/>
          <w:sz w:val="20"/>
          <w:szCs w:val="20"/>
          <w:lang w:val="sk-SK"/>
        </w:rPr>
        <w:t xml:space="preserve">ISA 240. </w:t>
      </w:r>
      <w:r>
        <w:rPr>
          <w:rFonts w:ascii="Verdana" w:hAnsi="Verdana"/>
          <w:i/>
          <w:sz w:val="20"/>
          <w:szCs w:val="20"/>
          <w:lang w:val="sk-SK"/>
        </w:rPr>
        <w:t>The Auditor's Responsibilities Relating to Fraud in an Audit of Financial Statements</w:t>
      </w:r>
      <w:r>
        <w:rPr>
          <w:rFonts w:ascii="Verdana" w:hAnsi="Verdana"/>
          <w:sz w:val="20"/>
          <w:szCs w:val="20"/>
          <w:lang w:val="sk-SK"/>
        </w:rPr>
        <w:t>. IAASB, 2009.</w:t>
      </w:r>
    </w:p>
    <w:p w:rsidR="005C3F63" w:rsidRDefault="006536E7">
      <w:pPr>
        <w:rPr>
          <w:rFonts w:ascii="Verdana" w:hAnsi="Verdana"/>
          <w:sz w:val="20"/>
          <w:szCs w:val="20"/>
          <w:lang w:val="sk-SK"/>
        </w:rPr>
      </w:pPr>
      <w:r>
        <w:rPr>
          <w:rFonts w:ascii="Verdana" w:hAnsi="Verdana"/>
          <w:sz w:val="20"/>
          <w:szCs w:val="20"/>
          <w:lang w:val="sk-SK"/>
        </w:rPr>
        <w:t>PAPIK, M; PAPIKOVA, L. (2020). Detection models for unintentional financial restatements. JOURNAL OF BUSINESS ECONOMICS AND MANAGEMENT. 21(1). doi: 10.3846/jbem.2019.10179.</w:t>
      </w:r>
    </w:p>
    <w:p w:rsidR="005C3F63" w:rsidRDefault="006536E7">
      <w:pPr>
        <w:rPr>
          <w:rFonts w:ascii="Verdana" w:hAnsi="Verdana"/>
          <w:sz w:val="20"/>
          <w:szCs w:val="20"/>
          <w:lang w:val="sk-SK"/>
        </w:rPr>
      </w:pPr>
      <w:r>
        <w:rPr>
          <w:rFonts w:ascii="Verdana" w:hAnsi="Verdana"/>
          <w:sz w:val="20"/>
          <w:szCs w:val="20"/>
          <w:lang w:val="sk-SK"/>
        </w:rPr>
        <w:t>QIU, S. et al. (2019). The value of restatement to fraud prediction. JOURNAL OF BUSINESS ECONOMICS AND MANAGEMENT. 20(6). doi: 10.3846/jbem.2019.10489.</w:t>
      </w:r>
    </w:p>
    <w:p w:rsidR="005C3F63" w:rsidRDefault="006536E7">
      <w:pPr>
        <w:rPr>
          <w:rFonts w:ascii="Verdana" w:hAnsi="Verdana"/>
          <w:sz w:val="20"/>
          <w:szCs w:val="20"/>
          <w:lang w:val="sk-SK"/>
        </w:rPr>
      </w:pPr>
      <w:r>
        <w:rPr>
          <w:rFonts w:ascii="Verdana" w:hAnsi="Verdana"/>
          <w:sz w:val="20"/>
          <w:szCs w:val="20"/>
          <w:lang w:val="sk-SK"/>
        </w:rPr>
        <w:t>Zákon č. 431/2002 Z. z. o účtovníctve v znení neskorších predpisov.</w:t>
      </w:r>
    </w:p>
    <w:p w:rsidR="005C3F63" w:rsidRDefault="006536E7">
      <w:pPr>
        <w:jc w:val="left"/>
        <w:rPr>
          <w:rFonts w:ascii="Verdana" w:hAnsi="Verdana"/>
          <w:sz w:val="20"/>
          <w:szCs w:val="20"/>
          <w:lang w:val="sk-SK"/>
        </w:rPr>
      </w:pPr>
      <w:r>
        <w:rPr>
          <w:rFonts w:ascii="Verdana" w:hAnsi="Verdana"/>
          <w:sz w:val="20"/>
          <w:szCs w:val="20"/>
          <w:lang w:val="sk-SK"/>
        </w:rPr>
        <w:br w:type="page"/>
      </w:r>
    </w:p>
    <w:p w:rsidR="005C3F63" w:rsidRDefault="006536E7">
      <w:pPr>
        <w:pStyle w:val="1"/>
      </w:pPr>
      <w:bookmarkStart w:id="917" w:name="_Toc47951550"/>
      <w:r>
        <w:lastRenderedPageBreak/>
        <w:t>Regulation of Measurement in an Insurance Company</w:t>
      </w:r>
      <w:bookmarkEnd w:id="917"/>
    </w:p>
    <w:p w:rsidR="005C3F63" w:rsidRDefault="006536E7">
      <w:pPr>
        <w:pStyle w:val="Autor"/>
      </w:pPr>
      <w:bookmarkStart w:id="918" w:name="_Toc47441528"/>
      <w:bookmarkStart w:id="919" w:name="_Toc47444616"/>
      <w:bookmarkStart w:id="920" w:name="_Toc47447943"/>
      <w:bookmarkStart w:id="921" w:name="_Toc47444304"/>
      <w:bookmarkStart w:id="922" w:name="_Toc47445747"/>
      <w:bookmarkStart w:id="923" w:name="_Toc47440129"/>
      <w:bookmarkStart w:id="924" w:name="_Toc47444153"/>
      <w:bookmarkStart w:id="925" w:name="_Toc47447997"/>
      <w:bookmarkStart w:id="926" w:name="_Toc47447178"/>
      <w:bookmarkStart w:id="927" w:name="_Toc47446122"/>
      <w:bookmarkStart w:id="928" w:name="_Toc47951551"/>
      <w:bookmarkStart w:id="929" w:name="_Toc47951393"/>
      <w:bookmarkStart w:id="930" w:name="_Toc47435473"/>
      <w:bookmarkStart w:id="931" w:name="_Toc47443689"/>
      <w:bookmarkStart w:id="932" w:name="_Toc47443456"/>
      <w:bookmarkStart w:id="933" w:name="_Toc47948816"/>
      <w:bookmarkStart w:id="934" w:name="_Toc47949328"/>
      <w:bookmarkStart w:id="935" w:name="_Toc47951486"/>
      <w:bookmarkStart w:id="936" w:name="_Toc47448860"/>
      <w:bookmarkStart w:id="937" w:name="_Toc47444461"/>
      <w:bookmarkStart w:id="938" w:name="_Toc47446382"/>
      <w:bookmarkStart w:id="939" w:name="_Toc47448337"/>
      <w:bookmarkStart w:id="940" w:name="_Toc47441648"/>
      <w:bookmarkStart w:id="941" w:name="_Toc47439001"/>
      <w:bookmarkStart w:id="942" w:name="_Toc47433562"/>
      <w:bookmarkStart w:id="943" w:name="_Toc47448215"/>
      <w:bookmarkStart w:id="944" w:name="_Toc47442708"/>
      <w:bookmarkStart w:id="945" w:name="_Toc47451176"/>
      <w:bookmarkStart w:id="946" w:name="_Toc47446724"/>
      <w:bookmarkStart w:id="947" w:name="_Toc47449335"/>
      <w:bookmarkStart w:id="948" w:name="_Toc47439811"/>
      <w:bookmarkStart w:id="949" w:name="_Toc47440901"/>
      <w:bookmarkStart w:id="950" w:name="_Toc47441715"/>
      <w:bookmarkStart w:id="951" w:name="_Toc47441228"/>
      <w:bookmarkStart w:id="952" w:name="_Toc47448079"/>
      <w:bookmarkStart w:id="953" w:name="_Toc47448133"/>
      <w:bookmarkStart w:id="954" w:name="_Toc47443588"/>
      <w:bookmarkStart w:id="955" w:name="_Toc47949014"/>
      <w:bookmarkStart w:id="956" w:name="_Toc47445970"/>
      <w:bookmarkStart w:id="957" w:name="_Toc47448632"/>
      <w:bookmarkStart w:id="958" w:name="_Toc47448577"/>
      <w:bookmarkStart w:id="959" w:name="_Toc47948755"/>
      <w:r>
        <w:rPr>
          <w:rStyle w:val="AutorChar"/>
          <w:b/>
        </w:rPr>
        <w:t>Petra Srnišová</w:t>
      </w:r>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r>
        <w:t xml:space="preserve"> </w:t>
      </w:r>
    </w:p>
    <w:p w:rsidR="005C3F63" w:rsidRDefault="006536E7">
      <w:pPr>
        <w:jc w:val="center"/>
        <w:rPr>
          <w:rFonts w:ascii="Verdana" w:hAnsi="Verdana"/>
          <w:sz w:val="18"/>
          <w:szCs w:val="18"/>
        </w:rPr>
      </w:pPr>
      <w:r>
        <w:rPr>
          <w:rFonts w:ascii="Verdana" w:hAnsi="Verdana"/>
          <w:sz w:val="18"/>
          <w:szCs w:val="18"/>
        </w:rPr>
        <w:t>University of Economics in Bratislava</w:t>
      </w:r>
    </w:p>
    <w:p w:rsidR="005C3F63" w:rsidRDefault="006536E7">
      <w:pPr>
        <w:jc w:val="center"/>
        <w:rPr>
          <w:rFonts w:ascii="Verdana" w:hAnsi="Verdana"/>
          <w:sz w:val="18"/>
          <w:szCs w:val="18"/>
        </w:rPr>
      </w:pPr>
      <w:r>
        <w:rPr>
          <w:rFonts w:ascii="Verdana" w:hAnsi="Verdana"/>
          <w:sz w:val="18"/>
          <w:szCs w:val="18"/>
        </w:rPr>
        <w:t>Faculty of Economic Informatics, Department of Accounting and Auditing</w:t>
      </w:r>
    </w:p>
    <w:p w:rsidR="005C3F63" w:rsidRDefault="006536E7">
      <w:pPr>
        <w:jc w:val="center"/>
        <w:rPr>
          <w:rFonts w:ascii="Verdana" w:hAnsi="Verdana"/>
          <w:sz w:val="18"/>
          <w:szCs w:val="18"/>
        </w:rPr>
      </w:pPr>
      <w:r>
        <w:rPr>
          <w:rFonts w:ascii="Verdana" w:hAnsi="Verdana"/>
          <w:sz w:val="18"/>
          <w:szCs w:val="18"/>
        </w:rPr>
        <w:t>Dolnozemská cesta 1, 852 35 Bratislava, Slovak Republic</w:t>
      </w:r>
    </w:p>
    <w:p w:rsidR="005C3F63" w:rsidRDefault="006536E7">
      <w:pPr>
        <w:jc w:val="center"/>
        <w:rPr>
          <w:rFonts w:ascii="Verdana" w:hAnsi="Verdana"/>
          <w:sz w:val="18"/>
          <w:szCs w:val="18"/>
          <w:lang w:val="en-GB"/>
        </w:rPr>
      </w:pPr>
      <w:r>
        <w:rPr>
          <w:rFonts w:ascii="Verdana" w:hAnsi="Verdana"/>
          <w:sz w:val="18"/>
          <w:szCs w:val="18"/>
          <w:lang w:val="en-GB"/>
        </w:rPr>
        <w:t xml:space="preserve">E-mail: srnisova@outlook.com </w:t>
      </w:r>
    </w:p>
    <w:p w:rsidR="005C3F63" w:rsidRDefault="005C3F63">
      <w:pPr>
        <w:rPr>
          <w:rFonts w:ascii="Verdana" w:hAnsi="Verdana"/>
          <w:sz w:val="22"/>
          <w:lang w:val="en-GB"/>
        </w:rPr>
      </w:pPr>
    </w:p>
    <w:p w:rsidR="005C3F63" w:rsidRDefault="006536E7">
      <w:pPr>
        <w:spacing w:after="120"/>
        <w:rPr>
          <w:rFonts w:ascii="Verdana" w:hAnsi="Verdana"/>
          <w:i/>
          <w:sz w:val="20"/>
          <w:szCs w:val="20"/>
          <w:lang w:val="en-GB"/>
        </w:rPr>
      </w:pPr>
      <w:r>
        <w:rPr>
          <w:rFonts w:ascii="Verdana" w:hAnsi="Verdana"/>
          <w:b/>
          <w:i/>
          <w:sz w:val="20"/>
          <w:szCs w:val="20"/>
          <w:lang w:val="en-GB"/>
        </w:rPr>
        <w:t xml:space="preserve">Abstract: </w:t>
      </w:r>
      <w:r>
        <w:rPr>
          <w:rFonts w:ascii="Verdana" w:hAnsi="Verdana"/>
          <w:i/>
          <w:sz w:val="20"/>
          <w:szCs w:val="20"/>
          <w:lang w:val="en-GB"/>
        </w:rPr>
        <w:t>Due to the specific product of insurance companies it is typical for them, that they manage mainly foreign finances - deposits of their clients. In the interest of client protection, insurance companies are therefore under constant supervision by the regulator. The operation of insurance companies is regulated at both, the national and supranational level. Similarly, measurement is legislative regulated, too. In the context of measurement, in the case of insurance companies, we distinguish between measurement for supervisory purposes and measurement for the purposes of financial statements. The objective of this paper is the regulation of measurement of assets, liabilities, and equity of insurance companies.</w:t>
      </w:r>
    </w:p>
    <w:p w:rsidR="005C3F63" w:rsidRDefault="006536E7">
      <w:pPr>
        <w:spacing w:after="120"/>
        <w:rPr>
          <w:rFonts w:ascii="Verdana" w:hAnsi="Verdana"/>
          <w:i/>
          <w:sz w:val="20"/>
          <w:szCs w:val="20"/>
          <w:lang w:val="en-GB"/>
        </w:rPr>
      </w:pPr>
      <w:r>
        <w:rPr>
          <w:rFonts w:ascii="Verdana" w:hAnsi="Verdana"/>
          <w:b/>
          <w:i/>
          <w:sz w:val="20"/>
          <w:szCs w:val="20"/>
          <w:lang w:val="en-GB"/>
        </w:rPr>
        <w:t>Keywords:</w:t>
      </w:r>
      <w:r>
        <w:rPr>
          <w:rFonts w:ascii="Verdana" w:hAnsi="Verdana"/>
          <w:i/>
          <w:sz w:val="20"/>
          <w:szCs w:val="20"/>
          <w:lang w:val="en-GB"/>
        </w:rPr>
        <w:t xml:space="preserve"> Solvency II, IFRS 17, measurement in insurance companies</w:t>
      </w:r>
    </w:p>
    <w:p w:rsidR="005C3F63" w:rsidRDefault="006536E7">
      <w:pPr>
        <w:pStyle w:val="04-Anotacijostekstas"/>
        <w:spacing w:before="0" w:after="120"/>
        <w:ind w:left="0" w:right="-284"/>
        <w:jc w:val="left"/>
        <w:rPr>
          <w:rFonts w:ascii="Verdana" w:hAnsi="Verdana"/>
          <w:i/>
          <w:lang w:val="de-DE"/>
        </w:rPr>
      </w:pPr>
      <w:r>
        <w:rPr>
          <w:rFonts w:ascii="Verdana" w:hAnsi="Verdana"/>
          <w:i/>
          <w:lang w:val="de-DE"/>
        </w:rPr>
        <w:t>JEL codes: G22, G28, M40, M48</w:t>
      </w:r>
    </w:p>
    <w:p w:rsidR="005C3F63" w:rsidRDefault="006536E7">
      <w:pPr>
        <w:pStyle w:val="Kapitola"/>
        <w:rPr>
          <w:lang w:val="sk-SK"/>
        </w:rPr>
      </w:pPr>
      <w:r>
        <w:rPr>
          <w:rStyle w:val="KapitolaChar"/>
          <w:b/>
          <w:bCs/>
          <w:lang w:val="de-DE"/>
        </w:rPr>
        <w:t>1 Úvod</w:t>
      </w:r>
      <w:r>
        <w:rPr>
          <w:rStyle w:val="KapitolaChar"/>
          <w:b/>
          <w:bCs/>
          <w:lang w:val="sk-SK"/>
        </w:rPr>
        <w:t xml:space="preserve"> / Introduction</w:t>
      </w:r>
    </w:p>
    <w:p w:rsidR="005C3F63" w:rsidRDefault="006536E7">
      <w:pPr>
        <w:spacing w:after="120"/>
        <w:rPr>
          <w:rFonts w:ascii="Verdana" w:hAnsi="Verdana"/>
          <w:sz w:val="20"/>
          <w:szCs w:val="20"/>
          <w:lang w:val="sk-SK"/>
        </w:rPr>
      </w:pPr>
      <w:r>
        <w:rPr>
          <w:rFonts w:ascii="Verdana" w:hAnsi="Verdana"/>
          <w:sz w:val="20"/>
          <w:szCs w:val="20"/>
          <w:lang w:val="sk-SK"/>
        </w:rPr>
        <w:t xml:space="preserve">Účtovné jednotky sú v súlade so zákonom č. 431/2002 Z. z. o účtovníctve v znení neskorších predpisov (ďalej len zákon o účtovníctve) povinné viesť účtovníctvo a zostavovať účtovnú závierku v peňažných jednotkách v mene euro. Znamená to, že každú skutočnosť, ktorá je predmetom účtovníctva, je nutné kvantifikovať a vyjadriť v peniazoch, t. j. oceniť. Oceňovanie sa zameriava na priradenie peňažnej hodnoty k obchodnej transakcii (Needles et al., 2005). Oceňovanie skutočností, ktoré sú predmetom účtovníctva, má dosah na kvalitu a spoľahlivosť informácií prezentovaných v účtovnej závierke. Od ocenenia jednotlivých skutočností, ktoré sú predmetom účtovníctva, závisí celková suma majetku, záväzkov a vlastného imania vykázaných v účtovnej závierke a má vplyv aj na dosiahnutý výsledok hospodárenia. Oceňovanie preto predstavuje zásadnú otázku, ktorú je potrebné v účtovníctve vyriešiť. Správne ocenenie majetku a záväzkov s dôrazom na aplikáciu príslušných účtovných zásad a účtovných metód je jedným z determinantov verného a pravdivého zobrazenia skutočností prezentovaných v účtovnej závierke (Kicová, 2018). V záujme zabezpečenia zrozumiteľnosti a porovnateľnosti účtovných závierok je preto nevyhnutná regulácia oceňovania. Reálne je však neuskutočniteľné, aby výsledkom regulácie oceňovania bolo odporúčanie konkrétnej sumy. Regulácia sa preto zameriava na stanovenie súboru pravidiel, ktoré musia byť v procese oceňovania dodržané. </w:t>
      </w:r>
    </w:p>
    <w:p w:rsidR="005C3F63" w:rsidRDefault="006536E7">
      <w:pPr>
        <w:spacing w:after="120"/>
        <w:rPr>
          <w:rFonts w:ascii="Verdana" w:hAnsi="Verdana"/>
          <w:sz w:val="20"/>
          <w:szCs w:val="20"/>
          <w:lang w:val="sk-SK"/>
        </w:rPr>
      </w:pPr>
      <w:r>
        <w:rPr>
          <w:rFonts w:ascii="Verdana" w:hAnsi="Verdana"/>
          <w:sz w:val="20"/>
          <w:szCs w:val="20"/>
          <w:lang w:val="sk-SK"/>
        </w:rPr>
        <w:t xml:space="preserve">Komerčné poisťovne, vzhľadom na svoj jedinečný predmet podnikateľskej činnosti – poisťovaciu činnosť, tvoria osobitnú skupinu účtovných jednotiek. Poistenie predstavuje špecifický produkt, ktorého podstatou je prenos rizika. Poisťovacia činnosť zahŕňa preberanie poistných rizík od osôb ohrozených rovnakým alebo podobným rizikom, vytváranie a organizovanie poistného kmeňa, vytváranie technických rezerv na všetky záväzky voči oprávneným osobám z poistných zmlúv a plnenie týchto záväzkov za odplatu, ktorá sa určí s použitím poistnej matematiky a štatistiky. Poisťovne majú v ekonomike nezastupiteľné miesto, pretože ponúkajú nástroje na riadenie a znižovanie rizika podnikateľských a nepodnikateľských subjektov a súkromných osôb. „Poisťovne musia rešpektovať veľa faktorov a legislatívnych nariadení, ktoré ich od bežných podnikateľských subjektov odlišujú. Dôvodom je skutočnosť, že spravujú predovšetkým cudzie zdroje – finančné prostriedky zverené im cez životné a neživotné poistenie. Podnikanie v poisťovníctve preto upravujú právne normy, ktorých cieľom je zabezpečenie ochrany týchto prostriedkov z pohľadu poistených.“ (Krátka, 2019) Vznik, organizáciu, riadenie, vykonávanie činnosti poisťovní a ich zánik upravuje zákon č. 39/2015 Z. z. o poisťovníctve a o zmene a doplnení niektorých zákonov v znení neskorších predpisov </w:t>
      </w:r>
      <w:r>
        <w:rPr>
          <w:rFonts w:ascii="Verdana" w:hAnsi="Verdana"/>
          <w:sz w:val="20"/>
          <w:szCs w:val="20"/>
          <w:lang w:val="sk-SK"/>
        </w:rPr>
        <w:lastRenderedPageBreak/>
        <w:t>(ďalej len zákon o poisťovníctve). Do uvedeného zákona boli plne implementované požiadavky smernice Európskeho parlamentu a Rady 2009/138/ES z 25. novembra 2009 o začatí a vykonávaní poistenia a zaistenia v znení neskorších predpisov (ďalej len Solventnosť II). Smernica Solventnosť II nahradila dovtedy platnú Solventnosť I, ktorej nedostatky spočívali v tom, že nedokázala reagovať na nové trendy rozvoja informačných a komunikačných technológií, sofistikované matematicko-štatistické metódy a nové prístupy k simulácii rizikových scenárov pre potreby vykazovania solventnosti (Katríková, 2017). Solventnosť II sa okrem iného zaoberá aj oceňovaním majetku, záväzkov a vlastného imania poisťovní. V súvislosti s transpozíciou požiadaviek Solventnosti II do zákona o poisťovníctve upravuje oceňovanie aktív, záväzkov a kapitálových požiadaviek na účely dohľadu aj uvedený zákon.</w:t>
      </w:r>
    </w:p>
    <w:p w:rsidR="005C3F63" w:rsidRDefault="006536E7">
      <w:pPr>
        <w:spacing w:after="120"/>
        <w:rPr>
          <w:rFonts w:ascii="Verdana" w:hAnsi="Verdana"/>
          <w:sz w:val="20"/>
          <w:szCs w:val="20"/>
          <w:lang w:val="sk-SK"/>
        </w:rPr>
      </w:pPr>
      <w:r>
        <w:rPr>
          <w:rFonts w:ascii="Verdana" w:hAnsi="Verdana"/>
          <w:sz w:val="20"/>
          <w:szCs w:val="20"/>
          <w:lang w:val="sk-SK"/>
        </w:rPr>
        <w:t>V príspevku sa zameriame na reguláciu oceňovania majetku, záväzkov a vlastného imania poisťovní pre účely dohľadu a pre účely ich vykázania v účtovnej závierke.</w:t>
      </w:r>
    </w:p>
    <w:p w:rsidR="005C3F63" w:rsidRDefault="006536E7">
      <w:pPr>
        <w:spacing w:before="240" w:after="120"/>
        <w:jc w:val="left"/>
        <w:rPr>
          <w:rFonts w:ascii="Verdana" w:hAnsi="Verdana" w:cs="Arial"/>
          <w:bCs/>
          <w:kern w:val="32"/>
          <w:sz w:val="18"/>
          <w:szCs w:val="18"/>
          <w:lang w:val="sk-SK" w:eastAsia="cs-CZ" w:bidi="ar-SA"/>
        </w:rPr>
      </w:pPr>
      <w:r>
        <w:rPr>
          <w:rStyle w:val="KapitolaChar"/>
          <w:lang w:val="sk-SK"/>
        </w:rPr>
        <w:t>2 Metodológia a zdrojové údaje / Methodology and Data</w:t>
      </w:r>
    </w:p>
    <w:p w:rsidR="005C3F63" w:rsidRDefault="006536E7">
      <w:pPr>
        <w:spacing w:after="120"/>
        <w:rPr>
          <w:rFonts w:ascii="Verdana" w:hAnsi="Verdana"/>
          <w:sz w:val="20"/>
          <w:szCs w:val="20"/>
          <w:lang w:val="sk-SK"/>
        </w:rPr>
      </w:pPr>
      <w:r>
        <w:rPr>
          <w:rFonts w:ascii="Verdana" w:hAnsi="Verdana"/>
          <w:sz w:val="20"/>
          <w:szCs w:val="20"/>
          <w:lang w:val="sk-SK"/>
        </w:rPr>
        <w:t xml:space="preserve">Objektom skúmania príspevku je regulácia oceňovania majetku, záväzkov a vlastného imania poisťovní. Ich oceňovanie upravujú viaceré právne normy, ktoré tvorili hlavný zdroj informácií pre spracovanie príspevku. Užitočné informácie sme získali aj štúdiom odbornej literatúry. Metódou selekcie sme sa zamerali na skutočnosti súvisiace s objektom skúmania. Vybrané poznatky sme analyzovali a následne aplikáciou metódy komparácie sme identifikovali spoločné a rozdielne znaky v oceňovaní majetku, záväzkov a vlastného imania poisťovní v nadväznosti na právnu normu a účel, ktorý daná legislatívna norma sleduje. </w:t>
      </w:r>
    </w:p>
    <w:p w:rsidR="005C3F63" w:rsidRDefault="006536E7">
      <w:pPr>
        <w:pStyle w:val="Kapitola"/>
        <w:rPr>
          <w:lang w:val="sk-SK"/>
        </w:rPr>
      </w:pPr>
      <w:r>
        <w:rPr>
          <w:szCs w:val="22"/>
          <w:lang w:val="sk-SK"/>
        </w:rPr>
        <w:t>3 Výsledky a diskusia / Results and Discussion</w:t>
      </w:r>
    </w:p>
    <w:p w:rsidR="005C3F63" w:rsidRDefault="006536E7">
      <w:pPr>
        <w:spacing w:after="120"/>
        <w:rPr>
          <w:rFonts w:ascii="Verdana" w:hAnsi="Verdana"/>
          <w:sz w:val="20"/>
          <w:szCs w:val="20"/>
          <w:lang w:val="sk-SK"/>
        </w:rPr>
      </w:pPr>
      <w:r>
        <w:rPr>
          <w:rFonts w:ascii="Verdana" w:hAnsi="Verdana"/>
          <w:sz w:val="20"/>
          <w:szCs w:val="20"/>
          <w:lang w:val="sk-SK"/>
        </w:rPr>
        <w:t xml:space="preserve">V súlade s § 17a zákona o účtovníctve zostavujú poisťovne individuálnu účtovnú závierku podľa osobitných predpisov, ktorými sú Nariadenie (ES) č. 1606/2002 Európskeho parlamentu a Rady z 19. júla 2002 o uplatňovaní medzinárodných účtovných noriem; a Nariadenie Komisie (ES) č. 1126/2008 z 3. novembra 2008, ktorým sa v súlade s nariadením Európskeho parlamentu a Rady (ES) č. 1606/2002 prijímajú určité medzinárodné účtovné štandardy. Znamená to, že pri zostavovaní účtovnej závierky poisťovne postupujú podľa Medzinárodných štandardov finančného vykazovania (IFRS). Aby účtovná závierka bola v súlade s IFRS, je nevyhnutné počas celého účtovného obdobia postupovať pri oceňovaní a účtovaní spôsobom, ktorý zabezpečí konformitu s požiadavkami IFRS. </w:t>
      </w:r>
    </w:p>
    <w:p w:rsidR="005C3F63" w:rsidRDefault="006536E7">
      <w:pPr>
        <w:spacing w:after="120"/>
        <w:rPr>
          <w:rFonts w:ascii="Verdana" w:hAnsi="Verdana"/>
          <w:sz w:val="20"/>
          <w:szCs w:val="20"/>
          <w:lang w:val="sk-SK"/>
        </w:rPr>
      </w:pPr>
      <w:r>
        <w:rPr>
          <w:rFonts w:ascii="Verdana" w:hAnsi="Verdana"/>
          <w:sz w:val="20"/>
          <w:szCs w:val="20"/>
          <w:lang w:val="sk-SK"/>
        </w:rPr>
        <w:t xml:space="preserve">Oceňovanie majetku, záväzkov a vlastného imania poisťovní sa posudzuje z dvoch hľadísk: z regulatórneho hľadiska pre účely výpočtu kapitálovej požiadavky na solventnosť, najmä jej krytie vlastnými zdrojmi, a z účtovného hľadiska pre účely zostavenia účtovnej závierky podľa IFRS (Meluchová, 2019).  </w:t>
      </w:r>
    </w:p>
    <w:p w:rsidR="005C3F63" w:rsidRDefault="006536E7">
      <w:pPr>
        <w:spacing w:after="120"/>
        <w:rPr>
          <w:rFonts w:ascii="Verdana" w:hAnsi="Verdana"/>
          <w:b/>
          <w:bCs/>
          <w:sz w:val="20"/>
          <w:szCs w:val="20"/>
          <w:lang w:val="sk-SK"/>
        </w:rPr>
      </w:pPr>
      <w:r>
        <w:rPr>
          <w:rFonts w:ascii="Verdana" w:hAnsi="Verdana"/>
          <w:b/>
          <w:bCs/>
          <w:sz w:val="20"/>
          <w:szCs w:val="20"/>
          <w:lang w:val="sk-SK"/>
        </w:rPr>
        <w:t>Regulatórne hľadisko oceňovania</w:t>
      </w:r>
    </w:p>
    <w:p w:rsidR="005C3F63" w:rsidRDefault="006536E7">
      <w:pPr>
        <w:spacing w:after="120"/>
        <w:rPr>
          <w:rFonts w:ascii="Verdana" w:hAnsi="Verdana"/>
          <w:sz w:val="20"/>
          <w:szCs w:val="20"/>
          <w:lang w:val="sk-SK"/>
        </w:rPr>
      </w:pPr>
      <w:r>
        <w:rPr>
          <w:rFonts w:ascii="Verdana" w:hAnsi="Verdana"/>
          <w:sz w:val="20"/>
          <w:szCs w:val="20"/>
          <w:lang w:val="sk-SK"/>
        </w:rPr>
        <w:t>Smernica Solventnosť II upravuje činnosť poisťovní a zaisťovní a zaoberá sa pravidlami preukazovania, výpočtu a kontroly solventnosti a prístupmi k systému správy a riadenia poisťovní pre účely dohľadu. Tabuľka 1 uvádza ciele Solventnosti II (NBS, n.d.):</w:t>
      </w:r>
    </w:p>
    <w:p w:rsidR="005C3F63" w:rsidRDefault="006536E7">
      <w:pPr>
        <w:spacing w:after="120"/>
        <w:jc w:val="center"/>
        <w:rPr>
          <w:rFonts w:ascii="Verdana" w:hAnsi="Verdana"/>
          <w:sz w:val="20"/>
          <w:szCs w:val="20"/>
          <w:lang w:val="sk-SK"/>
        </w:rPr>
      </w:pPr>
      <w:r>
        <w:rPr>
          <w:rFonts w:ascii="Verdana" w:hAnsi="Verdana"/>
          <w:b/>
          <w:sz w:val="20"/>
          <w:szCs w:val="20"/>
          <w:lang w:val="sk-SK"/>
        </w:rPr>
        <w:t>Tabuľka 1</w:t>
      </w:r>
      <w:r>
        <w:rPr>
          <w:rFonts w:ascii="Verdana" w:hAnsi="Verdana"/>
          <w:sz w:val="20"/>
          <w:szCs w:val="20"/>
          <w:lang w:val="sk-SK"/>
        </w:rPr>
        <w:t xml:space="preserve"> Ciele Solventnosti II</w:t>
      </w:r>
    </w:p>
    <w:tbl>
      <w:tblPr>
        <w:tblW w:w="0" w:type="auto"/>
        <w:jc w:val="center"/>
        <w:tblBorders>
          <w:top w:val="single" w:sz="8" w:space="0" w:color="000000"/>
          <w:bottom w:val="single" w:sz="8" w:space="0" w:color="000000"/>
        </w:tblBorders>
        <w:tblLook w:val="04A0" w:firstRow="1" w:lastRow="0" w:firstColumn="1" w:lastColumn="0" w:noHBand="0" w:noVBand="1"/>
      </w:tblPr>
      <w:tblGrid>
        <w:gridCol w:w="9288"/>
      </w:tblGrid>
      <w:tr w:rsidR="005C3F63">
        <w:trPr>
          <w:jc w:val="center"/>
        </w:trPr>
        <w:tc>
          <w:tcPr>
            <w:tcW w:w="9288" w:type="dxa"/>
            <w:tcBorders>
              <w:top w:val="single" w:sz="4" w:space="0" w:color="auto"/>
              <w:left w:val="nil"/>
              <w:bottom w:val="single" w:sz="4" w:space="0" w:color="auto"/>
              <w:right w:val="nil"/>
            </w:tcBorders>
            <w:shd w:val="clear" w:color="auto" w:fill="FFFFFF"/>
          </w:tcPr>
          <w:p w:rsidR="005C3F63" w:rsidRDefault="006536E7">
            <w:pPr>
              <w:jc w:val="left"/>
              <w:rPr>
                <w:rFonts w:ascii="Verdana" w:hAnsi="Verdana"/>
                <w:sz w:val="20"/>
                <w:szCs w:val="20"/>
                <w:lang w:val="sk-SK"/>
              </w:rPr>
            </w:pPr>
            <w:r>
              <w:rPr>
                <w:rFonts w:ascii="Verdana" w:hAnsi="Verdana"/>
                <w:sz w:val="20"/>
                <w:szCs w:val="20"/>
                <w:lang w:val="sk-SK"/>
              </w:rPr>
              <w:t>Zvýšenie ochrany pre poistených a príjemcov poistného plnenia</w:t>
            </w:r>
          </w:p>
        </w:tc>
      </w:tr>
      <w:tr w:rsidR="005C3F63">
        <w:trPr>
          <w:jc w:val="center"/>
        </w:trPr>
        <w:tc>
          <w:tcPr>
            <w:tcW w:w="9288" w:type="dxa"/>
            <w:tcBorders>
              <w:top w:val="single" w:sz="4" w:space="0" w:color="auto"/>
              <w:left w:val="nil"/>
              <w:bottom w:val="single" w:sz="4" w:space="0" w:color="auto"/>
              <w:right w:val="nil"/>
            </w:tcBorders>
            <w:shd w:val="clear" w:color="auto" w:fill="FFFFFF"/>
          </w:tcPr>
          <w:p w:rsidR="005C3F63" w:rsidRDefault="006536E7">
            <w:pPr>
              <w:jc w:val="left"/>
              <w:rPr>
                <w:rFonts w:ascii="Verdana" w:hAnsi="Verdana"/>
                <w:sz w:val="20"/>
                <w:szCs w:val="20"/>
                <w:lang w:val="sk-SK"/>
              </w:rPr>
            </w:pPr>
            <w:r>
              <w:rPr>
                <w:rFonts w:ascii="Verdana" w:hAnsi="Verdana"/>
                <w:sz w:val="20"/>
                <w:szCs w:val="20"/>
                <w:lang w:val="sk-SK"/>
              </w:rPr>
              <w:t>Podchytenie najnovšieho vývoja v oblasti dohľadu nad obozretným podnikaním, v poistnej a finančnej matematike a v riadení rizík</w:t>
            </w:r>
          </w:p>
        </w:tc>
      </w:tr>
      <w:tr w:rsidR="005C3F63">
        <w:trPr>
          <w:jc w:val="center"/>
        </w:trPr>
        <w:tc>
          <w:tcPr>
            <w:tcW w:w="9288" w:type="dxa"/>
            <w:tcBorders>
              <w:top w:val="single" w:sz="4" w:space="0" w:color="auto"/>
              <w:left w:val="nil"/>
              <w:bottom w:val="single" w:sz="4" w:space="0" w:color="auto"/>
              <w:right w:val="nil"/>
            </w:tcBorders>
            <w:shd w:val="clear" w:color="auto" w:fill="FFFFFF"/>
          </w:tcPr>
          <w:p w:rsidR="005C3F63" w:rsidRDefault="006536E7">
            <w:pPr>
              <w:jc w:val="left"/>
              <w:rPr>
                <w:rFonts w:ascii="Verdana" w:hAnsi="Verdana"/>
                <w:sz w:val="20"/>
                <w:szCs w:val="20"/>
                <w:lang w:val="sk-SK"/>
              </w:rPr>
            </w:pPr>
            <w:r>
              <w:rPr>
                <w:rFonts w:ascii="Verdana" w:hAnsi="Verdana"/>
                <w:sz w:val="20"/>
                <w:szCs w:val="20"/>
                <w:lang w:val="sk-SK"/>
              </w:rPr>
              <w:t>Zlepšenie regulácie dohľadu nad poistným trhom</w:t>
            </w:r>
          </w:p>
        </w:tc>
      </w:tr>
      <w:tr w:rsidR="005C3F63">
        <w:trPr>
          <w:jc w:val="center"/>
        </w:trPr>
        <w:tc>
          <w:tcPr>
            <w:tcW w:w="9288" w:type="dxa"/>
            <w:tcBorders>
              <w:top w:val="single" w:sz="4" w:space="0" w:color="auto"/>
              <w:left w:val="nil"/>
              <w:bottom w:val="single" w:sz="4" w:space="0" w:color="auto"/>
              <w:right w:val="nil"/>
            </w:tcBorders>
            <w:shd w:val="clear" w:color="auto" w:fill="FFFFFF"/>
          </w:tcPr>
          <w:p w:rsidR="005C3F63" w:rsidRDefault="006536E7">
            <w:pPr>
              <w:jc w:val="left"/>
              <w:rPr>
                <w:rFonts w:ascii="Verdana" w:hAnsi="Verdana"/>
                <w:sz w:val="20"/>
                <w:szCs w:val="20"/>
                <w:lang w:val="sk-SK"/>
              </w:rPr>
            </w:pPr>
            <w:r>
              <w:rPr>
                <w:rFonts w:ascii="Verdana" w:hAnsi="Verdana"/>
                <w:sz w:val="20"/>
                <w:szCs w:val="20"/>
                <w:lang w:val="sk-SK"/>
              </w:rPr>
              <w:t>Zvýšenie integrácie poistného trhu Európskej únie</w:t>
            </w:r>
          </w:p>
        </w:tc>
      </w:tr>
      <w:tr w:rsidR="005C3F63">
        <w:trPr>
          <w:jc w:val="center"/>
        </w:trPr>
        <w:tc>
          <w:tcPr>
            <w:tcW w:w="9288" w:type="dxa"/>
            <w:tcBorders>
              <w:top w:val="single" w:sz="4" w:space="0" w:color="auto"/>
              <w:left w:val="nil"/>
              <w:bottom w:val="single" w:sz="4" w:space="0" w:color="auto"/>
              <w:right w:val="nil"/>
            </w:tcBorders>
            <w:shd w:val="clear" w:color="auto" w:fill="FFFFFF"/>
          </w:tcPr>
          <w:p w:rsidR="005C3F63" w:rsidRDefault="006536E7">
            <w:pPr>
              <w:jc w:val="left"/>
              <w:rPr>
                <w:rFonts w:ascii="Verdana" w:hAnsi="Verdana"/>
                <w:sz w:val="20"/>
                <w:szCs w:val="20"/>
                <w:lang w:val="sk-SK"/>
              </w:rPr>
            </w:pPr>
            <w:r>
              <w:rPr>
                <w:rFonts w:ascii="Verdana" w:hAnsi="Verdana"/>
                <w:sz w:val="20"/>
                <w:szCs w:val="20"/>
                <w:lang w:val="sk-SK"/>
              </w:rPr>
              <w:t>Prehĺbenie harmonizácie v poistnom sektore v rámci Európskej únie</w:t>
            </w:r>
          </w:p>
        </w:tc>
      </w:tr>
      <w:tr w:rsidR="005C3F63">
        <w:trPr>
          <w:jc w:val="center"/>
        </w:trPr>
        <w:tc>
          <w:tcPr>
            <w:tcW w:w="9288" w:type="dxa"/>
            <w:tcBorders>
              <w:top w:val="single" w:sz="4" w:space="0" w:color="auto"/>
              <w:left w:val="nil"/>
              <w:bottom w:val="single" w:sz="8" w:space="0" w:color="000000"/>
              <w:right w:val="nil"/>
            </w:tcBorders>
            <w:shd w:val="clear" w:color="auto" w:fill="FFFFFF"/>
          </w:tcPr>
          <w:p w:rsidR="005C3F63" w:rsidRDefault="006536E7">
            <w:pPr>
              <w:jc w:val="left"/>
              <w:rPr>
                <w:rFonts w:ascii="Verdana" w:hAnsi="Verdana"/>
                <w:sz w:val="20"/>
                <w:szCs w:val="20"/>
                <w:lang w:val="sk-SK"/>
              </w:rPr>
            </w:pPr>
            <w:r>
              <w:rPr>
                <w:rFonts w:ascii="Verdana" w:hAnsi="Verdana"/>
                <w:sz w:val="20"/>
                <w:szCs w:val="20"/>
                <w:lang w:val="sk-SK"/>
              </w:rPr>
              <w:t>Zvýšenie medzinárodnej konkurencieschopnosti poisťovateľov</w:t>
            </w:r>
          </w:p>
        </w:tc>
      </w:tr>
    </w:tbl>
    <w:p w:rsidR="005C3F63" w:rsidRDefault="006536E7">
      <w:pPr>
        <w:spacing w:after="240"/>
        <w:jc w:val="center"/>
        <w:rPr>
          <w:rFonts w:ascii="Verdana" w:hAnsi="Verdana"/>
          <w:sz w:val="18"/>
          <w:szCs w:val="18"/>
          <w:lang w:val="sk-SK"/>
        </w:rPr>
      </w:pPr>
      <w:r>
        <w:rPr>
          <w:rFonts w:ascii="Verdana" w:hAnsi="Verdana"/>
          <w:sz w:val="18"/>
          <w:szCs w:val="18"/>
          <w:lang w:val="sk-SK"/>
        </w:rPr>
        <w:t>Zdroj: NBS</w:t>
      </w:r>
    </w:p>
    <w:p w:rsidR="005C3F63" w:rsidRDefault="006536E7">
      <w:pPr>
        <w:spacing w:after="120"/>
        <w:rPr>
          <w:rFonts w:ascii="Verdana" w:hAnsi="Verdana"/>
          <w:sz w:val="20"/>
          <w:szCs w:val="20"/>
          <w:lang w:val="sk-SK"/>
        </w:rPr>
      </w:pPr>
      <w:r>
        <w:rPr>
          <w:rFonts w:ascii="Verdana" w:hAnsi="Verdana"/>
          <w:sz w:val="20"/>
          <w:szCs w:val="20"/>
          <w:lang w:val="sk-SK"/>
        </w:rPr>
        <w:lastRenderedPageBreak/>
        <w:t>Smernica Solventnosť II je založená troch pilieroch: prvý pilier je zameraný na kvantitatívne požiadavky tak, aby bola zaručená solventnosť poisťovní. Poisťovne majú povinnosť vykazovať minimálnu kapitálovú požiadavku a kapitálovú požiadavku na solventnosť. Súčasťou tohto piliera sú aj požiadavky na technické rezervy, členenie vlastných zdrojov a oceňovanie aktív a záväzkov. Druhý pilier sa zameriava na kvalitatívne požiadavky a výkon dohľadu. Cieľom tretieho piliera, označovaného výkazníctvo a zverejňovanie, je oznamovať finančnú situáciu poisťovní orgánom dohľadu a zverejňovať požadované informácie v rámci transparentnosti podnikania v odvetví poisťovníctva, výsledkom čoho je lepšia informovanosť o finančnej situácii týchto finančných inštitúcií nielen pre orgány dohľadu, ale i pre ostatné zainteresované subjekty (Katríková, 2017). „Nastavenie nových pravidiel bolo dôležité na zaistenie bezpečnosti a spoľahlivosti poistného sektora, aby bol schopný poskytovať udržateľné poistné produkty a podporovať reálnu ekonomiku prostredníctvom dlhodobých investícií a dostatočnej finančnej stability.“ (Meluchová, 2019)</w:t>
      </w:r>
    </w:p>
    <w:p w:rsidR="005C3F63" w:rsidRDefault="006536E7">
      <w:pPr>
        <w:spacing w:after="120"/>
        <w:rPr>
          <w:rFonts w:ascii="Verdana" w:hAnsi="Verdana"/>
          <w:sz w:val="20"/>
          <w:szCs w:val="20"/>
          <w:lang w:val="sk-SK"/>
        </w:rPr>
      </w:pPr>
      <w:r>
        <w:rPr>
          <w:rFonts w:ascii="Verdana" w:hAnsi="Verdana"/>
          <w:sz w:val="20"/>
          <w:szCs w:val="20"/>
          <w:lang w:val="sk-SK"/>
        </w:rPr>
        <w:t xml:space="preserve">V otázke oceňovania majetku a záväzkov priniesla smernica Solventnosť II principiálne zmeny, založené na zásade trhovej hodnoty, t. j. reálneho oceňovania. Tým sa líši od svojej predchodkyne Solventnosti I, v ktorej bolo oceňovanie založené na účtovnej hodnote aktív a pasív. </w:t>
      </w:r>
    </w:p>
    <w:p w:rsidR="005C3F63" w:rsidRDefault="006536E7">
      <w:pPr>
        <w:spacing w:after="120"/>
        <w:rPr>
          <w:rFonts w:ascii="Verdana" w:hAnsi="Verdana"/>
          <w:sz w:val="20"/>
          <w:szCs w:val="20"/>
          <w:lang w:val="sk-SK"/>
        </w:rPr>
      </w:pPr>
      <w:r>
        <w:rPr>
          <w:rFonts w:ascii="Verdana" w:hAnsi="Verdana"/>
          <w:sz w:val="20"/>
          <w:szCs w:val="20"/>
          <w:lang w:val="sk-SK"/>
        </w:rPr>
        <w:t xml:space="preserve">Jednou z najvyšších položiek v súvahe poisťovní sú technické rezervy, predstavujúce záväzky poisťovne. Reálne ocenenie technických rezerv je zložitejšie ako ocenenie iných záväzkov poisťovne z dôvodu, že neexistuje trhová hodnota technickej rezervy (Katríková and Gajdošová, 2017). Solventnosť II venuje výpočtu technických rezerv náležitú pozornosť. Tvoria sa z dôvodu, že záväzky voči poistencom, vyplývajúce z poistných zmlúv, sú neznáme. Odhad vhodnej výšky technickej rezervy predstavuje jednu zo základných a kľúčových úloh aktuára (Strežo and Mucha, 2019). Je nevyhnutné poznamenať, že technická rezerva pre účely Solventnosti II má iný účel ako technická rezerva v účtovníctve: v Solventnosti II ide najmä o určenie kapitálových požiadaviek a umožňuje vykázanie budúcich ziskov už pri prvotnom ocenení, čo je v účtovníctve v rozpore so základnými princípmi (NBS, 2017). </w:t>
      </w:r>
    </w:p>
    <w:p w:rsidR="005C3F63" w:rsidRDefault="006536E7">
      <w:pPr>
        <w:spacing w:after="120"/>
        <w:rPr>
          <w:rFonts w:ascii="Verdana" w:hAnsi="Verdana"/>
          <w:b/>
          <w:bCs/>
          <w:sz w:val="20"/>
          <w:szCs w:val="20"/>
          <w:lang w:val="sk-SK"/>
        </w:rPr>
      </w:pPr>
      <w:r>
        <w:rPr>
          <w:rFonts w:ascii="Verdana" w:hAnsi="Verdana"/>
          <w:b/>
          <w:bCs/>
          <w:sz w:val="20"/>
          <w:szCs w:val="20"/>
          <w:lang w:val="sk-SK"/>
        </w:rPr>
        <w:t>Účtovné hľadisko oceňovania</w:t>
      </w:r>
    </w:p>
    <w:p w:rsidR="005C3F63" w:rsidRDefault="006536E7">
      <w:pPr>
        <w:spacing w:after="120"/>
        <w:rPr>
          <w:rFonts w:ascii="Verdana" w:hAnsi="Verdana"/>
          <w:sz w:val="20"/>
          <w:szCs w:val="20"/>
          <w:lang w:val="sk-SK"/>
        </w:rPr>
      </w:pPr>
      <w:r>
        <w:rPr>
          <w:rFonts w:ascii="Verdana" w:hAnsi="Verdana"/>
          <w:sz w:val="20"/>
          <w:szCs w:val="20"/>
          <w:lang w:val="sk-SK"/>
        </w:rPr>
        <w:t xml:space="preserve">Pri oceňovaní majetku, záväzkov a vlastného imania postupuje poisťovňa tak, aby sumy vykázané v účtovnej závierke boli v súlade s požiadavkami IFRS. Problematika oceňovania nie je zhrnutá do jedného štandardu, ale je riešená naprieč všetkými štandardmi, čo si vyžaduje dôkladnú znalosť celého súboru štandardov IFRS. </w:t>
      </w:r>
    </w:p>
    <w:p w:rsidR="005C3F63" w:rsidRDefault="006536E7">
      <w:pPr>
        <w:spacing w:after="120"/>
        <w:rPr>
          <w:rFonts w:ascii="Verdana" w:hAnsi="Verdana"/>
          <w:sz w:val="20"/>
          <w:szCs w:val="20"/>
          <w:lang w:val="sk-SK"/>
        </w:rPr>
      </w:pPr>
      <w:r>
        <w:rPr>
          <w:rFonts w:ascii="Verdana" w:hAnsi="Verdana"/>
          <w:sz w:val="20"/>
          <w:szCs w:val="20"/>
          <w:lang w:val="sk-SK"/>
        </w:rPr>
        <w:t>Jedným z najrelevantnejších štandardov pre poisťovne je štandard IFRS 4 Poistné zmluvy. Hlavným cieľom informácií vykázaných v súlade s týmto štandardom je umožniť používateľom údajov z účtovnej závierky získať verný a pravdivý obraz o výške, načasovaní a neistote budúcich peňažných tokov plynúcich z poistných zmlúv a umožniť im vyhodnotiť povahu a rozsah rizík plynúcich z týchto poistných zmlúv (Meluchová, 2019). IFRS 4 je účinný od 1. januára 2005. Aplikácia tohto štandardu v praxi však priniesla zníženie porovnateľnosti a zrozumiteľnosti vykazovaných údajov, pretože umožňuje mnohé výnimky z pravidiel a používanie lokálnych postupov účtovania a oceňovania. Uvedené nedostatky má odstrániť nový štandard IFRS 17 Poistné zmluvy, ktorého účinnosť už bola dvakrát posunutá a na základe rozhodnutia Rady pre medzinárodné účtovné štandardy (IASB) z marca 2020 nadobudne účinnosť od 1. januára 2023. Kľúčovými cieľmi IFRS 17 je zaviesť jednotný, vysoko transparentný účtovný model pre všetky typy poistných zmlúv, a v čo najvyššej miere zosúladiť účtovníctvo poisťovní s účtovníctvom iných odvetví (Deloitte, n.d.). „Štandard bude mať významný dopad na trvanie, výšku a volatilitu vykazovaného zisku, štruktúru a výšku vlastného imania, ako aj spôsob tvorby technických rezerv na očakávané zmluvné záväzky. Všetky tieto zmeny ovplyvnia aj doposiaľ používané poistno-matematické modely, kontrolné procesy a IT systémy, čo sa následne premietne do finančného vykazovania pre orgán dohľadu a do prezentácie a zverejňovania údajov v účtovnej závierke.“ (Meluchová, 2018)</w:t>
      </w:r>
    </w:p>
    <w:p w:rsidR="005C3F63" w:rsidRDefault="006536E7">
      <w:pPr>
        <w:spacing w:after="120"/>
        <w:rPr>
          <w:rFonts w:ascii="Verdana" w:hAnsi="Verdana"/>
          <w:sz w:val="20"/>
          <w:szCs w:val="20"/>
          <w:lang w:val="sk-SK"/>
        </w:rPr>
      </w:pPr>
      <w:r>
        <w:rPr>
          <w:rFonts w:ascii="Verdana" w:hAnsi="Verdana"/>
          <w:sz w:val="20"/>
          <w:szCs w:val="20"/>
          <w:lang w:val="sk-SK"/>
        </w:rPr>
        <w:lastRenderedPageBreak/>
        <w:t>Najzásadnejšie zmeny, ktoré prináša nový štandard IFRS 17, sa týkajú najmä informácií o hodnote záväzkov z poistenia a informácií o ziskovosti (IFRS Foundation, 2017). Poistné zmluvy budú oceňované pomocou aktuálnych odhadov a predpokladov, ktoré reflektujú načasovanie peňažných tokov a akékoľvek neistoty súvisiace s poistnými zmluvami. Poisťovne nebudú vykazovať zisk podľa toho, kedy príjmu poistné, ale podľa poskytnutia poistných služieb. Takisto budú poskytovať informácie o ziskoch z poistných zmlúv, ktoré poisťovňa očakáva v budúcnosti. Analýza Európskeho dohľadu pre poisťovníctvo a dôchodkového poistenie zamestnancov (EIOPA) ukázala, že pri implementácii IFRS 17 možno využiť niektoré dôležité vstupy a procesy vyvinuté pre aplikovanie Solventnosti II, pričom niektoré z nich si budú vyžadovať menšie či väčšie úpravy. EIOPA predpokladá zvýšenie efektívnosti najmä pri vykazovaní peňažných tokov, diskontných sadzieb a úprav rizika (EIOPA, 2018).</w:t>
      </w:r>
    </w:p>
    <w:p w:rsidR="005C3F63" w:rsidRDefault="006536E7">
      <w:pPr>
        <w:spacing w:after="120"/>
        <w:rPr>
          <w:rFonts w:ascii="Verdana" w:hAnsi="Verdana"/>
          <w:sz w:val="20"/>
          <w:szCs w:val="20"/>
          <w:lang w:val="sk-SK"/>
        </w:rPr>
      </w:pPr>
      <w:r>
        <w:rPr>
          <w:rFonts w:ascii="Verdana" w:hAnsi="Verdana"/>
          <w:sz w:val="20"/>
          <w:szCs w:val="20"/>
          <w:lang w:val="sk-SK"/>
        </w:rPr>
        <w:t>Metódy oceňovania podľa IFRS 17 sú v porovnaní s IFRS 4 bližšie k metódam oceňovania podľa Solventnosti II, no napriek tomu nemožno hovoriť o zhode. Napriek podobnostiam medzi IFRS 17 a Solventnosťou II, pri implementácii IFRS 17 budú poisťovne čeliť viacerým výzvam. Identifikácia spoločných a rozdielnych znakov si bude vyžadovať expertné znalosti poisťovacej činnosti, účtovníctva, vykazovania a zverejňovania informácií pre účely dohľadu i zostavenia účtovnej závierky.</w:t>
      </w:r>
    </w:p>
    <w:p w:rsidR="005C3F63" w:rsidRDefault="006536E7">
      <w:pPr>
        <w:pStyle w:val="Kapitola"/>
        <w:rPr>
          <w:lang w:val="sk-SK"/>
        </w:rPr>
      </w:pPr>
      <w:r>
        <w:rPr>
          <w:lang w:val="sk-SK"/>
        </w:rPr>
        <w:t>Záver / Conslusions</w:t>
      </w:r>
    </w:p>
    <w:p w:rsidR="005C3F63" w:rsidRDefault="006536E7">
      <w:pPr>
        <w:pStyle w:val="afd"/>
        <w:spacing w:after="120"/>
        <w:ind w:left="0"/>
        <w:rPr>
          <w:rFonts w:ascii="Verdana" w:hAnsi="Verdana"/>
          <w:sz w:val="20"/>
          <w:szCs w:val="20"/>
          <w:lang w:val="sk-SK"/>
        </w:rPr>
      </w:pPr>
      <w:r>
        <w:rPr>
          <w:rFonts w:ascii="Verdana" w:hAnsi="Verdana"/>
          <w:sz w:val="20"/>
          <w:szCs w:val="20"/>
          <w:lang w:val="sk-SK"/>
        </w:rPr>
        <w:t xml:space="preserve">Oceňovaniu je v účtovníctve právom venovaná zvýšená pozornosť, pretože ocenenie vplýva na finančnú situáciu a finančnú výkonnosť účtovnej jednotky a od správnosti ocenenia sa odvíja aj kvalita informácií, ktoré účtovníctvo poskytuje. Od všetkých účtovných jednotiek sa vyžaduje vykazovanie správnych, objektívnych a porovnateľných informácií. Komerčné poisťovne nie sú výnimkou. Vzhľadom na špecifický produkt, ktorý ponúkajú, sa ich činnosť odlišuje od činnosti bežných podnikateľských účtovných jednotiek tým, že spravujú predovšetkým cudzie zdroje – finančné prostriedky svojich klientov. V záujme ochrany klientov sú preto poisťovne pod neustálym dohľadom zo strany regulátora. </w:t>
      </w:r>
    </w:p>
    <w:p w:rsidR="005C3F63" w:rsidRDefault="006536E7">
      <w:pPr>
        <w:spacing w:after="120"/>
        <w:rPr>
          <w:rFonts w:ascii="Verdana" w:hAnsi="Verdana"/>
          <w:sz w:val="20"/>
          <w:szCs w:val="20"/>
          <w:lang w:val="sk-SK"/>
        </w:rPr>
      </w:pPr>
      <w:r>
        <w:rPr>
          <w:rFonts w:ascii="Verdana" w:hAnsi="Verdana"/>
          <w:sz w:val="20"/>
          <w:szCs w:val="20"/>
          <w:lang w:val="sk-SK"/>
        </w:rPr>
        <w:t xml:space="preserve">Činnosť poisťovní upravujú národné i nadnárodné právne normy, ktorých regulácia zahŕňa aj oceňovanie. V prípade poisťovní rozlišujeme dva účely oceňovania majetku, záväzkov a vlastného imania: oceňovanie podľa smernice Solventnosť II pre účely dohľadu, a oceňovanie podľa IFRS pre účely zostavenia účtovnej závierky. V príspevku sme sa zamerali na charakteristické znaky uvedených nadnárodných právnych noriem v kontexte oceňovania a vykazovania poisťovní. </w:t>
      </w:r>
    </w:p>
    <w:p w:rsidR="005C3F63" w:rsidRDefault="006536E7">
      <w:pPr>
        <w:spacing w:after="120"/>
        <w:rPr>
          <w:rFonts w:ascii="Verdana" w:hAnsi="Verdana"/>
          <w:sz w:val="20"/>
          <w:szCs w:val="20"/>
          <w:lang w:val="sk-SK"/>
        </w:rPr>
      </w:pPr>
      <w:r>
        <w:rPr>
          <w:rFonts w:ascii="Verdana" w:hAnsi="Verdana"/>
          <w:sz w:val="20"/>
          <w:szCs w:val="20"/>
          <w:lang w:val="sk-SK"/>
        </w:rPr>
        <w:t xml:space="preserve">Solventnosť II a IFRS sledujú odlišné ciele, z čoho vyplývajú mierne disparity v pohľade na oceňovanie a vykazovanie. Hoci existuje snaha o zmierňovanie týchto rozdielov, vzhľadom na rôznorodé ciele Solventnosti II a IFRS sa úplná zhoda nepredpokladá. </w:t>
      </w:r>
    </w:p>
    <w:p w:rsidR="005C3F63" w:rsidRDefault="006536E7">
      <w:pPr>
        <w:pStyle w:val="Kapitola"/>
        <w:rPr>
          <w:lang w:val="sk-SK"/>
        </w:rPr>
      </w:pPr>
      <w:r>
        <w:rPr>
          <w:lang w:val="sk-SK"/>
        </w:rPr>
        <w:t>Príslušnosť ku grantovej úlohe / Acknowledgements</w:t>
      </w:r>
    </w:p>
    <w:p w:rsidR="005C3F63" w:rsidRDefault="006536E7">
      <w:pPr>
        <w:spacing w:after="120"/>
        <w:rPr>
          <w:rFonts w:ascii="Verdana" w:hAnsi="Verdana"/>
          <w:sz w:val="20"/>
          <w:szCs w:val="20"/>
          <w:lang w:val="sk-SK"/>
        </w:rPr>
      </w:pPr>
      <w:r>
        <w:rPr>
          <w:rFonts w:ascii="Verdana" w:hAnsi="Verdana"/>
          <w:sz w:val="20"/>
          <w:szCs w:val="20"/>
          <w:lang w:val="sk-SK"/>
        </w:rPr>
        <w:t xml:space="preserve">Príspevok je výstupom z výskumného projektu: VEGA č. 1/0120/18 Moderné nástroje riadenia rizika v interných modeloch poisťovní v kontexte direktívy Solvency II. </w:t>
      </w:r>
    </w:p>
    <w:p w:rsidR="005C3F63" w:rsidRDefault="006536E7">
      <w:pPr>
        <w:pStyle w:val="Kapitola"/>
        <w:rPr>
          <w:lang w:val="sk-SK"/>
        </w:rPr>
      </w:pPr>
      <w:r>
        <w:rPr>
          <w:lang w:val="sk-SK"/>
        </w:rPr>
        <w:t>Literárne zdroje a iné odkazy / References</w:t>
      </w:r>
    </w:p>
    <w:p w:rsidR="005C3F63" w:rsidRDefault="006536E7">
      <w:pPr>
        <w:pStyle w:val="aff"/>
        <w:rPr>
          <w:rFonts w:ascii="Verdana" w:hAnsi="Verdana"/>
          <w:sz w:val="20"/>
          <w:szCs w:val="20"/>
          <w:lang w:val="en-GB"/>
        </w:rPr>
      </w:pPr>
      <w:r>
        <w:rPr>
          <w:rFonts w:ascii="Verdana" w:hAnsi="Verdana"/>
          <w:sz w:val="20"/>
          <w:szCs w:val="20"/>
          <w:lang w:val="sk-SK"/>
        </w:rPr>
        <w:t xml:space="preserve">Deloitte (n.d.). </w:t>
      </w:r>
      <w:r>
        <w:rPr>
          <w:rFonts w:ascii="Verdana" w:hAnsi="Verdana"/>
          <w:i/>
          <w:iCs/>
          <w:sz w:val="20"/>
          <w:szCs w:val="20"/>
          <w:lang w:val="sk-SK"/>
        </w:rPr>
        <w:t xml:space="preserve">IFRS 17. </w:t>
      </w:r>
      <w:r>
        <w:rPr>
          <w:rFonts w:ascii="Verdana" w:hAnsi="Verdana"/>
          <w:i/>
          <w:iCs/>
          <w:sz w:val="20"/>
          <w:szCs w:val="20"/>
          <w:lang w:val="en-GB"/>
        </w:rPr>
        <w:t>Introducing new standard.</w:t>
      </w:r>
      <w:r>
        <w:rPr>
          <w:rFonts w:ascii="Verdana" w:hAnsi="Verdana"/>
          <w:sz w:val="20"/>
          <w:szCs w:val="20"/>
          <w:lang w:val="en-GB"/>
        </w:rPr>
        <w:t xml:space="preserve"> Retrieved from: </w:t>
      </w:r>
      <w:hyperlink r:id="rId218" w:history="1">
        <w:r>
          <w:rPr>
            <w:rStyle w:val="af9"/>
            <w:sz w:val="20"/>
            <w:szCs w:val="20"/>
            <w:lang w:val="en-GB"/>
          </w:rPr>
          <w:t>https://www2.deloitte.com/ie/en/pages/financial-services/articles/ifrs-17-objectives.html#</w:t>
        </w:r>
      </w:hyperlink>
    </w:p>
    <w:p w:rsidR="005C3F63" w:rsidRDefault="006536E7">
      <w:pPr>
        <w:pStyle w:val="aff"/>
        <w:rPr>
          <w:rFonts w:ascii="Verdana" w:hAnsi="Verdana"/>
          <w:sz w:val="20"/>
          <w:szCs w:val="20"/>
          <w:lang w:val="en-GB"/>
        </w:rPr>
      </w:pPr>
      <w:r>
        <w:rPr>
          <w:rFonts w:ascii="Verdana" w:hAnsi="Verdana"/>
          <w:sz w:val="20"/>
          <w:szCs w:val="20"/>
          <w:lang w:val="en-GB"/>
        </w:rPr>
        <w:t xml:space="preserve">EIOPA (2018). </w:t>
      </w:r>
      <w:r>
        <w:rPr>
          <w:rFonts w:ascii="Verdana" w:hAnsi="Verdana"/>
          <w:i/>
          <w:iCs/>
          <w:sz w:val="20"/>
          <w:szCs w:val="20"/>
          <w:lang w:val="en-GB"/>
        </w:rPr>
        <w:t>EIOPA analyses the benefits of IFRS 17 Insurance Contracts</w:t>
      </w:r>
      <w:r>
        <w:rPr>
          <w:rFonts w:ascii="Verdana" w:hAnsi="Verdana"/>
          <w:sz w:val="20"/>
          <w:szCs w:val="20"/>
          <w:lang w:val="en-GB"/>
        </w:rPr>
        <w:t xml:space="preserve">. Retrieved from: </w:t>
      </w:r>
      <w:hyperlink r:id="rId219" w:history="1">
        <w:r>
          <w:rPr>
            <w:rStyle w:val="af9"/>
            <w:sz w:val="20"/>
            <w:szCs w:val="20"/>
            <w:lang w:val="en-GB"/>
          </w:rPr>
          <w:t>https://www.eiopa.europa.eu/content/eiopa-analyses-benefits-ifrs-17-insurance-contracts_en</w:t>
        </w:r>
      </w:hyperlink>
    </w:p>
    <w:p w:rsidR="005C3F63" w:rsidRDefault="006536E7">
      <w:pPr>
        <w:pStyle w:val="aff"/>
        <w:rPr>
          <w:rFonts w:ascii="Verdana" w:hAnsi="Verdana"/>
          <w:sz w:val="20"/>
          <w:szCs w:val="20"/>
          <w:lang w:val="en-GB"/>
        </w:rPr>
      </w:pPr>
      <w:r>
        <w:rPr>
          <w:rFonts w:ascii="Verdana" w:hAnsi="Verdana"/>
          <w:sz w:val="20"/>
          <w:szCs w:val="20"/>
          <w:lang w:val="en-GB"/>
        </w:rPr>
        <w:t xml:space="preserve">IFRS Foundation (2017). </w:t>
      </w:r>
      <w:r>
        <w:rPr>
          <w:rFonts w:ascii="Verdana" w:hAnsi="Verdana"/>
          <w:i/>
          <w:iCs/>
          <w:sz w:val="20"/>
          <w:szCs w:val="20"/>
          <w:lang w:val="en-GB"/>
        </w:rPr>
        <w:t>IFRS Standards Fact Sheet</w:t>
      </w:r>
      <w:r>
        <w:rPr>
          <w:rFonts w:ascii="Verdana" w:hAnsi="Verdana"/>
          <w:sz w:val="20"/>
          <w:szCs w:val="20"/>
          <w:lang w:val="en-GB"/>
        </w:rPr>
        <w:t xml:space="preserve">. Retrieved from: </w:t>
      </w:r>
      <w:hyperlink r:id="rId220" w:history="1">
        <w:r>
          <w:rPr>
            <w:rStyle w:val="af9"/>
            <w:sz w:val="20"/>
            <w:szCs w:val="20"/>
            <w:lang w:val="en-GB"/>
          </w:rPr>
          <w:t>https://www.ifrs.org/-/media/project/insurance-contracts/ifrs-standard/ifrs-17-factsheet. pdf</w:t>
        </w:r>
      </w:hyperlink>
    </w:p>
    <w:p w:rsidR="005C3F63" w:rsidRDefault="006536E7">
      <w:pPr>
        <w:pStyle w:val="aff"/>
        <w:rPr>
          <w:rFonts w:ascii="Verdana" w:hAnsi="Verdana"/>
          <w:sz w:val="20"/>
          <w:szCs w:val="20"/>
          <w:lang w:val="sk-SK"/>
        </w:rPr>
      </w:pPr>
      <w:r>
        <w:rPr>
          <w:rFonts w:ascii="Verdana" w:hAnsi="Verdana"/>
          <w:sz w:val="20"/>
          <w:szCs w:val="20"/>
          <w:lang w:val="sk-SK"/>
        </w:rPr>
        <w:t>Katríková, D. (2017). Režim dohľadu a systém správy a riadenia poisťovní podľa Solvency II. </w:t>
      </w:r>
      <w:r>
        <w:rPr>
          <w:rFonts w:ascii="Verdana" w:hAnsi="Verdana"/>
          <w:i/>
          <w:iCs/>
          <w:sz w:val="20"/>
          <w:szCs w:val="20"/>
          <w:lang w:val="sk-SK"/>
        </w:rPr>
        <w:t>Ekonomika a informatika: vedecký časopis FHI EU v Bratislave a SSHI,</w:t>
      </w:r>
      <w:r>
        <w:rPr>
          <w:rFonts w:ascii="Verdana" w:hAnsi="Verdana"/>
          <w:sz w:val="20"/>
          <w:szCs w:val="20"/>
          <w:lang w:val="sk-SK"/>
        </w:rPr>
        <w:t xml:space="preserve"> vol.15(1), pp. 38-49. </w:t>
      </w:r>
    </w:p>
    <w:p w:rsidR="005C3F63" w:rsidRDefault="006536E7">
      <w:pPr>
        <w:pStyle w:val="aff"/>
        <w:rPr>
          <w:rFonts w:ascii="Verdana" w:hAnsi="Verdana"/>
          <w:sz w:val="20"/>
          <w:szCs w:val="20"/>
          <w:lang w:val="en-GB"/>
        </w:rPr>
      </w:pPr>
      <w:r>
        <w:rPr>
          <w:rFonts w:ascii="Verdana" w:hAnsi="Verdana"/>
          <w:sz w:val="20"/>
          <w:szCs w:val="20"/>
          <w:lang w:val="sk-SK"/>
        </w:rPr>
        <w:lastRenderedPageBreak/>
        <w:t>Katríková, D., Gajdošová, Z. (2017).  </w:t>
      </w:r>
      <w:r>
        <w:rPr>
          <w:rFonts w:ascii="Verdana" w:hAnsi="Verdana"/>
          <w:sz w:val="20"/>
          <w:szCs w:val="20"/>
          <w:lang w:val="en-GB"/>
        </w:rPr>
        <w:t>Influence of Solvency II on valuing process of technical reserves and its disclosure in the financial statements according to IAS/IFRS. </w:t>
      </w:r>
      <w:r>
        <w:rPr>
          <w:rFonts w:ascii="Verdana" w:hAnsi="Verdana"/>
          <w:i/>
          <w:iCs/>
          <w:sz w:val="20"/>
          <w:szCs w:val="20"/>
          <w:lang w:val="en-GB"/>
        </w:rPr>
        <w:t>IFRS: Global rules &amp; local use: proceedings of the 4rd international scientific conference</w:t>
      </w:r>
      <w:r>
        <w:rPr>
          <w:rFonts w:ascii="Verdana" w:hAnsi="Verdana"/>
          <w:sz w:val="20"/>
          <w:szCs w:val="20"/>
          <w:lang w:val="en-GB"/>
        </w:rPr>
        <w:t>. Prague: Anglo-American University, pp. 137-146.</w:t>
      </w:r>
    </w:p>
    <w:p w:rsidR="005C3F63" w:rsidRDefault="006536E7">
      <w:pPr>
        <w:pStyle w:val="aff"/>
        <w:rPr>
          <w:rFonts w:ascii="Verdana" w:hAnsi="Verdana"/>
          <w:sz w:val="20"/>
          <w:szCs w:val="20"/>
          <w:lang w:val="sk-SK"/>
        </w:rPr>
      </w:pPr>
      <w:r>
        <w:rPr>
          <w:rFonts w:ascii="Verdana" w:hAnsi="Verdana"/>
          <w:sz w:val="20"/>
          <w:szCs w:val="20"/>
          <w:lang w:val="sk-SK"/>
        </w:rPr>
        <w:t xml:space="preserve">Kicová, M. (2018). Oceňovanie majetku a záväzkov v kontexte verného a pravdivého obrazu účtovnej závierky podnikateľov. </w:t>
      </w:r>
      <w:r>
        <w:rPr>
          <w:rFonts w:ascii="Verdana" w:hAnsi="Verdana"/>
          <w:i/>
          <w:iCs/>
          <w:sz w:val="20"/>
          <w:szCs w:val="20"/>
          <w:lang w:val="sk-SK"/>
        </w:rPr>
        <w:t>Aktuálne problémy podnikovej sféry 2018: zborník vedeckých prác</w:t>
      </w:r>
      <w:r>
        <w:rPr>
          <w:rFonts w:ascii="Verdana" w:hAnsi="Verdana"/>
          <w:sz w:val="20"/>
          <w:szCs w:val="20"/>
          <w:lang w:val="sk-SK"/>
        </w:rPr>
        <w:t xml:space="preserve">. Bratislava: Vydavateľstvo EKONÓM, pp. 513-522. </w:t>
      </w:r>
    </w:p>
    <w:p w:rsidR="005C3F63" w:rsidRDefault="006536E7">
      <w:pPr>
        <w:autoSpaceDE w:val="0"/>
        <w:autoSpaceDN w:val="0"/>
        <w:adjustRightInd w:val="0"/>
        <w:rPr>
          <w:rFonts w:ascii="Verdana" w:eastAsia="MS Mincho" w:hAnsi="Verdana"/>
          <w:kern w:val="2"/>
          <w:sz w:val="20"/>
          <w:szCs w:val="20"/>
          <w:shd w:val="clear" w:color="auto" w:fill="FFFFFF"/>
          <w:lang w:val="sk-SK" w:eastAsia="ja-JP" w:bidi="ar-SA"/>
        </w:rPr>
      </w:pPr>
      <w:r>
        <w:rPr>
          <w:rFonts w:ascii="Verdana" w:eastAsia="MS Mincho" w:hAnsi="Verdana"/>
          <w:kern w:val="2"/>
          <w:sz w:val="20"/>
          <w:szCs w:val="20"/>
          <w:shd w:val="clear" w:color="auto" w:fill="FFFFFF"/>
          <w:lang w:val="sk-SK" w:eastAsia="ja-JP" w:bidi="ar-SA"/>
        </w:rPr>
        <w:t xml:space="preserve">Krátka, Z. (2019). Kapitálové krytie investičného rizika poisťovne podľa regulácie Solventnosť II. </w:t>
      </w:r>
      <w:r>
        <w:rPr>
          <w:rFonts w:ascii="Verdana" w:eastAsia="MS Mincho" w:hAnsi="Verdana"/>
          <w:i/>
          <w:iCs/>
          <w:kern w:val="2"/>
          <w:sz w:val="20"/>
          <w:szCs w:val="20"/>
          <w:shd w:val="clear" w:color="auto" w:fill="FFFFFF"/>
          <w:lang w:val="sk-SK" w:eastAsia="ja-JP" w:bidi="ar-SA"/>
        </w:rPr>
        <w:t>Softvérová podpora v ekonomicko-matematických a aktuárskych modeloch.</w:t>
      </w:r>
      <w:r>
        <w:rPr>
          <w:rFonts w:ascii="Verdana" w:eastAsia="MS Mincho" w:hAnsi="Verdana"/>
          <w:kern w:val="2"/>
          <w:sz w:val="20"/>
          <w:szCs w:val="20"/>
          <w:shd w:val="clear" w:color="auto" w:fill="FFFFFF"/>
          <w:lang w:val="sk-SK" w:eastAsia="ja-JP" w:bidi="ar-SA"/>
        </w:rPr>
        <w:t xml:space="preserve"> </w:t>
      </w:r>
      <w:r>
        <w:rPr>
          <w:rFonts w:ascii="Verdana" w:hAnsi="Verdana"/>
          <w:sz w:val="20"/>
          <w:szCs w:val="20"/>
          <w:lang w:val="sk-SK"/>
        </w:rPr>
        <w:t>Bratislava: Vydavateľstvo EKONÓM, pp. 23-28.</w:t>
      </w:r>
    </w:p>
    <w:p w:rsidR="005C3F63" w:rsidRDefault="006536E7">
      <w:pPr>
        <w:pStyle w:val="aff"/>
        <w:rPr>
          <w:rFonts w:ascii="Verdana" w:hAnsi="Verdana"/>
          <w:sz w:val="20"/>
          <w:szCs w:val="20"/>
          <w:shd w:val="clear" w:color="auto" w:fill="auto"/>
          <w:lang w:val="sk-SK"/>
        </w:rPr>
      </w:pPr>
      <w:r>
        <w:rPr>
          <w:rFonts w:ascii="Verdana" w:hAnsi="Verdana"/>
          <w:sz w:val="20"/>
          <w:szCs w:val="20"/>
          <w:lang w:val="sk-SK"/>
        </w:rPr>
        <w:t xml:space="preserve">Meluchová, J. (2018). The new standard on Insurance Contracts – new perspective on insurance accounting and reporting. </w:t>
      </w:r>
      <w:r>
        <w:rPr>
          <w:rFonts w:ascii="Verdana" w:hAnsi="Verdana"/>
          <w:i/>
          <w:iCs/>
          <w:sz w:val="20"/>
          <w:szCs w:val="20"/>
          <w:lang w:val="sk-SK"/>
        </w:rPr>
        <w:t>Účetnictví a auditing v procesu světové harmonizace: sborník z mezinárodní vědecké conference</w:t>
      </w:r>
      <w:r>
        <w:rPr>
          <w:rFonts w:ascii="Verdana" w:hAnsi="Verdana"/>
          <w:sz w:val="20"/>
          <w:szCs w:val="20"/>
          <w:lang w:val="sk-SK"/>
        </w:rPr>
        <w:t>. Praha: Nakladatelství Oeconomica, pp. 107-111.</w:t>
      </w:r>
    </w:p>
    <w:p w:rsidR="005C3F63" w:rsidRDefault="006536E7">
      <w:pPr>
        <w:pStyle w:val="aff"/>
        <w:rPr>
          <w:rFonts w:ascii="Verdana" w:hAnsi="Verdana"/>
          <w:sz w:val="20"/>
          <w:szCs w:val="20"/>
          <w:lang w:val="sk-SK"/>
        </w:rPr>
      </w:pPr>
      <w:r>
        <w:rPr>
          <w:rFonts w:ascii="Verdana" w:hAnsi="Verdana"/>
          <w:sz w:val="20"/>
          <w:szCs w:val="20"/>
          <w:lang w:val="sk-SK"/>
        </w:rPr>
        <w:t>Meluchová, J. (2019). Účtovníctvo a výkazníctvo poisťovní podľa IFRS a Solventnosti II. Bratislava: Wolters Kluwer.</w:t>
      </w:r>
    </w:p>
    <w:p w:rsidR="005C3F63" w:rsidRDefault="006536E7">
      <w:pPr>
        <w:pStyle w:val="aff"/>
        <w:rPr>
          <w:rFonts w:ascii="Verdana" w:hAnsi="Verdana"/>
          <w:sz w:val="20"/>
          <w:szCs w:val="20"/>
          <w:lang w:val="sk-SK"/>
        </w:rPr>
      </w:pPr>
      <w:r>
        <w:rPr>
          <w:rFonts w:ascii="Verdana" w:hAnsi="Verdana"/>
          <w:sz w:val="20"/>
          <w:szCs w:val="20"/>
          <w:lang w:val="sk-SK"/>
        </w:rPr>
        <w:t xml:space="preserve">NBS (2017). </w:t>
      </w:r>
      <w:r>
        <w:rPr>
          <w:rFonts w:ascii="Verdana" w:hAnsi="Verdana"/>
          <w:i/>
          <w:iCs/>
          <w:sz w:val="20"/>
          <w:szCs w:val="20"/>
          <w:lang w:val="sk-SK"/>
        </w:rPr>
        <w:t>Výpočet technických rezerv</w:t>
      </w:r>
      <w:r>
        <w:rPr>
          <w:rFonts w:ascii="Verdana" w:hAnsi="Verdana"/>
          <w:sz w:val="20"/>
          <w:szCs w:val="20"/>
          <w:lang w:val="sk-SK"/>
        </w:rPr>
        <w:t xml:space="preserve">.  Retrieved from: </w:t>
      </w:r>
      <w:hyperlink r:id="rId221" w:history="1">
        <w:r>
          <w:rPr>
            <w:rStyle w:val="af9"/>
            <w:sz w:val="20"/>
            <w:szCs w:val="20"/>
            <w:lang w:val="sk-SK"/>
          </w:rPr>
          <w:t>https://www.nbs.sk/sk/dohlad -nad-financnym-trhom/dohlad/poistovnictvo/nazory-a-stanoviska/vypocet-technickych-rezerv</w:t>
        </w:r>
      </w:hyperlink>
    </w:p>
    <w:p w:rsidR="005C3F63" w:rsidRDefault="006536E7">
      <w:pPr>
        <w:pStyle w:val="aff"/>
        <w:rPr>
          <w:rFonts w:ascii="Verdana" w:hAnsi="Verdana"/>
          <w:sz w:val="20"/>
          <w:szCs w:val="20"/>
          <w:lang w:val="sk-SK"/>
        </w:rPr>
      </w:pPr>
      <w:r>
        <w:rPr>
          <w:rFonts w:ascii="Verdana" w:hAnsi="Verdana"/>
          <w:sz w:val="20"/>
          <w:szCs w:val="20"/>
          <w:lang w:val="sk-SK"/>
        </w:rPr>
        <w:t xml:space="preserve">NBS (n.d.). </w:t>
      </w:r>
      <w:r>
        <w:rPr>
          <w:rFonts w:ascii="Verdana" w:hAnsi="Verdana"/>
          <w:i/>
          <w:iCs/>
          <w:sz w:val="20"/>
          <w:szCs w:val="20"/>
          <w:lang w:val="sk-SK"/>
        </w:rPr>
        <w:t>Solventnosť II</w:t>
      </w:r>
      <w:r>
        <w:rPr>
          <w:rFonts w:ascii="Verdana" w:hAnsi="Verdana"/>
          <w:sz w:val="20"/>
          <w:szCs w:val="20"/>
          <w:lang w:val="sk-SK"/>
        </w:rPr>
        <w:t xml:space="preserve">. Retrieved from: </w:t>
      </w:r>
      <w:hyperlink r:id="rId222" w:history="1">
        <w:r>
          <w:rPr>
            <w:rStyle w:val="af9"/>
            <w:sz w:val="20"/>
            <w:szCs w:val="20"/>
            <w:lang w:val="sk-SK"/>
          </w:rPr>
          <w:t>http://www.nbs.sk/_img/Documents/ _Dohlad/ORM/Poistovnictvo/Solventnost_II.pdf</w:t>
        </w:r>
      </w:hyperlink>
    </w:p>
    <w:p w:rsidR="005C3F63" w:rsidRDefault="006536E7">
      <w:pPr>
        <w:pStyle w:val="aff"/>
        <w:rPr>
          <w:rFonts w:ascii="Verdana" w:hAnsi="Verdana"/>
          <w:sz w:val="20"/>
          <w:szCs w:val="20"/>
          <w:lang w:val="en-GB"/>
        </w:rPr>
      </w:pPr>
      <w:r>
        <w:rPr>
          <w:rFonts w:ascii="Verdana" w:hAnsi="Verdana"/>
          <w:sz w:val="20"/>
          <w:szCs w:val="20"/>
          <w:lang w:val="en-GB"/>
        </w:rPr>
        <w:t xml:space="preserve">Needles, B. E. et al. (2005). </w:t>
      </w:r>
      <w:r>
        <w:rPr>
          <w:rFonts w:ascii="Verdana" w:hAnsi="Verdana"/>
          <w:i/>
          <w:iCs/>
          <w:sz w:val="20"/>
          <w:szCs w:val="20"/>
          <w:lang w:val="en-GB"/>
        </w:rPr>
        <w:t>Financial &amp; managerial accounting</w:t>
      </w:r>
      <w:r>
        <w:rPr>
          <w:rFonts w:ascii="Verdana" w:hAnsi="Verdana"/>
          <w:sz w:val="20"/>
          <w:szCs w:val="20"/>
          <w:lang w:val="en-GB"/>
        </w:rPr>
        <w:t xml:space="preserve">. 7th ed. Boston: Houghton Mifflin Company. </w:t>
      </w:r>
    </w:p>
    <w:p w:rsidR="005C3F63" w:rsidRDefault="006536E7">
      <w:pPr>
        <w:pStyle w:val="aff"/>
        <w:rPr>
          <w:rFonts w:ascii="Verdana" w:hAnsi="Verdana"/>
          <w:sz w:val="20"/>
          <w:szCs w:val="20"/>
          <w:lang w:val="sk-SK"/>
        </w:rPr>
      </w:pPr>
      <w:r>
        <w:rPr>
          <w:rFonts w:ascii="Verdana" w:hAnsi="Verdana"/>
          <w:sz w:val="20"/>
          <w:szCs w:val="20"/>
          <w:lang w:val="sk-SK"/>
        </w:rPr>
        <w:t>Smernica Európskeho parlamentu a Rady 2009/138/ES z 25. novembra 2009 o začatí a vykonávaní poistenia a zaistenia (Solventnosť II) v znení neskorších predpisov.</w:t>
      </w:r>
    </w:p>
    <w:p w:rsidR="005C3F63" w:rsidRDefault="006536E7">
      <w:pPr>
        <w:autoSpaceDE w:val="0"/>
        <w:autoSpaceDN w:val="0"/>
        <w:adjustRightInd w:val="0"/>
        <w:rPr>
          <w:rFonts w:ascii="Verdana" w:hAnsi="Verdana"/>
          <w:sz w:val="20"/>
          <w:szCs w:val="20"/>
          <w:lang w:val="sk-SK"/>
        </w:rPr>
      </w:pPr>
      <w:r>
        <w:rPr>
          <w:rFonts w:ascii="Verdana" w:eastAsia="MS Mincho" w:hAnsi="Verdana"/>
          <w:kern w:val="2"/>
          <w:sz w:val="20"/>
          <w:szCs w:val="20"/>
          <w:shd w:val="clear" w:color="auto" w:fill="FFFFFF"/>
          <w:lang w:val="sk-SK" w:eastAsia="ja-JP" w:bidi="ar-SA"/>
        </w:rPr>
        <w:t xml:space="preserve">Strežo, M., Mucha, V. (2019). Modelovanie rizika rezerv založeného na agregovaných (trojuholníkových) dátach pomocou </w:t>
      </w:r>
      <w:r>
        <w:rPr>
          <w:rFonts w:ascii="Verdana" w:hAnsi="Verdana"/>
          <w:sz w:val="20"/>
          <w:szCs w:val="20"/>
          <w:lang w:val="sk-SK"/>
        </w:rPr>
        <w:t xml:space="preserve">zovšeobecnených lineárnych modelov. </w:t>
      </w:r>
      <w:r>
        <w:rPr>
          <w:rFonts w:ascii="Verdana" w:eastAsia="MS Mincho" w:hAnsi="Verdana"/>
          <w:i/>
          <w:iCs/>
          <w:kern w:val="2"/>
          <w:sz w:val="20"/>
          <w:szCs w:val="20"/>
          <w:shd w:val="clear" w:color="auto" w:fill="FFFFFF"/>
          <w:lang w:val="sk-SK" w:eastAsia="ja-JP" w:bidi="ar-SA"/>
        </w:rPr>
        <w:t>Softvérová podpora v ekonomicko-matematických a aktuárskych modeloch.</w:t>
      </w:r>
      <w:r>
        <w:rPr>
          <w:rFonts w:ascii="Verdana" w:eastAsia="MS Mincho" w:hAnsi="Verdana"/>
          <w:kern w:val="2"/>
          <w:sz w:val="20"/>
          <w:szCs w:val="20"/>
          <w:shd w:val="clear" w:color="auto" w:fill="FFFFFF"/>
          <w:lang w:val="sk-SK" w:eastAsia="ja-JP" w:bidi="ar-SA"/>
        </w:rPr>
        <w:t xml:space="preserve"> </w:t>
      </w:r>
      <w:r>
        <w:rPr>
          <w:rFonts w:ascii="Verdana" w:hAnsi="Verdana"/>
          <w:sz w:val="20"/>
          <w:szCs w:val="20"/>
          <w:lang w:val="sk-SK"/>
        </w:rPr>
        <w:t>Bratislava: Vydavateľstvo EKONÓM, pp. 75-82.</w:t>
      </w:r>
    </w:p>
    <w:p w:rsidR="005C3F63" w:rsidRDefault="006536E7">
      <w:pPr>
        <w:pStyle w:val="aff"/>
        <w:rPr>
          <w:rFonts w:ascii="Verdana" w:hAnsi="Verdana"/>
          <w:sz w:val="20"/>
          <w:szCs w:val="20"/>
          <w:lang w:val="sk-SK"/>
        </w:rPr>
      </w:pPr>
      <w:r>
        <w:rPr>
          <w:rFonts w:ascii="Verdana" w:hAnsi="Verdana"/>
          <w:sz w:val="20"/>
          <w:szCs w:val="20"/>
          <w:lang w:val="sk-SK"/>
        </w:rPr>
        <w:t>Zákon č. 39/2015 Z. z. o poisťovníctve a o zmene a doplnení niektorých zákonov v znení neskorších predpisov.</w:t>
      </w:r>
    </w:p>
    <w:p w:rsidR="005C3F63" w:rsidRDefault="006536E7">
      <w:pPr>
        <w:pStyle w:val="aff"/>
        <w:rPr>
          <w:rFonts w:ascii="Verdana" w:hAnsi="Verdana"/>
          <w:sz w:val="20"/>
          <w:szCs w:val="20"/>
          <w:lang w:val="sk-SK"/>
        </w:rPr>
      </w:pPr>
      <w:r>
        <w:rPr>
          <w:rFonts w:ascii="Verdana" w:hAnsi="Verdana"/>
          <w:sz w:val="20"/>
          <w:szCs w:val="20"/>
          <w:lang w:val="sk-SK"/>
        </w:rPr>
        <w:t>Zákon č. 431/2002 Z. z. o účtovníctve v znení neskorších predpisov.</w:t>
      </w:r>
    </w:p>
    <w:p w:rsidR="005C3F63" w:rsidRDefault="006536E7">
      <w:pPr>
        <w:jc w:val="left"/>
        <w:rPr>
          <w:rFonts w:ascii="Verdana" w:eastAsia="MS Mincho" w:hAnsi="Verdana"/>
          <w:kern w:val="2"/>
          <w:sz w:val="20"/>
          <w:szCs w:val="20"/>
          <w:shd w:val="clear" w:color="auto" w:fill="FFFFFF"/>
          <w:lang w:val="sk-SK" w:eastAsia="ja-JP" w:bidi="ar-SA"/>
        </w:rPr>
      </w:pPr>
      <w:r>
        <w:rPr>
          <w:rFonts w:ascii="Verdana" w:hAnsi="Verdana"/>
          <w:sz w:val="20"/>
          <w:szCs w:val="20"/>
          <w:lang w:val="sk-SK"/>
        </w:rPr>
        <w:br w:type="page"/>
      </w:r>
    </w:p>
    <w:p w:rsidR="005C3F63" w:rsidRDefault="006536E7">
      <w:pPr>
        <w:pStyle w:val="1"/>
      </w:pPr>
      <w:bookmarkStart w:id="960" w:name="_Toc47951552"/>
      <w:r>
        <w:lastRenderedPageBreak/>
        <w:t>Statutory Audit of Consolidated Financial Statements</w:t>
      </w:r>
      <w:bookmarkEnd w:id="960"/>
    </w:p>
    <w:p w:rsidR="005C3F63" w:rsidRDefault="006536E7">
      <w:pPr>
        <w:pStyle w:val="Autor"/>
      </w:pPr>
      <w:bookmarkStart w:id="961" w:name="_Toc47433565"/>
      <w:bookmarkStart w:id="962" w:name="_Toc47447180"/>
      <w:bookmarkStart w:id="963" w:name="_Toc47439814"/>
      <w:bookmarkStart w:id="964" w:name="_Toc47435476"/>
      <w:bookmarkStart w:id="965" w:name="_Toc47440132"/>
      <w:bookmarkStart w:id="966" w:name="_Toc47449337"/>
      <w:bookmarkStart w:id="967" w:name="_Toc47451178"/>
      <w:bookmarkStart w:id="968" w:name="_Toc47447999"/>
      <w:bookmarkStart w:id="969" w:name="_Toc47948757"/>
      <w:bookmarkStart w:id="970" w:name="_Toc47948818"/>
      <w:bookmarkStart w:id="971" w:name="_Toc47441531"/>
      <w:bookmarkStart w:id="972" w:name="_Toc47444464"/>
      <w:bookmarkStart w:id="973" w:name="_Toc47443459"/>
      <w:bookmarkStart w:id="974" w:name="_Toc47439004"/>
      <w:bookmarkStart w:id="975" w:name="_Toc47448217"/>
      <w:bookmarkStart w:id="976" w:name="_Toc47443591"/>
      <w:bookmarkStart w:id="977" w:name="_Toc47444307"/>
      <w:bookmarkStart w:id="978" w:name="_Toc47446726"/>
      <w:bookmarkStart w:id="979" w:name="_Toc47951553"/>
      <w:bookmarkStart w:id="980" w:name="_Toc47441718"/>
      <w:bookmarkStart w:id="981" w:name="_Toc47448579"/>
      <w:bookmarkStart w:id="982" w:name="_Toc47951488"/>
      <w:bookmarkStart w:id="983" w:name="_Toc47949330"/>
      <w:bookmarkStart w:id="984" w:name="_Toc47445749"/>
      <w:bookmarkStart w:id="985" w:name="_Toc47444618"/>
      <w:bookmarkStart w:id="986" w:name="_Toc47440904"/>
      <w:bookmarkStart w:id="987" w:name="_Toc47446124"/>
      <w:bookmarkStart w:id="988" w:name="_Toc47441651"/>
      <w:bookmarkStart w:id="989" w:name="_Toc47448634"/>
      <w:bookmarkStart w:id="990" w:name="_Toc47448135"/>
      <w:bookmarkStart w:id="991" w:name="_Toc47447945"/>
      <w:bookmarkStart w:id="992" w:name="_Toc47445972"/>
      <w:bookmarkStart w:id="993" w:name="_Toc47448339"/>
      <w:bookmarkStart w:id="994" w:name="_Toc47446384"/>
      <w:bookmarkStart w:id="995" w:name="_Toc47448862"/>
      <w:bookmarkStart w:id="996" w:name="_Toc47441231"/>
      <w:bookmarkStart w:id="997" w:name="_Toc47442711"/>
      <w:bookmarkStart w:id="998" w:name="_Toc47951395"/>
      <w:bookmarkStart w:id="999" w:name="_Toc47448081"/>
      <w:bookmarkStart w:id="1000" w:name="_Toc47444156"/>
      <w:bookmarkStart w:id="1001" w:name="_Toc47443692"/>
      <w:bookmarkStart w:id="1002" w:name="_Toc47949016"/>
      <w:r>
        <w:rPr>
          <w:rStyle w:val="AutorChar"/>
          <w:b/>
        </w:rPr>
        <w:t>Lenka Užíková</w:t>
      </w:r>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p>
    <w:p w:rsidR="005C3F63" w:rsidRDefault="006536E7">
      <w:pPr>
        <w:jc w:val="center"/>
        <w:rPr>
          <w:rFonts w:ascii="Verdana" w:hAnsi="Verdana"/>
          <w:sz w:val="18"/>
          <w:szCs w:val="18"/>
        </w:rPr>
      </w:pPr>
      <w:r>
        <w:rPr>
          <w:rFonts w:ascii="Verdana" w:hAnsi="Verdana"/>
          <w:sz w:val="18"/>
          <w:szCs w:val="18"/>
        </w:rPr>
        <w:t xml:space="preserve">University of Economics in Bratislava </w:t>
      </w:r>
    </w:p>
    <w:p w:rsidR="005C3F63" w:rsidRDefault="006536E7">
      <w:pPr>
        <w:jc w:val="center"/>
        <w:rPr>
          <w:rFonts w:ascii="Verdana" w:hAnsi="Verdana"/>
          <w:sz w:val="18"/>
          <w:szCs w:val="18"/>
        </w:rPr>
      </w:pPr>
      <w:r>
        <w:rPr>
          <w:rFonts w:ascii="Verdana" w:hAnsi="Verdana"/>
          <w:sz w:val="18"/>
          <w:szCs w:val="18"/>
        </w:rPr>
        <w:t>Faculty of Economic Informatics, Department of Accounting and Auditing</w:t>
      </w:r>
    </w:p>
    <w:p w:rsidR="005C3F63" w:rsidRDefault="006536E7">
      <w:pPr>
        <w:jc w:val="center"/>
        <w:rPr>
          <w:rFonts w:ascii="Verdana" w:hAnsi="Verdana"/>
          <w:sz w:val="18"/>
          <w:szCs w:val="18"/>
        </w:rPr>
      </w:pPr>
      <w:r>
        <w:rPr>
          <w:rFonts w:ascii="Verdana" w:hAnsi="Verdana"/>
          <w:sz w:val="18"/>
          <w:szCs w:val="18"/>
        </w:rPr>
        <w:t>Dolnozemská cesta 1/b, 852 35 Bratislava, Slovak Republic</w:t>
      </w:r>
    </w:p>
    <w:p w:rsidR="005C3F63" w:rsidRDefault="006536E7">
      <w:pPr>
        <w:jc w:val="center"/>
        <w:rPr>
          <w:rFonts w:ascii="Verdana" w:hAnsi="Verdana"/>
          <w:sz w:val="18"/>
          <w:szCs w:val="18"/>
          <w:lang w:val="de-DE"/>
        </w:rPr>
      </w:pPr>
      <w:r>
        <w:rPr>
          <w:rFonts w:ascii="Verdana" w:hAnsi="Verdana"/>
          <w:sz w:val="18"/>
          <w:szCs w:val="18"/>
          <w:lang w:val="de-DE"/>
        </w:rPr>
        <w:t xml:space="preserve">E-mail: </w:t>
      </w:r>
      <w:r>
        <w:rPr>
          <w:sz w:val="18"/>
          <w:szCs w:val="18"/>
          <w:lang w:val="de-DE"/>
        </w:rPr>
        <w:t>uzikova.lenka@gmail.com</w:t>
      </w:r>
      <w:r>
        <w:rPr>
          <w:rFonts w:ascii="Verdana" w:hAnsi="Verdana"/>
          <w:sz w:val="18"/>
          <w:szCs w:val="18"/>
          <w:lang w:val="de-DE"/>
        </w:rPr>
        <w:t xml:space="preserve"> </w:t>
      </w:r>
    </w:p>
    <w:p w:rsidR="005C3F63" w:rsidRDefault="005C3F63">
      <w:pPr>
        <w:rPr>
          <w:rFonts w:ascii="Verdana" w:hAnsi="Verdana"/>
          <w:sz w:val="22"/>
          <w:lang w:val="de-DE"/>
        </w:rPr>
      </w:pPr>
    </w:p>
    <w:p w:rsidR="005C3F63" w:rsidRDefault="006536E7">
      <w:pPr>
        <w:spacing w:after="120"/>
        <w:rPr>
          <w:rFonts w:ascii="Verdana" w:hAnsi="Verdana"/>
          <w:i/>
          <w:sz w:val="20"/>
          <w:szCs w:val="20"/>
          <w:lang w:val="en-GB"/>
        </w:rPr>
      </w:pPr>
      <w:r>
        <w:rPr>
          <w:rFonts w:ascii="Verdana" w:hAnsi="Verdana"/>
          <w:b/>
          <w:i/>
          <w:sz w:val="20"/>
          <w:szCs w:val="20"/>
          <w:lang w:val="en-GB"/>
        </w:rPr>
        <w:t xml:space="preserve">Abstract: </w:t>
      </w:r>
      <w:r>
        <w:rPr>
          <w:rFonts w:ascii="Verdana" w:hAnsi="Verdana"/>
          <w:i/>
          <w:sz w:val="20"/>
          <w:szCs w:val="20"/>
          <w:lang w:val="en-GB"/>
        </w:rPr>
        <w:t>Many areas related to consolidated financial statements are often more difficult to understand than just individual financial statements, because in all respect it is always more complicated situation, as consolidated financial statements contain financial statements of several entities, and it is precisely at this point problems are often occurred in preparing the consolidated financial statements correctly. It is very difficult for entity which has to prepare it, or more precisely during finding information, if this entity has an obligation prepare this financial statements, and if it does, then which entities belong to consolidated group, use to be many blurs. And then it is even more complicated for the auditor to verify these financial statements on behalf of the group.</w:t>
      </w:r>
    </w:p>
    <w:p w:rsidR="005C3F63" w:rsidRDefault="006536E7">
      <w:pPr>
        <w:spacing w:after="120"/>
        <w:rPr>
          <w:rFonts w:ascii="Verdana" w:hAnsi="Verdana"/>
          <w:i/>
          <w:sz w:val="20"/>
          <w:szCs w:val="20"/>
          <w:lang w:val="en-GB"/>
        </w:rPr>
      </w:pPr>
      <w:r>
        <w:rPr>
          <w:rFonts w:ascii="Verdana" w:hAnsi="Verdana"/>
          <w:b/>
          <w:i/>
          <w:sz w:val="20"/>
          <w:szCs w:val="20"/>
          <w:lang w:val="en-GB"/>
        </w:rPr>
        <w:t>Keywords:</w:t>
      </w:r>
      <w:r>
        <w:rPr>
          <w:rFonts w:ascii="Verdana" w:hAnsi="Verdana"/>
          <w:i/>
          <w:sz w:val="20"/>
          <w:szCs w:val="20"/>
          <w:lang w:val="en-GB"/>
        </w:rPr>
        <w:t xml:space="preserve"> statutory audit, consolidated financial statements, auditor/audit firm</w:t>
      </w:r>
    </w:p>
    <w:p w:rsidR="005C3F63" w:rsidRDefault="006536E7">
      <w:pPr>
        <w:pStyle w:val="04-Anotacijostekstas"/>
        <w:spacing w:before="0" w:after="120"/>
        <w:ind w:left="0" w:right="-284"/>
        <w:jc w:val="left"/>
        <w:rPr>
          <w:rFonts w:ascii="Verdana" w:hAnsi="Verdana"/>
          <w:i/>
          <w:lang w:val="en-GB"/>
        </w:rPr>
      </w:pPr>
      <w:r>
        <w:rPr>
          <w:rFonts w:ascii="Verdana" w:hAnsi="Verdana"/>
          <w:i/>
          <w:lang w:val="en-GB"/>
        </w:rPr>
        <w:t>JEL codes: M42</w:t>
      </w:r>
    </w:p>
    <w:p w:rsidR="005C3F63" w:rsidRDefault="006536E7">
      <w:pPr>
        <w:pStyle w:val="Kapitola"/>
        <w:rPr>
          <w:lang w:val="sk-SK"/>
        </w:rPr>
      </w:pPr>
      <w:r>
        <w:rPr>
          <w:rStyle w:val="KapitolaChar"/>
          <w:b/>
          <w:bCs/>
        </w:rPr>
        <w:t xml:space="preserve">1 Úvod </w:t>
      </w:r>
      <w:r>
        <w:rPr>
          <w:rStyle w:val="KapitolaChar"/>
          <w:b/>
          <w:bCs/>
          <w:lang w:val="sk-SK"/>
        </w:rPr>
        <w:t>/ Introduction</w:t>
      </w:r>
    </w:p>
    <w:p w:rsidR="005C3F63" w:rsidRDefault="006536E7">
      <w:pPr>
        <w:spacing w:after="120"/>
        <w:rPr>
          <w:rFonts w:ascii="Verdana" w:hAnsi="Verdana"/>
          <w:sz w:val="20"/>
          <w:szCs w:val="20"/>
          <w:lang w:val="sk-SK"/>
        </w:rPr>
      </w:pPr>
      <w:r>
        <w:rPr>
          <w:rFonts w:ascii="Verdana" w:hAnsi="Verdana"/>
          <w:sz w:val="20"/>
          <w:szCs w:val="20"/>
          <w:lang w:val="sk-SK"/>
        </w:rPr>
        <w:t>Príspevok úzko súvisí s rámcovým projektom vypracovaným k téme budúcej dizertačnej práce. Hlavným cieľom dizertačnej práce bude podrobne spracovať a následne analyzovať všetky procesy, ktoré vykonáva audítor počas overovania konsolidovanej účtovnej závierky zostavenej v Slovenskej republike podľa medzinárodných štandardov finančného vykazovania (Tumpach, 2006). Budeme sa zaoberať všetkými špecifikami, ktoré vyplývajú z auditu konsolidovanej účtovnej závierky, ako aj rôznymi problémami, s ktorými sa stretávajú zostavovatelia konsolidovaných účtovných závierok a teda aj následne audítor, respektíve audítorská firma, ktorá konsolidovanú účtovnú závierku overuje. V tomto príspevku sa však k tomuto cieľu priblížime iba z hľadiska definovania základných pojmov, metód vhodných pre zostavovanie konsolidovanej účtovnej závierky ako aj informácie o tom, aké sú súčasti konsolidovanej účtovnej závierky a v neposlednom rade sa budeme venovať aj samotným požiadavkám na štatutárny audit konsolidovanej účtovnej závierky, ktoré v súčasnosti podľa právnych predpisov existujú.</w:t>
      </w:r>
    </w:p>
    <w:p w:rsidR="005C3F63" w:rsidRDefault="006536E7">
      <w:pPr>
        <w:spacing w:after="120"/>
        <w:rPr>
          <w:rFonts w:ascii="Verdana" w:hAnsi="Verdana"/>
          <w:sz w:val="20"/>
          <w:szCs w:val="20"/>
          <w:lang w:val="sk-SK"/>
        </w:rPr>
      </w:pPr>
      <w:r>
        <w:rPr>
          <w:rFonts w:ascii="Verdana" w:hAnsi="Verdana"/>
          <w:sz w:val="20"/>
          <w:szCs w:val="20"/>
          <w:lang w:val="sk-SK"/>
        </w:rPr>
        <w:t xml:space="preserve">Najdôležitejším faktom spracovania tejto témy je skutočnosť, že v tejto oblasti chýba legislatíva a to hlavne na národnej úrovni. Avšak, čo je dôležité, štatutárny audit konsolidovanej účtovnej závierky je najvyšší level auditu, v ktorom sa nachádza mnoho nejasností, problémových oblastí a tiež veľa špecifických oblastí, v ktorých postupy audítora nie sú vždy jasne vysvetlené, ako má audítor v danej situácii konať, preto vidíme veľký prínos v spracovaní tejto témy. </w:t>
      </w:r>
    </w:p>
    <w:p w:rsidR="005C3F63" w:rsidRDefault="006536E7">
      <w:pPr>
        <w:spacing w:before="240" w:after="120"/>
        <w:jc w:val="left"/>
        <w:rPr>
          <w:rFonts w:ascii="Verdana" w:hAnsi="Verdana" w:cs="Arial"/>
          <w:bCs/>
          <w:kern w:val="32"/>
          <w:sz w:val="18"/>
          <w:szCs w:val="18"/>
          <w:lang w:val="sk-SK" w:eastAsia="cs-CZ" w:bidi="ar-SA"/>
        </w:rPr>
      </w:pPr>
      <w:r>
        <w:rPr>
          <w:rStyle w:val="KapitolaChar"/>
          <w:lang w:val="sk-SK"/>
        </w:rPr>
        <w:t>2 Metodológia a zdrojové údaje / Methodology and Data</w:t>
      </w:r>
    </w:p>
    <w:p w:rsidR="005C3F63" w:rsidRDefault="006536E7">
      <w:pPr>
        <w:spacing w:after="120"/>
        <w:rPr>
          <w:rFonts w:ascii="Verdana" w:hAnsi="Verdana"/>
          <w:bCs/>
          <w:sz w:val="16"/>
          <w:lang w:val="sk-SK"/>
        </w:rPr>
      </w:pPr>
      <w:r>
        <w:rPr>
          <w:rFonts w:ascii="Verdana" w:hAnsi="Verdana"/>
          <w:sz w:val="20"/>
          <w:lang w:val="sk-SK"/>
        </w:rPr>
        <w:t xml:space="preserve">Audit konsolidovanej účtovnej závierky je oveľa významnejší ale aj problematickejší ako audit individuálnej účtovnej závierky. V príspevku sa budeme venovať osvojeniu základných pojmov nevyhnutných pre správne pochopenie konsolidovanej účtovnej závierky. Budeme používať metódu komparácie, nakoľko budeme porovnávať metódy vhodné na zostavenie konsolidovanej účtovnej závierky a tiež využijeme metódu analýzy pri detailnom rozpracovaní jednotlivých súčasti konsolidovanej účtovnej závierky. </w:t>
      </w:r>
    </w:p>
    <w:p w:rsidR="005C3F63" w:rsidRDefault="006536E7">
      <w:pPr>
        <w:spacing w:after="120"/>
        <w:rPr>
          <w:rFonts w:ascii="Verdana" w:hAnsi="Verdana"/>
          <w:bCs/>
          <w:sz w:val="20"/>
          <w:lang w:val="sk-SK"/>
        </w:rPr>
      </w:pPr>
      <w:r>
        <w:rPr>
          <w:rFonts w:ascii="Verdana" w:hAnsi="Verdana"/>
          <w:bCs/>
          <w:sz w:val="20"/>
          <w:lang w:val="sk-SK"/>
        </w:rPr>
        <w:t xml:space="preserve">V záverečnej časti príspevku sa budeme venovať samotnému štatutárnemu auditu konsolidovanej účtovnej závierky. V tejto časti si ukážeme dva rôzne pohľady na audit konsolidovanej účtovnej závierky, teda podľa národnej právnej úpravy, pričom v tomto prípade budeme postupovať konkrétne podľa Zákona č. </w:t>
      </w:r>
      <w:r>
        <w:rPr>
          <w:rFonts w:ascii="Verdana" w:hAnsi="Verdana"/>
          <w:sz w:val="20"/>
          <w:szCs w:val="20"/>
          <w:lang w:val="sk-SK"/>
        </w:rPr>
        <w:t xml:space="preserve">423/2015 Z. z. o štatutárnom audite a o zmene a doplnení zákona č. 431/2002 Z. z. o účtovníctve v znení neskorších predpisov, </w:t>
      </w:r>
      <w:r>
        <w:rPr>
          <w:rFonts w:ascii="Verdana" w:hAnsi="Verdana"/>
          <w:bCs/>
          <w:sz w:val="20"/>
          <w:lang w:val="sk-SK"/>
        </w:rPr>
        <w:t xml:space="preserve">a aj podľa nadnárodnej právnej úpravy, teda konkrétne podľa medzinárodných </w:t>
      </w:r>
      <w:r>
        <w:rPr>
          <w:rFonts w:ascii="Verdana" w:hAnsi="Verdana"/>
          <w:bCs/>
          <w:sz w:val="20"/>
          <w:lang w:val="sk-SK"/>
        </w:rPr>
        <w:lastRenderedPageBreak/>
        <w:t>audítorských štandardov – ISA 600 Špeciálne úvahy – audit účtovnej závierky skupiny vrátane práce audítorov komponentov (</w:t>
      </w:r>
      <w:r>
        <w:rPr>
          <w:rFonts w:ascii="Verdana" w:hAnsi="Verdana"/>
          <w:sz w:val="20"/>
          <w:szCs w:val="20"/>
          <w:lang w:val="sk-SK"/>
        </w:rPr>
        <w:t xml:space="preserve">Krišková a Užík, 2019). </w:t>
      </w:r>
    </w:p>
    <w:p w:rsidR="005C3F63" w:rsidRDefault="006536E7">
      <w:pPr>
        <w:pStyle w:val="Kapitola"/>
        <w:rPr>
          <w:lang w:val="sk-SK"/>
        </w:rPr>
      </w:pPr>
      <w:r>
        <w:rPr>
          <w:szCs w:val="22"/>
          <w:lang w:val="sk-SK"/>
        </w:rPr>
        <w:t>3 Výsledky a diskusia / Results and Discussion</w:t>
      </w:r>
    </w:p>
    <w:p w:rsidR="005C3F63" w:rsidRDefault="006536E7">
      <w:pPr>
        <w:spacing w:after="120"/>
        <w:rPr>
          <w:rFonts w:ascii="Verdana" w:hAnsi="Verdana"/>
          <w:sz w:val="20"/>
          <w:szCs w:val="20"/>
          <w:lang w:val="sk-SK"/>
        </w:rPr>
      </w:pPr>
      <w:r>
        <w:rPr>
          <w:rFonts w:ascii="Verdana" w:hAnsi="Verdana"/>
          <w:sz w:val="20"/>
          <w:szCs w:val="20"/>
          <w:lang w:val="sk-SK"/>
        </w:rPr>
        <w:t>Účtovná závierka podľa národnej legislatívy Slovenskej republiky musí byť zostavená tak, aby prezentovala verný a pravdivý obraz o finančnej situácii účtovnej jednotky, za ktorú je zostavená. Každá účtovná jednotka zostavuje účtovnú závierku v prípadoch, ktoré ustanovuje zákon o účtovníctve (Zákon č. 431/2002 Z. z. o účtovníctve v znení neskorších predpisov).</w:t>
      </w:r>
    </w:p>
    <w:p w:rsidR="005C3F63" w:rsidRDefault="006536E7">
      <w:pPr>
        <w:spacing w:after="120"/>
        <w:rPr>
          <w:rFonts w:ascii="Verdana" w:hAnsi="Verdana"/>
          <w:sz w:val="20"/>
          <w:szCs w:val="20"/>
          <w:lang w:val="sk-SK"/>
        </w:rPr>
      </w:pPr>
      <w:r>
        <w:rPr>
          <w:rFonts w:ascii="Verdana" w:hAnsi="Verdana"/>
          <w:sz w:val="20"/>
          <w:szCs w:val="20"/>
          <w:lang w:val="sk-SK"/>
        </w:rPr>
        <w:t xml:space="preserve">Konsolidovaná účtovná závierka sa zostavuje v prípadoch, kedy táto povinnosť vyplýva materskej účtovnej jednotke a tá ju zostavuje za všetky účtovné jednotky v skupine. Podľa slovenských právnych predpisov musí byť každá konsolidovaná účtovná závierka overená audítorom, túto povinnosť nájdeme v zákone o účtovníctve. Konsolidovanú účtovnú závierku môžeme považovať za účtovnú závierku viacerých podnikov, ktorá je zostavená ako keby za jeden podnik, teda celok, ktorého súčasťou sú jednotlivé podniky v skupine. Konsolidovaná účtovná závierka má pre používateľov veľký význam, pretože individuálne účtovné závierky všetkých podnikov by nedávali dostatočne pravdivé informácie, pretože sú tam napríklad aj rôzne duplicity, ktoré je potrebné eliminovať. </w:t>
      </w:r>
    </w:p>
    <w:p w:rsidR="005C3F63" w:rsidRDefault="006536E7">
      <w:pPr>
        <w:spacing w:after="120"/>
        <w:rPr>
          <w:rFonts w:ascii="Verdana" w:hAnsi="Verdana"/>
          <w:sz w:val="20"/>
          <w:szCs w:val="20"/>
          <w:lang w:val="sk-SK"/>
        </w:rPr>
      </w:pPr>
      <w:r>
        <w:rPr>
          <w:rFonts w:ascii="Verdana" w:hAnsi="Verdana"/>
          <w:sz w:val="20"/>
          <w:szCs w:val="20"/>
          <w:lang w:val="sk-SK"/>
        </w:rPr>
        <w:t xml:space="preserve">Materská účtovná jednotka je účtovná jednotka, ktorá má rozhodujúci vplyv v inej účtovnej jednotke, respektíve ktorá vykonáva kontrolu nad inou účtovnou jednotkou, ktorá je zároveň obchodnou spoločnosťou. </w:t>
      </w:r>
    </w:p>
    <w:p w:rsidR="005C3F63" w:rsidRDefault="006536E7">
      <w:pPr>
        <w:spacing w:after="120"/>
        <w:rPr>
          <w:rFonts w:ascii="Verdana" w:hAnsi="Verdana"/>
          <w:sz w:val="20"/>
          <w:szCs w:val="20"/>
          <w:lang w:val="sk-SK"/>
        </w:rPr>
      </w:pPr>
      <w:r>
        <w:rPr>
          <w:rFonts w:ascii="Verdana" w:hAnsi="Verdana"/>
          <w:sz w:val="20"/>
          <w:szCs w:val="20"/>
          <w:lang w:val="sk-SK"/>
        </w:rPr>
        <w:t xml:space="preserve">Dcérska účtovná jednotka je účtovná jednotka, v ktorej má materská účtovná jednotka rozhodujúci vplyv, teda má nad ňou kontrolu. Môže ju mať priamo, alebo aj nepriamo prostredníctvom inej dcérskej účtovnej jednotky. </w:t>
      </w:r>
    </w:p>
    <w:p w:rsidR="005C3F63" w:rsidRDefault="006536E7">
      <w:pPr>
        <w:spacing w:after="120"/>
        <w:rPr>
          <w:rFonts w:ascii="Verdana" w:hAnsi="Verdana"/>
          <w:sz w:val="20"/>
          <w:szCs w:val="20"/>
          <w:lang w:val="sk-SK"/>
        </w:rPr>
      </w:pPr>
      <w:r>
        <w:rPr>
          <w:rFonts w:ascii="Verdana" w:hAnsi="Verdana"/>
          <w:sz w:val="20"/>
          <w:szCs w:val="20"/>
          <w:lang w:val="sk-SK"/>
        </w:rPr>
        <w:t xml:space="preserve">Spoločný podnik – ide o podnik, ktorý ovládajú viacerí investori spoločne. </w:t>
      </w:r>
    </w:p>
    <w:p w:rsidR="005C3F63" w:rsidRDefault="006536E7">
      <w:pPr>
        <w:spacing w:after="120"/>
        <w:rPr>
          <w:rFonts w:ascii="Verdana" w:hAnsi="Verdana"/>
          <w:sz w:val="20"/>
          <w:szCs w:val="20"/>
          <w:lang w:val="sk-SK"/>
        </w:rPr>
      </w:pPr>
      <w:r>
        <w:rPr>
          <w:rFonts w:ascii="Verdana" w:hAnsi="Verdana"/>
          <w:sz w:val="20"/>
          <w:szCs w:val="20"/>
          <w:lang w:val="sk-SK"/>
        </w:rPr>
        <w:t xml:space="preserve">Podstatný vplyv vzniká vtedy, keď investor vlastní 20 % a viac v inej účtovnej jednotke, ale nemá rozhodujúci vplyv, teda ju neovláda. Avšak, môže vlastniť aj menej ako 20 % a preukázať podstatný vplyv inými právomocami. </w:t>
      </w:r>
    </w:p>
    <w:p w:rsidR="005C3F63" w:rsidRDefault="006536E7">
      <w:pPr>
        <w:spacing w:after="120"/>
        <w:rPr>
          <w:rFonts w:ascii="Verdana" w:hAnsi="Verdana"/>
          <w:b/>
          <w:bCs/>
          <w:lang w:val="sk-SK"/>
        </w:rPr>
      </w:pPr>
      <w:r>
        <w:rPr>
          <w:rFonts w:ascii="Verdana" w:hAnsi="Verdana"/>
          <w:sz w:val="20"/>
          <w:szCs w:val="20"/>
          <w:lang w:val="sk-SK"/>
        </w:rPr>
        <w:t>Či už ide o rozhodujúci vplyv, podstatný vplyv alebo spoločné podnikanie, všetky tieto účtovné jednotky musia byť zahrnuté do konsolidovaného celku, čo znamená, že materská účtovná jednotka musí zostaviť konsolidovanú účtovnú závierku za všetky tieto účtovné jednotky. To však neplatí v prípade, ak je materská účtovná jednotka oslobodená od zostavovania konsolidovanej účtovnej závierky. Môže ísť o tri prípady, pričom jedným z nich je, ak je materská účtovná jednotka zároveň aj dcérskou účtovnou jednotkou, v ktorej má materská účtovná jednotka najmenej 90 % hlasovacích práv a všetci ostatní vlastníci súhlasia s oslobodením tejto účtovnej jednotky od zostavovania konsolidovanej účtovnej závierky; táto materská účtovná jednotka má sídlo v jednom z členských štátov Európskej únie, pričom musí byť splnená podmienka, aby materská účtovná jednotka tejto účtovnej jednotky zostavovala konsolidovanú účtovnú závierku a tá bola následne overená audítorom. Druhou možnosťou je, že materská účtovná jednotka nemusí zostavovať konsolidovanú účtovnú závierku na základe veľkostných kritérií, pričom sú určujúce kritéria, ako čistý obrat, celková suma majetku a prepočítaný počet zamestnancov, čo sa však nevzťahuje na účtovné jednotky, ktoré sú subjektami verejného záujmu. Oslobodenie materskej účtovnej jednotky môže byť tiež z dôvodu existencie prekážok, ktoré materskej účtovnej jednotke zabránia pri výkone povinnosti voči dcérskej účtovnej jednotke, alebo ak údaje o konsolidovanej účtovnej závierke je možné získať len za neprimerane vysoké náklady a teda by to nebolo v žiadnom prípade efektívne, alebo ak má materská účtovná jednotka podiel v dcérskej účtovnej jednotke len z dôvodu jeho ďalšieho predaja.</w:t>
      </w:r>
      <w:r>
        <w:rPr>
          <w:rFonts w:ascii="Verdana" w:hAnsi="Verdana"/>
          <w:b/>
          <w:bCs/>
          <w:lang w:val="sk-SK"/>
        </w:rPr>
        <w:t xml:space="preserve"> </w:t>
      </w:r>
    </w:p>
    <w:p w:rsidR="005C3F63" w:rsidRDefault="006536E7">
      <w:pPr>
        <w:spacing w:after="120"/>
        <w:rPr>
          <w:rFonts w:ascii="Verdana" w:hAnsi="Verdana"/>
          <w:sz w:val="20"/>
          <w:szCs w:val="20"/>
          <w:lang w:val="sk-SK"/>
        </w:rPr>
      </w:pPr>
      <w:r>
        <w:rPr>
          <w:rFonts w:ascii="Verdana" w:hAnsi="Verdana"/>
          <w:sz w:val="20"/>
          <w:szCs w:val="20"/>
          <w:lang w:val="sk-SK"/>
        </w:rPr>
        <w:t xml:space="preserve">Pri zostavovaní konsolidovanej účtovnej závierky môžu byť použité rôzne metódy, podľa určitých kritérií. Týmito kritériami sú vplyvy materskej účtovnej jednotky, akými disponuje v závislosti od ostatných účtovných jednotiek konsolidovaného celku. </w:t>
      </w:r>
    </w:p>
    <w:p w:rsidR="005C3F63" w:rsidRDefault="006536E7">
      <w:pPr>
        <w:spacing w:after="120"/>
        <w:rPr>
          <w:rFonts w:ascii="Verdana" w:hAnsi="Verdana"/>
          <w:sz w:val="20"/>
          <w:szCs w:val="20"/>
          <w:lang w:val="sk-SK"/>
        </w:rPr>
      </w:pPr>
      <w:r>
        <w:rPr>
          <w:rFonts w:ascii="Verdana" w:hAnsi="Verdana"/>
          <w:sz w:val="20"/>
          <w:szCs w:val="20"/>
          <w:lang w:val="sk-SK"/>
        </w:rPr>
        <w:lastRenderedPageBreak/>
        <w:t xml:space="preserve">Ak zostavuje konsolidovanú účtovnú závierku materská účtovná jednotka, ktorá má rozhodujúci vplyv vo svojej dcérskej účtovnej jednotke, tak využíva metódu úplnej konsolidácie. V prípade, že ide o spoločné podnikanie, teda spoločný podnik, alebo o pridružený podnik, v ktorom má zostavovateľ konsolidovanej účtovnej závierky podstatný vplyv, využíva metódu vlastného imania. </w:t>
      </w:r>
    </w:p>
    <w:p w:rsidR="005C3F63" w:rsidRDefault="006536E7">
      <w:pPr>
        <w:spacing w:after="120"/>
        <w:rPr>
          <w:rFonts w:ascii="Verdana" w:hAnsi="Verdana"/>
          <w:sz w:val="20"/>
          <w:szCs w:val="20"/>
          <w:lang w:val="sk-SK"/>
        </w:rPr>
      </w:pPr>
      <w:r>
        <w:rPr>
          <w:rFonts w:ascii="Verdana" w:hAnsi="Verdana"/>
          <w:sz w:val="20"/>
          <w:szCs w:val="20"/>
          <w:lang w:val="sk-SK"/>
        </w:rPr>
        <w:t xml:space="preserve">Metóda úplnej konsolidácie – v tomto prípade sa uskutočňujú všetky konsolidačné operácie na báze agregovaných výkazov. Uskutočňuje sa len v prípade, ak má materská účtovná jednotka kontrolu nad dcérskou účtovnou jednotkou, pretože to znamená, že môže rozhodovať o všetkých významných otázkach, ktoré sa týkajú dcérskej účtovnej jednotky. Metóda úplnej konsolidácie sa uskutočňuje spravidla v štyroch krokoch: konsolidácia kapitálu (pretože tu existujú rôzne duplicity, ako napríklad investícia v dcérskej účtovnej jednotke a podiel na vlastnom imaní, pričom túto duplicitu je potrebné odstrániť, aby účtovná závierka dávala verný a pravdivý obraz o finančnej situácii skupiny, a tiež v tomto kroku zisťujeme, či vznikol goodwill alebo zisk z výhodnej kúpy); konsolidácia vzájomných pohľadávok a záväzkov (v prípade, ak vznikli medzi materskou účtovnou jednotkou a dcérskou účtovnou jednotkou pohľadávky a záväzky, je potrebné ich eliminovať), konsolidácia medzivýsledku (pretože medzi materskou účtovnou jednotkou a dcérskou účtovnou jednotkou mohol vzniknúť napríklad pri predaji zisk alebo strata, čo je potrebné eliminovať, pretože keby boli jednou právnickou jednotkou, tak by takáto skutočnosť nikdy nenastala a s tým je potrebné odstrániť aj ostatné skutočnosti, napríklad znížiť odpisy, zvýšiť účtovnú hodnotu majetku a podobne) a konsolidácia vzájomných nákladov a výnosov. </w:t>
      </w:r>
    </w:p>
    <w:p w:rsidR="005C3F63" w:rsidRDefault="006536E7">
      <w:pPr>
        <w:spacing w:after="120"/>
        <w:rPr>
          <w:rFonts w:ascii="Verdana" w:hAnsi="Verdana"/>
          <w:sz w:val="20"/>
          <w:szCs w:val="20"/>
          <w:lang w:val="sk-SK"/>
        </w:rPr>
      </w:pPr>
      <w:r>
        <w:rPr>
          <w:rFonts w:ascii="Verdana" w:hAnsi="Verdana"/>
          <w:sz w:val="20"/>
          <w:szCs w:val="20"/>
          <w:lang w:val="sk-SK"/>
        </w:rPr>
        <w:t>Metóda vlastného imania nie je založená na fikcii právnickej jednotky, ako je tomu pri metóde úplnej konsolidácie. Táto metóda sa používa v prípade podielov s podstatným vplyvom, pričom o podstatný vplyv ide v prípade podielu vo výške 20 % a viac, pokiaľ nejde o dcérsky podnik. Tiež sa táto metóda používa v prípade spoločného podniku. Princíp tejto metódy spočíva v tom, že sa preceňujú podiely v pridružených podnikoch. Vykazujú sa tak, aby zohľadňovali pomernú časť vlastného imania pridruženého podniku. Táto metóda spočíva v konsolidácii kapitálu, pričom nám aj v tomto prípade môže vzniknúť goodwill alebo zisk z výhodnej kúpy, ako je tomu aj pri metóde úplnej konsolidácie. Avšak, v tomto prípade sa goodwill vykazuje ako súčasť ocenenia podielu v tomto pridruženom podniku a zisk z výhodnej kúpy je súčasťou ocenenia podielu v podniku. V prípade metódy vlastného imania, môžeme poukázať tiež na rozdiel vo vykázaní precenenia podielov v spoločných a pridružených podnikov podľa slovenských právnych predpisov a podľa medzinárodných štandardov finančného vykazovania. Zatiaľ čo podľa slovenských právnych predpisov sa tieto oceňovacie rozdiely vykazujú vo vlastnom imaní, teda v súvahe, podľa medzinárodných štandardov finančného vykazovania sa oceňovacie rozdiely prejavia vo výkaze ziskov a strát. Keďže sa v tejto metóde preceňujú podiely, a teda dochádza k zmene účtovnej hodnoty týchto podielov, v nadväznosti na to sa musia vykonať postupy, ktoré vyplývajú z toho, že nám vzniká rozdiel medzi účtovnou a daňovou hodnotou.</w:t>
      </w:r>
    </w:p>
    <w:p w:rsidR="005C3F63" w:rsidRDefault="006536E7">
      <w:pPr>
        <w:spacing w:after="120"/>
        <w:rPr>
          <w:rFonts w:ascii="Verdana" w:hAnsi="Verdana"/>
          <w:sz w:val="20"/>
          <w:szCs w:val="20"/>
          <w:lang w:val="sk-SK"/>
        </w:rPr>
      </w:pPr>
      <w:r>
        <w:rPr>
          <w:rFonts w:ascii="Verdana" w:hAnsi="Verdana"/>
          <w:sz w:val="20"/>
          <w:szCs w:val="20"/>
          <w:lang w:val="sk-SK"/>
        </w:rPr>
        <w:t>Súčasťou konsolidovanej účtovnej závierky sú: konsolidovaný výkaz o finančnej situácii, konsolidovaný výkaz komplexného výsledku, konsolidovaný výkaz zmien vlastného imania, konsolidovaný výkaz peňažných tokov a poznámky (Hvoždarová, Sapara a Užík, 2014).</w:t>
      </w:r>
    </w:p>
    <w:p w:rsidR="005C3F63" w:rsidRDefault="006536E7">
      <w:pPr>
        <w:spacing w:after="120"/>
        <w:rPr>
          <w:rFonts w:ascii="Verdana" w:hAnsi="Verdana"/>
          <w:sz w:val="20"/>
          <w:szCs w:val="20"/>
          <w:lang w:val="sk-SK"/>
        </w:rPr>
      </w:pPr>
      <w:r>
        <w:rPr>
          <w:rFonts w:ascii="Verdana" w:hAnsi="Verdana"/>
          <w:sz w:val="20"/>
          <w:szCs w:val="20"/>
          <w:lang w:val="sk-SK"/>
        </w:rPr>
        <w:t xml:space="preserve">Konsolidovaný výkaz o finančnej situácii – obsahovou náplňou tohto výkazu je majetok, záväzky a vlastné imanie všetkých podnikov konsolidovaného celku, ako keby išlo o jeden podnik, čiže sú tu agregované všetky položky týchto účtovných jednotiek s výnimkou tých položiek, ktoré predstavujú duplicity, a teda je potrebné ich navzájom eliminovať. Špecifické položky v tomto výkaze, ktoré sa v individuálnych účtovných výkazoch nenachádzajú sú v majetku (investície účtované v prípade použitia metódy vlastného imania a goodwill) a vo vlastnom imaní (nekontrolujúce podiely, čím označujeme menšinové podiely, ktoré nepatria materskej účtovnej jednotke). </w:t>
      </w:r>
    </w:p>
    <w:p w:rsidR="005C3F63" w:rsidRDefault="006536E7">
      <w:pPr>
        <w:spacing w:after="120"/>
        <w:rPr>
          <w:rFonts w:ascii="Verdana" w:hAnsi="Verdana"/>
          <w:sz w:val="20"/>
          <w:szCs w:val="20"/>
          <w:lang w:val="sk-SK"/>
        </w:rPr>
      </w:pPr>
      <w:r>
        <w:rPr>
          <w:rFonts w:ascii="Verdana" w:hAnsi="Verdana"/>
          <w:sz w:val="20"/>
          <w:szCs w:val="20"/>
          <w:lang w:val="sk-SK"/>
        </w:rPr>
        <w:t xml:space="preserve">Konsolidovaný výkaz komplexného výsledku - náklady, výnosy, zisk prípadne strata a komplexný výsledok sú vykázané v tomto výkaze tak, ako aj v prípade </w:t>
      </w:r>
      <w:r>
        <w:rPr>
          <w:rFonts w:ascii="Verdana" w:hAnsi="Verdana"/>
          <w:sz w:val="20"/>
          <w:szCs w:val="20"/>
          <w:lang w:val="sk-SK"/>
        </w:rPr>
        <w:lastRenderedPageBreak/>
        <w:t xml:space="preserve">konsolidovaného výkazu o finančnej situácii, teda sú agregované všetky položky podnikov konsolidovaného celku, ako keby tvorili jeden podnik. Tu však musíme rozlišovať, či materská účtovná jednotka založila dcérsky podnik, alebo ho nadobudla v priebehu účtovného obdobia, pretože v prípade nadobudnutia v priebehu účtovného obdobia vstupujú do konsolidovaného výkazu iba tie položky, ktoré vznikli po dni akvizície, teda náklady a výnosy, ktoré vznikli pred dňom akvizície sa v konsolidovanom výkaze komplexného výsledku nebudú nachádzať. Špecifickou položkou v tomto výkaze je pri použití metódy vlastného imania položka „Podiel na zisku a strate pridružených podnikov“, pretože táto položka sa v individuálnom výkaze podnikov nenachádza. Aj v tomto výkaze musíme určité položky eliminovať, pretože sa tu môžu nachádzať vzájomné náklady a výnosy, ktoré by sa v prípade, že by išlo o jeden podnik, v tomto výkaze nenachádzali. </w:t>
      </w:r>
    </w:p>
    <w:p w:rsidR="005C3F63" w:rsidRDefault="006536E7">
      <w:pPr>
        <w:spacing w:after="120"/>
        <w:rPr>
          <w:rFonts w:ascii="Verdana" w:hAnsi="Verdana"/>
          <w:sz w:val="20"/>
          <w:szCs w:val="20"/>
          <w:lang w:val="sk-SK"/>
        </w:rPr>
      </w:pPr>
      <w:r>
        <w:rPr>
          <w:rFonts w:ascii="Verdana" w:hAnsi="Verdana"/>
          <w:sz w:val="20"/>
          <w:szCs w:val="20"/>
          <w:lang w:val="sk-SK"/>
        </w:rPr>
        <w:t>Konsolidovaný výkaz zmien vlastného imania – tento výkaz obsahuje všetky zmeny položiek vlastného imania dcérskeho podniku, upravený o vplyvy konsolidačných úprav a tiež zmeny vlastného imania dcérskeho podniku, resp. dcérskych podnikov, tie ale až od dátumu akvizície, teda od dňa prvej konsolidácie kapitálu. Tento výkaz nadväzuje bezprostredne na konsolidovaný výkaz o finančnej situácii, nakoľko začiatočné aj konečné stavy vlastného imania sa zhodujú s údajmi v tomto výkaze.</w:t>
      </w:r>
    </w:p>
    <w:p w:rsidR="005C3F63" w:rsidRDefault="006536E7">
      <w:pPr>
        <w:spacing w:after="120"/>
        <w:rPr>
          <w:rFonts w:ascii="Verdana" w:hAnsi="Verdana"/>
          <w:sz w:val="20"/>
          <w:szCs w:val="20"/>
          <w:lang w:val="sk-SK"/>
        </w:rPr>
      </w:pPr>
      <w:r>
        <w:rPr>
          <w:rFonts w:ascii="Verdana" w:hAnsi="Verdana"/>
          <w:sz w:val="20"/>
          <w:szCs w:val="20"/>
          <w:lang w:val="sk-SK"/>
        </w:rPr>
        <w:t xml:space="preserve">Konsolidovaný výkaz peňažných tokov – v tomto výkaze sú obsiahnuté všetky príjmy a výdavky, avšak len medzi konsolidovaným celkom a okolím, to znamená, že sa tu nemôžu nachádzať príjmy a výdavky v skupine konsolidovaného celku, musia sa eliminovať. Špecifickou položkou tohto výkazu je výdavok materského podniku na obstaranie podielu v dcérskom podniku, pretože tento podiel je síce vykázaný, ale je znížený o peňažné prostriedky dcérskeho podniku ku dňu akvizície. Tak, ako to je v konsolidovanom výkaze komplexného výsledku, že výkaz obsahuje náklady, výnosy, zisk, stratu a komplexný výsledok dcérskeho podniku až od momentu akvizície, tak je tomu aj v tomto prípade, teda konsolidovaný výkaz peňažných tokov môže obsahovať príjmy a výdavky dcérskeho podniku až od momentu akvizície. </w:t>
      </w:r>
    </w:p>
    <w:p w:rsidR="005C3F63" w:rsidRDefault="006536E7">
      <w:pPr>
        <w:spacing w:after="120"/>
        <w:rPr>
          <w:rFonts w:ascii="Verdana" w:hAnsi="Verdana"/>
          <w:sz w:val="20"/>
          <w:szCs w:val="20"/>
          <w:lang w:val="sk-SK"/>
        </w:rPr>
      </w:pPr>
      <w:r>
        <w:rPr>
          <w:rFonts w:ascii="Verdana" w:hAnsi="Verdana"/>
          <w:sz w:val="20"/>
          <w:szCs w:val="20"/>
          <w:lang w:val="sk-SK"/>
        </w:rPr>
        <w:t>Poznámky ku konsolidovaným účtovným výkazom by mali na rozdiel od poznámok k individuálnym účtovným výkazom obsahovať všetky údaje o konsolidácii, respektíve o konsolidovanom celku, teda popis konsolidácie, aké postupy boli použité, aký bol spôsob zahrnutia do konsolidovaného celku, všetky postupy použité pri konsolidácii podľa použitia jednotlivých metód. V poznámkach by sa tiež mali nachádzať údaje o goodwille, respektíve zisku z výhodnej kúpy a nekontrolujúce podiely. Poznámky ku konsolidovaným účtovným výkazom tiež obsahujú aj údaje, ktoré sa bežne nachádzajú v poznámkach k individuálnym účtovným výkazom.</w:t>
      </w:r>
    </w:p>
    <w:p w:rsidR="005C3F63" w:rsidRDefault="006536E7">
      <w:pPr>
        <w:spacing w:after="120"/>
        <w:rPr>
          <w:rFonts w:ascii="Verdana" w:hAnsi="Verdana"/>
          <w:sz w:val="20"/>
          <w:szCs w:val="20"/>
          <w:lang w:val="sk-SK"/>
        </w:rPr>
      </w:pPr>
      <w:r>
        <w:rPr>
          <w:rFonts w:ascii="Verdana" w:hAnsi="Verdana"/>
          <w:sz w:val="20"/>
          <w:szCs w:val="20"/>
          <w:lang w:val="sk-SK"/>
        </w:rPr>
        <w:t xml:space="preserve">Štatutárny audítor, ktorý vykonáva audit konsolidovaného celku, teda konsolidovanej účtovnej závierky je zodpovedný za správu audítora konsolidovaného celku a ak sa vyhotovuje, tak aj za dodatočnú správu pre výbor pre audit. Štatutárny audítor konsolidovaného celku je tiež povinný vyhodnotiť a zdokumentovať audítorskú prácu štatutárneho audítora, respektíve audítorskej spoločnosti a rozsah výkonu auditu, ktorý je potrebný pre audit konsolidovaného celku. </w:t>
      </w:r>
    </w:p>
    <w:p w:rsidR="005C3F63" w:rsidRDefault="006536E7">
      <w:pPr>
        <w:spacing w:after="120"/>
        <w:rPr>
          <w:rFonts w:ascii="Verdana" w:hAnsi="Verdana"/>
          <w:sz w:val="20"/>
          <w:szCs w:val="20"/>
          <w:lang w:val="sk-SK"/>
        </w:rPr>
      </w:pPr>
      <w:r>
        <w:rPr>
          <w:rFonts w:ascii="Verdana" w:hAnsi="Verdana"/>
          <w:sz w:val="20"/>
          <w:szCs w:val="20"/>
          <w:lang w:val="sk-SK"/>
        </w:rPr>
        <w:t xml:space="preserve">Štatutárny audítor konsolidovaného celku je podľa zákona o štatutárnom audite povinný vykonať previerku činnosti, ktorú vykonával štatutárny audítor, respektíve audítorská spoločnosť komponentu, čiže dcérskeho alebo materského podniku a viesť o tom audítorskú dokumentáciu tak, aby spĺňala požiadavky zákona o štatutárnom audite a požiadavky medzinárodných audítorských štandardov. Ak vykonáva takúto previerku, tak je povinný požiadať o súhlas audítora alebo audítorskú spoločnosť na odovzdanie audítorskej dokumentácie, aby audítor konsolidovaného celku vedel, či sa môže na ich prácu spoľahnúť. Ak sa u štatutárneho audítora konsolidovaného celku vykonáva previerka zabezpečenia kvality alebo prešetrenie tohto auditu, tak štatutárny audítor konsolidovaného celku odovzdá na požiadanie úradu alebo komore túto dokumentáciu (Zákon č. 423/2015 Z. z. o štatutárnom audite a o zmene a doplnení zákona č. 431/2002 Z. z. o účtovníctve v znení neskorších predpisov). V prípade, že nie je možné takúto previerku vykonať, musí prijať opatrenia, ktoré zahŕňajú ďalšie činnosti, ktoré musí  </w:t>
      </w:r>
      <w:r>
        <w:rPr>
          <w:rFonts w:ascii="Verdana" w:hAnsi="Verdana"/>
          <w:sz w:val="20"/>
          <w:szCs w:val="20"/>
          <w:lang w:val="sk-SK"/>
        </w:rPr>
        <w:lastRenderedPageBreak/>
        <w:t xml:space="preserve">vykonať on sám alebo iný, ním poverený, štatutárny audítor v oblasti auditu danej účtovnej jednotky. O týchto opatreniach však musí informovať úrad pre dohľad nad výkonom auditu. </w:t>
      </w:r>
    </w:p>
    <w:p w:rsidR="005C3F63" w:rsidRDefault="006536E7">
      <w:pPr>
        <w:spacing w:after="120"/>
        <w:rPr>
          <w:rFonts w:ascii="Verdana" w:hAnsi="Verdana"/>
          <w:sz w:val="20"/>
          <w:szCs w:val="20"/>
          <w:lang w:val="sk-SK"/>
        </w:rPr>
      </w:pPr>
      <w:r>
        <w:rPr>
          <w:rFonts w:ascii="Verdana" w:hAnsi="Verdana"/>
          <w:sz w:val="20"/>
          <w:szCs w:val="20"/>
          <w:lang w:val="sk-SK"/>
        </w:rPr>
        <w:t>Podľa medzinárodných audítorských štandardov (ISA), ktoré sa zaoberajú štatutárnym auditom konsolidovaného celku a súčasne aj audítormi komponentov, štatutárny audítor, respektíve audítorská spoločnosť konsolidovaného celku, v prípade ak plánuje využiť prácu audítora komponentu, musí najskôr zistiť, či tento audítor spĺňa etické požiadavky, teda aj či je nezávislý, odborne kompetentný, či je pôsobiaci v prostredí v ktorom je aktívny dohľad nad audítormi a tiež zistiť, či sa bude môcť audítor konsolidovaného celku podieľať na práci audítora komponentu v takej miere, aby mohol získať vhodné a dostatočné dôkazy o tomto komponente. Audítor je povinný následne s audítormi komponentov komunikovať a tiež uviesť všetky dôležité skutočnosti, ktoré vyžaduje medzinárodný audítorský štandard v dokumentácii (IAASB, 2009).</w:t>
      </w:r>
    </w:p>
    <w:p w:rsidR="005C3F63" w:rsidRDefault="006536E7">
      <w:pPr>
        <w:spacing w:after="120"/>
        <w:rPr>
          <w:rFonts w:ascii="Verdana" w:hAnsi="Verdana"/>
          <w:sz w:val="20"/>
          <w:szCs w:val="20"/>
          <w:lang w:val="sk-SK"/>
        </w:rPr>
      </w:pPr>
      <w:r>
        <w:rPr>
          <w:rFonts w:ascii="Verdana" w:hAnsi="Verdana"/>
          <w:sz w:val="20"/>
          <w:szCs w:val="20"/>
          <w:lang w:val="sk-SK"/>
        </w:rPr>
        <w:t>Štatutárny audítor konsolidovaného celku a tiež aj audítori komponentov, majú povinnosť posudzovať všetky udalosti a to aj tie, ktoré nastanú odo dňa, ku ktorému bola zostavená účtovná závierka komponentov až do dňa vydania správy štatutárneho audítora ku konsolidovanej účtovnej závierke. Tieto udalosti označujeme pojmom následné udalosti.</w:t>
      </w:r>
    </w:p>
    <w:p w:rsidR="005C3F63" w:rsidRDefault="006536E7">
      <w:pPr>
        <w:pStyle w:val="Kapitola"/>
        <w:rPr>
          <w:lang w:val="sk-SK"/>
        </w:rPr>
      </w:pPr>
      <w:r>
        <w:rPr>
          <w:lang w:val="sk-SK"/>
        </w:rPr>
        <w:t>Záver / Conclusions</w:t>
      </w:r>
    </w:p>
    <w:p w:rsidR="005C3F63" w:rsidRDefault="006536E7">
      <w:pPr>
        <w:spacing w:after="120"/>
        <w:rPr>
          <w:rFonts w:ascii="Verdana" w:hAnsi="Verdana"/>
          <w:sz w:val="20"/>
          <w:szCs w:val="20"/>
          <w:lang w:val="sk-SK"/>
        </w:rPr>
      </w:pPr>
      <w:r>
        <w:rPr>
          <w:rFonts w:ascii="Verdana" w:hAnsi="Verdana"/>
          <w:sz w:val="20"/>
          <w:szCs w:val="20"/>
          <w:lang w:val="sk-SK"/>
        </w:rPr>
        <w:t>Príspevok obsahuje len zlomok toho, čomu sa budeme v dizertačnej práci venovať, avšak vzhľadom k tomu že táto téma nebola do úplných detailov nikdy dopodrobna spracovaná, predpokladáme, že by mohla priniesť v budúcnosti úžitok, či už pre audítorov, ktorí sa ocitnú v týchto špecifických, problémových situáciách a pomôže im to v rozhodovaní, ako správne postupovať, a tiež pre účtovných odborníkov, ktorých táto problematika zaujíma a chcú zvyšovať úroveň svojich znalostí.</w:t>
      </w:r>
    </w:p>
    <w:p w:rsidR="005C3F63" w:rsidRDefault="006536E7">
      <w:pPr>
        <w:pStyle w:val="Kapitola"/>
        <w:rPr>
          <w:lang w:val="sk-SK"/>
        </w:rPr>
      </w:pPr>
      <w:r>
        <w:rPr>
          <w:lang w:val="sk-SK"/>
        </w:rPr>
        <w:t>Literárne zdroje a iné odkazy / Resources</w:t>
      </w:r>
    </w:p>
    <w:p w:rsidR="005C3F63" w:rsidRDefault="006536E7">
      <w:pPr>
        <w:rPr>
          <w:rFonts w:ascii="Verdana" w:hAnsi="Verdana"/>
          <w:sz w:val="20"/>
          <w:szCs w:val="20"/>
          <w:lang w:val="sk-SK"/>
        </w:rPr>
      </w:pPr>
      <w:r>
        <w:rPr>
          <w:rFonts w:ascii="Verdana" w:hAnsi="Verdana"/>
          <w:sz w:val="20"/>
          <w:szCs w:val="20"/>
          <w:lang w:val="sk-SK"/>
        </w:rPr>
        <w:t xml:space="preserve">Hvoždarová, J., Sapara, J., Užík, J. (2014):  </w:t>
      </w:r>
      <w:r>
        <w:rPr>
          <w:rFonts w:ascii="Verdana" w:hAnsi="Verdana"/>
          <w:i/>
          <w:sz w:val="20"/>
          <w:szCs w:val="20"/>
          <w:lang w:val="sk-SK"/>
        </w:rPr>
        <w:t>Konsolidovaná účtovná závierka,</w:t>
      </w:r>
      <w:r>
        <w:rPr>
          <w:rFonts w:ascii="Verdana" w:hAnsi="Verdana"/>
          <w:sz w:val="20"/>
          <w:szCs w:val="20"/>
          <w:lang w:val="sk-SK"/>
        </w:rPr>
        <w:t xml:space="preserve"> 2. vydanie. Bratislava: Ekonóm. </w:t>
      </w:r>
    </w:p>
    <w:p w:rsidR="005C3F63" w:rsidRDefault="006536E7">
      <w:pPr>
        <w:rPr>
          <w:rFonts w:ascii="Verdana" w:hAnsi="Verdana"/>
          <w:sz w:val="20"/>
          <w:szCs w:val="20"/>
          <w:lang w:val="en-GB"/>
        </w:rPr>
      </w:pPr>
      <w:r>
        <w:rPr>
          <w:rFonts w:ascii="Verdana" w:hAnsi="Verdana"/>
          <w:sz w:val="20"/>
          <w:szCs w:val="20"/>
          <w:lang w:val="en-GB"/>
        </w:rPr>
        <w:t xml:space="preserve">ISA 600. </w:t>
      </w:r>
      <w:r>
        <w:rPr>
          <w:rFonts w:ascii="Verdana" w:hAnsi="Verdana"/>
          <w:i/>
          <w:sz w:val="20"/>
          <w:szCs w:val="20"/>
          <w:lang w:val="en-GB"/>
        </w:rPr>
        <w:t>Special Considerations - Auditing the Group's Financial Statements (Including the Work of Component Auditors)</w:t>
      </w:r>
      <w:r>
        <w:rPr>
          <w:rFonts w:ascii="Verdana" w:hAnsi="Verdana"/>
          <w:sz w:val="20"/>
          <w:szCs w:val="20"/>
          <w:lang w:val="en-GB"/>
        </w:rPr>
        <w:t>. IAASB, 2009.</w:t>
      </w:r>
    </w:p>
    <w:p w:rsidR="005C3F63" w:rsidRDefault="006536E7">
      <w:pPr>
        <w:rPr>
          <w:rFonts w:ascii="Verdana" w:hAnsi="Verdana"/>
          <w:sz w:val="20"/>
          <w:szCs w:val="20"/>
          <w:lang w:val="sk-SK"/>
        </w:rPr>
      </w:pPr>
      <w:r>
        <w:rPr>
          <w:rFonts w:ascii="Verdana" w:hAnsi="Verdana"/>
          <w:sz w:val="20"/>
          <w:szCs w:val="20"/>
          <w:lang w:val="sk-SK"/>
        </w:rPr>
        <w:t xml:space="preserve">KRIŠKOVÁ, P., UŽÍK, J. (2019): </w:t>
      </w:r>
      <w:r>
        <w:rPr>
          <w:rFonts w:ascii="Verdana" w:hAnsi="Verdana"/>
          <w:i/>
          <w:sz w:val="20"/>
          <w:szCs w:val="20"/>
          <w:lang w:val="sk-SK"/>
        </w:rPr>
        <w:t>Rukoväť audítorských štandardov. In Účtovníctvo - audítorstvo - daňovníctvo : v teórii a praxi.</w:t>
      </w:r>
      <w:r>
        <w:rPr>
          <w:rFonts w:ascii="Verdana" w:hAnsi="Verdana"/>
          <w:sz w:val="20"/>
          <w:szCs w:val="20"/>
          <w:lang w:val="sk-SK"/>
        </w:rPr>
        <w:t xml:space="preserve"> - Bratislava : Slovenská komora certifikovaných účtovníkov, 2019. ISSN 1335-2024, 2019, roč. 27, č. 9.</w:t>
      </w:r>
    </w:p>
    <w:p w:rsidR="005C3F63" w:rsidRDefault="006536E7">
      <w:pPr>
        <w:rPr>
          <w:rFonts w:ascii="Verdana" w:hAnsi="Verdana"/>
          <w:sz w:val="20"/>
          <w:szCs w:val="20"/>
          <w:lang w:val="sk-SK"/>
        </w:rPr>
      </w:pPr>
      <w:r>
        <w:rPr>
          <w:rFonts w:ascii="Verdana" w:hAnsi="Verdana"/>
          <w:sz w:val="20"/>
          <w:szCs w:val="20"/>
          <w:lang w:val="sk-SK"/>
        </w:rPr>
        <w:t xml:space="preserve">Tumpach, M. (2006). </w:t>
      </w:r>
      <w:r>
        <w:rPr>
          <w:rFonts w:ascii="Verdana" w:hAnsi="Verdana"/>
          <w:i/>
          <w:sz w:val="20"/>
          <w:szCs w:val="20"/>
          <w:lang w:val="sk-SK"/>
        </w:rPr>
        <w:t>Medzinárodné štandardy na zostavenie účtovnej závierky IFRS/IAS</w:t>
      </w:r>
      <w:r>
        <w:rPr>
          <w:rFonts w:ascii="Verdana" w:hAnsi="Verdana"/>
          <w:sz w:val="20"/>
          <w:szCs w:val="20"/>
          <w:lang w:val="sk-SK"/>
        </w:rPr>
        <w:t>. Bratislava: IURA EDITION.</w:t>
      </w:r>
    </w:p>
    <w:p w:rsidR="005C3F63" w:rsidRDefault="006536E7">
      <w:pPr>
        <w:rPr>
          <w:rFonts w:ascii="Verdana" w:hAnsi="Verdana"/>
          <w:sz w:val="20"/>
          <w:szCs w:val="20"/>
          <w:lang w:val="sk-SK"/>
        </w:rPr>
      </w:pPr>
      <w:r>
        <w:rPr>
          <w:rFonts w:ascii="Verdana" w:hAnsi="Verdana"/>
          <w:sz w:val="20"/>
          <w:szCs w:val="20"/>
          <w:lang w:val="sk-SK"/>
        </w:rPr>
        <w:t xml:space="preserve">Zákon č. 423/2015 Z. z. o štatutárnom audite a o zmene a doplnení zákona č. 431/2002 Z. z. o účtovníctve v znení neskorších predpisov. </w:t>
      </w:r>
    </w:p>
    <w:p w:rsidR="005C3F63" w:rsidRDefault="006536E7">
      <w:pPr>
        <w:rPr>
          <w:rFonts w:ascii="Verdana" w:hAnsi="Verdana"/>
          <w:sz w:val="20"/>
          <w:szCs w:val="20"/>
          <w:lang w:val="sk-SK"/>
        </w:rPr>
      </w:pPr>
      <w:r>
        <w:rPr>
          <w:rFonts w:ascii="Verdana" w:hAnsi="Verdana"/>
          <w:sz w:val="20"/>
          <w:szCs w:val="20"/>
          <w:lang w:val="sk-SK"/>
        </w:rPr>
        <w:t>Zákon č. 431/2002 Z. z. o účtovníctve v znení neskorších predpisov.</w:t>
      </w:r>
    </w:p>
    <w:p w:rsidR="005C3F63" w:rsidRDefault="006536E7">
      <w:pPr>
        <w:jc w:val="left"/>
        <w:rPr>
          <w:rFonts w:ascii="Verdana" w:hAnsi="Verdana"/>
          <w:sz w:val="20"/>
          <w:szCs w:val="20"/>
          <w:lang w:val="sk-SK"/>
        </w:rPr>
      </w:pPr>
      <w:r>
        <w:rPr>
          <w:rFonts w:ascii="Verdana" w:hAnsi="Verdana"/>
          <w:sz w:val="20"/>
          <w:szCs w:val="20"/>
          <w:lang w:val="sk-SK"/>
        </w:rPr>
        <w:br w:type="page"/>
      </w:r>
    </w:p>
    <w:p w:rsidR="005C3F63" w:rsidRDefault="006536E7">
      <w:pPr>
        <w:pStyle w:val="1"/>
      </w:pPr>
      <w:bookmarkStart w:id="1003" w:name="_Toc47951554"/>
      <w:r>
        <w:lastRenderedPageBreak/>
        <w:t>Lesson learned from the coerced application of e-learning in the management accounting course during COVID-19 pandemic</w:t>
      </w:r>
      <w:bookmarkEnd w:id="1003"/>
      <w:r>
        <w:br/>
      </w:r>
    </w:p>
    <w:p w:rsidR="005C3F63" w:rsidRDefault="006536E7">
      <w:pPr>
        <w:pStyle w:val="Autor"/>
      </w:pPr>
      <w:bookmarkStart w:id="1004" w:name="_Toc47443594"/>
      <w:bookmarkStart w:id="1005" w:name="_Toc47446386"/>
      <w:bookmarkStart w:id="1006" w:name="_Toc47440135"/>
      <w:bookmarkStart w:id="1007" w:name="_Toc47445751"/>
      <w:bookmarkStart w:id="1008" w:name="_Toc47447182"/>
      <w:bookmarkStart w:id="1009" w:name="_Toc47448001"/>
      <w:bookmarkStart w:id="1010" w:name="_Toc47448137"/>
      <w:bookmarkStart w:id="1011" w:name="_Toc47448341"/>
      <w:bookmarkStart w:id="1012" w:name="_Toc47440907"/>
      <w:bookmarkStart w:id="1013" w:name="_Toc47948820"/>
      <w:bookmarkStart w:id="1014" w:name="_Toc47948759"/>
      <w:bookmarkStart w:id="1015" w:name="_Toc47441234"/>
      <w:bookmarkStart w:id="1016" w:name="_Toc47445974"/>
      <w:bookmarkStart w:id="1017" w:name="_Toc47951397"/>
      <w:bookmarkStart w:id="1018" w:name="_Toc47441534"/>
      <w:bookmarkStart w:id="1019" w:name="_Toc47951555"/>
      <w:bookmarkStart w:id="1020" w:name="_Toc47949018"/>
      <w:bookmarkStart w:id="1021" w:name="_Toc47451180"/>
      <w:bookmarkStart w:id="1022" w:name="_Toc47441654"/>
      <w:bookmarkStart w:id="1023" w:name="_Toc47443695"/>
      <w:bookmarkStart w:id="1024" w:name="_Toc47439817"/>
      <w:bookmarkStart w:id="1025" w:name="_Toc47446126"/>
      <w:bookmarkStart w:id="1026" w:name="_Toc47441721"/>
      <w:bookmarkStart w:id="1027" w:name="_Toc47448219"/>
      <w:bookmarkStart w:id="1028" w:name="_Toc47444467"/>
      <w:bookmarkStart w:id="1029" w:name="_Toc47443462"/>
      <w:bookmarkStart w:id="1030" w:name="_Toc47949332"/>
      <w:bookmarkStart w:id="1031" w:name="_Toc47444159"/>
      <w:bookmarkStart w:id="1032" w:name="_Toc47448581"/>
      <w:bookmarkStart w:id="1033" w:name="_Toc47449339"/>
      <w:bookmarkStart w:id="1034" w:name="_Toc47444620"/>
      <w:bookmarkStart w:id="1035" w:name="_Toc47448636"/>
      <w:bookmarkStart w:id="1036" w:name="_Toc47444310"/>
      <w:bookmarkStart w:id="1037" w:name="_Toc47442714"/>
      <w:bookmarkStart w:id="1038" w:name="_Toc47447947"/>
      <w:bookmarkStart w:id="1039" w:name="_Toc47439007"/>
      <w:bookmarkStart w:id="1040" w:name="_Toc47446728"/>
      <w:bookmarkStart w:id="1041" w:name="_Toc47435479"/>
      <w:bookmarkStart w:id="1042" w:name="_Toc47448864"/>
      <w:bookmarkStart w:id="1043" w:name="_Toc47448083"/>
      <w:bookmarkStart w:id="1044" w:name="_Toc47951490"/>
      <w:r>
        <w:rPr>
          <w:rStyle w:val="AutorChar"/>
          <w:b/>
        </w:rPr>
        <w:t>Jaroslav Wagner, Aneta Křehnáčová</w:t>
      </w:r>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p>
    <w:p w:rsidR="005C3F63" w:rsidRDefault="006536E7">
      <w:pPr>
        <w:jc w:val="center"/>
        <w:rPr>
          <w:rFonts w:ascii="Verdana" w:hAnsi="Verdana"/>
          <w:sz w:val="18"/>
          <w:szCs w:val="18"/>
          <w:lang w:val="en-GB"/>
        </w:rPr>
      </w:pPr>
      <w:r>
        <w:rPr>
          <w:rFonts w:ascii="Verdana" w:hAnsi="Verdana"/>
          <w:sz w:val="18"/>
          <w:szCs w:val="18"/>
          <w:lang w:val="en-GB"/>
        </w:rPr>
        <w:t xml:space="preserve">Prague University of Economics and Business </w:t>
      </w:r>
    </w:p>
    <w:p w:rsidR="005C3F63" w:rsidRDefault="006536E7">
      <w:pPr>
        <w:jc w:val="center"/>
        <w:rPr>
          <w:rFonts w:ascii="Verdana" w:hAnsi="Verdana"/>
          <w:sz w:val="18"/>
          <w:szCs w:val="18"/>
          <w:lang w:val="en-GB"/>
        </w:rPr>
      </w:pPr>
      <w:r>
        <w:rPr>
          <w:rFonts w:ascii="Verdana" w:hAnsi="Verdana"/>
          <w:sz w:val="18"/>
          <w:szCs w:val="18"/>
          <w:lang w:val="en-GB"/>
        </w:rPr>
        <w:t>Faculty of Finance and Accounting, Department of Management Accounting</w:t>
      </w:r>
    </w:p>
    <w:p w:rsidR="005C3F63" w:rsidRDefault="006536E7">
      <w:pPr>
        <w:jc w:val="center"/>
        <w:rPr>
          <w:rFonts w:ascii="Verdana" w:hAnsi="Verdana"/>
          <w:sz w:val="18"/>
          <w:szCs w:val="18"/>
          <w:lang w:val="en-GB"/>
        </w:rPr>
      </w:pPr>
      <w:r>
        <w:rPr>
          <w:rFonts w:ascii="Verdana" w:hAnsi="Verdana"/>
          <w:sz w:val="18"/>
          <w:szCs w:val="18"/>
          <w:lang w:val="en-GB"/>
        </w:rPr>
        <w:t>nam. W. Churchilla 4, 130 67 Praha 3, Czech Republic</w:t>
      </w:r>
    </w:p>
    <w:p w:rsidR="005C3F63" w:rsidRDefault="006536E7">
      <w:pPr>
        <w:jc w:val="center"/>
        <w:rPr>
          <w:rFonts w:ascii="Verdana" w:hAnsi="Verdana"/>
          <w:sz w:val="18"/>
          <w:szCs w:val="18"/>
          <w:lang w:val="de-DE"/>
        </w:rPr>
      </w:pPr>
      <w:r>
        <w:rPr>
          <w:rFonts w:ascii="Verdana" w:hAnsi="Verdana"/>
          <w:sz w:val="18"/>
          <w:szCs w:val="18"/>
          <w:lang w:val="de-DE"/>
        </w:rPr>
        <w:t>E-mail: wagner@vse.cz, aneta.krehnacova@vse.cz</w:t>
      </w:r>
    </w:p>
    <w:p w:rsidR="005C3F63" w:rsidRDefault="005C3F63">
      <w:pPr>
        <w:jc w:val="center"/>
        <w:rPr>
          <w:rFonts w:ascii="Verdana" w:hAnsi="Verdana"/>
          <w:sz w:val="18"/>
          <w:szCs w:val="18"/>
          <w:lang w:val="de-DE"/>
        </w:rPr>
      </w:pPr>
    </w:p>
    <w:p w:rsidR="005C3F63" w:rsidRDefault="005C3F63">
      <w:pPr>
        <w:rPr>
          <w:rFonts w:ascii="Verdana" w:hAnsi="Verdana"/>
          <w:sz w:val="22"/>
          <w:lang w:val="de-DE"/>
        </w:rPr>
      </w:pPr>
    </w:p>
    <w:p w:rsidR="005C3F63" w:rsidRDefault="006536E7">
      <w:pPr>
        <w:spacing w:after="120"/>
        <w:rPr>
          <w:rFonts w:ascii="Verdana" w:hAnsi="Verdana"/>
          <w:i/>
          <w:sz w:val="20"/>
          <w:szCs w:val="20"/>
          <w:lang w:val="en-GB"/>
        </w:rPr>
      </w:pPr>
      <w:r>
        <w:rPr>
          <w:rFonts w:ascii="Verdana" w:hAnsi="Verdana"/>
          <w:b/>
          <w:i/>
          <w:sz w:val="20"/>
          <w:szCs w:val="20"/>
          <w:lang w:val="en-GB"/>
        </w:rPr>
        <w:t xml:space="preserve">Abstract: </w:t>
      </w:r>
      <w:r>
        <w:rPr>
          <w:rFonts w:ascii="Verdana" w:hAnsi="Verdana"/>
          <w:i/>
          <w:sz w:val="20"/>
          <w:szCs w:val="20"/>
          <w:lang w:val="en-GB"/>
        </w:rPr>
        <w:t xml:space="preserve">The COVID-19 pandemic disabled the traditional classroom learning at Czech Universities in the summer semester of the academic year 2019/2020 and coerced the application of the e-learning approach. This paper reflects both teachers’ and students’ experience with this change in the management accounting course for undergraduate students at the Prague University of Economics and Business. </w:t>
      </w:r>
    </w:p>
    <w:p w:rsidR="005C3F63" w:rsidRDefault="006536E7">
      <w:pPr>
        <w:spacing w:after="120"/>
        <w:rPr>
          <w:rFonts w:ascii="Verdana" w:hAnsi="Verdana"/>
          <w:i/>
          <w:sz w:val="20"/>
          <w:szCs w:val="20"/>
          <w:lang w:val="en-GB"/>
        </w:rPr>
      </w:pPr>
      <w:r>
        <w:rPr>
          <w:rFonts w:ascii="Verdana" w:hAnsi="Verdana"/>
          <w:b/>
          <w:i/>
          <w:sz w:val="20"/>
          <w:szCs w:val="20"/>
          <w:lang w:val="en-GB"/>
        </w:rPr>
        <w:t>Keywords:</w:t>
      </w:r>
      <w:r>
        <w:rPr>
          <w:rFonts w:ascii="Verdana" w:hAnsi="Verdana"/>
          <w:i/>
          <w:sz w:val="20"/>
          <w:szCs w:val="20"/>
          <w:lang w:val="en-GB"/>
        </w:rPr>
        <w:t xml:space="preserve"> e-learning, COVID-19 pandemic, management accounting </w:t>
      </w:r>
    </w:p>
    <w:p w:rsidR="005C3F63" w:rsidRDefault="006536E7">
      <w:pPr>
        <w:pStyle w:val="04-Anotacijostekstas"/>
        <w:spacing w:before="0" w:after="120"/>
        <w:ind w:left="0" w:right="-284"/>
        <w:jc w:val="left"/>
        <w:rPr>
          <w:rFonts w:ascii="Verdana" w:hAnsi="Verdana"/>
          <w:i/>
          <w:lang w:val="en-GB"/>
        </w:rPr>
      </w:pPr>
      <w:r>
        <w:rPr>
          <w:rFonts w:ascii="Verdana" w:hAnsi="Verdana"/>
          <w:i/>
          <w:lang w:val="en-GB"/>
        </w:rPr>
        <w:t>JEL codes: M41, I23</w:t>
      </w:r>
    </w:p>
    <w:p w:rsidR="005C3F63" w:rsidRDefault="006536E7">
      <w:pPr>
        <w:pStyle w:val="Kapitola"/>
      </w:pPr>
      <w:r>
        <w:rPr>
          <w:rStyle w:val="KapitolaChar"/>
          <w:b/>
          <w:bCs/>
        </w:rPr>
        <w:t xml:space="preserve">1 Introduction </w:t>
      </w:r>
    </w:p>
    <w:p w:rsidR="005C3F63" w:rsidRDefault="006536E7">
      <w:pPr>
        <w:spacing w:after="120"/>
        <w:rPr>
          <w:rFonts w:ascii="Verdana" w:hAnsi="Verdana"/>
          <w:sz w:val="20"/>
          <w:szCs w:val="20"/>
          <w:lang w:val="en-GB"/>
        </w:rPr>
      </w:pPr>
      <w:r>
        <w:rPr>
          <w:rFonts w:ascii="Verdana" w:hAnsi="Verdana"/>
          <w:sz w:val="20"/>
          <w:szCs w:val="20"/>
          <w:lang w:val="en-GB"/>
        </w:rPr>
        <w:t>The COVID-19 pandemic disabled the traditional classroom learning at Czech Universities in the summer semester of the academic year 2019/2020. Following the decision of the Ministry of Health of the Czech Republic (Ministry of Health, 2020), the students were banned from the presence in classrooms at universities since the 11</w:t>
      </w:r>
      <w:r>
        <w:rPr>
          <w:rFonts w:ascii="Verdana" w:hAnsi="Verdana"/>
          <w:sz w:val="20"/>
          <w:szCs w:val="20"/>
          <w:vertAlign w:val="superscript"/>
          <w:lang w:val="en-GB"/>
        </w:rPr>
        <w:t>th</w:t>
      </w:r>
      <w:r>
        <w:rPr>
          <w:rFonts w:ascii="Verdana" w:hAnsi="Verdana"/>
          <w:sz w:val="20"/>
          <w:szCs w:val="20"/>
          <w:lang w:val="en-GB"/>
        </w:rPr>
        <w:t xml:space="preserve"> of March 2020. Simultaneously, it was decided not to suspend the educational activities. Both teachers and students were encouraged to shift from traditional learning style to e-learning as soon as possible without any substantial impact on learning outcomes and time schedule of the courses. </w:t>
      </w:r>
    </w:p>
    <w:p w:rsidR="005C3F63" w:rsidRDefault="006536E7">
      <w:pPr>
        <w:spacing w:after="120"/>
        <w:rPr>
          <w:rFonts w:ascii="Verdana" w:hAnsi="Verdana"/>
          <w:sz w:val="20"/>
          <w:szCs w:val="20"/>
          <w:lang w:val="en-GB"/>
        </w:rPr>
      </w:pPr>
      <w:r>
        <w:rPr>
          <w:rFonts w:ascii="Verdana" w:hAnsi="Verdana"/>
          <w:sz w:val="20"/>
          <w:szCs w:val="20"/>
          <w:lang w:val="en-GB"/>
        </w:rPr>
        <w:t xml:space="preserve">This paper concerns the lesson learned from this coerced application of e-learning in the management accounting course for undergraduate students. This 6-ECTS course is the first management accounting course which is obligatory for all students in study programmes on finance, accounting, banking, taxation and business management. </w:t>
      </w:r>
    </w:p>
    <w:p w:rsidR="005C3F63" w:rsidRDefault="006536E7">
      <w:pPr>
        <w:spacing w:after="120"/>
        <w:rPr>
          <w:rFonts w:ascii="Verdana" w:hAnsi="Verdana"/>
          <w:sz w:val="20"/>
          <w:szCs w:val="20"/>
          <w:lang w:val="en-GB"/>
        </w:rPr>
      </w:pPr>
      <w:r>
        <w:rPr>
          <w:rFonts w:ascii="Verdana" w:hAnsi="Verdana"/>
          <w:sz w:val="20"/>
          <w:szCs w:val="20"/>
          <w:lang w:val="en-GB"/>
        </w:rPr>
        <w:t xml:space="preserve">First, the paper describes the applied changes in teaching methods. Second, it summarizes teachers’ and students’ feedback. And finally, it compares the students’ course performance in the particular semester with the previous ones. </w:t>
      </w:r>
    </w:p>
    <w:p w:rsidR="005C3F63" w:rsidRDefault="006536E7">
      <w:pPr>
        <w:spacing w:after="120"/>
        <w:rPr>
          <w:rFonts w:ascii="Verdana" w:hAnsi="Verdana"/>
          <w:sz w:val="20"/>
          <w:szCs w:val="20"/>
          <w:lang w:val="en-GB"/>
        </w:rPr>
      </w:pPr>
      <w:r>
        <w:rPr>
          <w:rFonts w:ascii="Verdana" w:hAnsi="Verdana"/>
          <w:sz w:val="20"/>
          <w:szCs w:val="20"/>
          <w:lang w:val="en-GB"/>
        </w:rPr>
        <w:t xml:space="preserve">The paper contributes to the debate about the efficiency of learning approaches comparing “traditional” classroom approach and e-learning approach. Moreover, it supports the teachers’ readiness for unexpected or coerced changes in the learning style. </w:t>
      </w:r>
    </w:p>
    <w:p w:rsidR="005C3F63" w:rsidRDefault="006536E7">
      <w:pPr>
        <w:spacing w:before="240" w:after="120"/>
        <w:jc w:val="left"/>
        <w:rPr>
          <w:rFonts w:ascii="Verdana" w:hAnsi="Verdana" w:cs="Arial"/>
          <w:bCs/>
          <w:kern w:val="32"/>
          <w:sz w:val="18"/>
          <w:szCs w:val="18"/>
          <w:lang w:val="en-GB" w:eastAsia="cs-CZ" w:bidi="ar-SA"/>
        </w:rPr>
      </w:pPr>
      <w:r>
        <w:rPr>
          <w:rStyle w:val="KapitolaChar"/>
          <w:lang w:val="en-GB"/>
        </w:rPr>
        <w:t>2 Methodology and Data</w:t>
      </w:r>
    </w:p>
    <w:p w:rsidR="005C3F63" w:rsidRDefault="006536E7">
      <w:pPr>
        <w:spacing w:after="120"/>
        <w:rPr>
          <w:rFonts w:ascii="Verdana" w:hAnsi="Verdana"/>
          <w:sz w:val="20"/>
          <w:szCs w:val="20"/>
          <w:lang w:val="en-GB"/>
        </w:rPr>
      </w:pPr>
      <w:r>
        <w:rPr>
          <w:rFonts w:ascii="Verdana" w:hAnsi="Verdana"/>
          <w:sz w:val="20"/>
          <w:szCs w:val="20"/>
          <w:lang w:val="en-GB"/>
        </w:rPr>
        <w:t xml:space="preserve">Facing the unprecedented situation in middle of March 2020, teachers and students were forced to change their habits and applied procedures within a couple of weeks (Kamarianos, 2020). In particular, seven teachers and around 400 students were involved in the management accounting course in this semester. Thanks to good availability of online platforms and enormous effort of teachers, e-learning could start in less than two weeks. Lectures and seminars were organized in MS Teams regularly. Information system of the University was used to share documents and the Slido platform helped to increase students’ engagement via Q&amp;A and short questionnaires. Teachers’ coordination was ensured by regular virtual meetings and e-mail communication between course guarantor and other teachers. The evaluation of students’ learning involvement was ensured by weekly mini-tests. These mini-tests substituted the assessment of activity in seminars, as the active contribution of students to the course of seminars decreased substantially. </w:t>
      </w:r>
    </w:p>
    <w:p w:rsidR="005C3F63" w:rsidRDefault="006536E7">
      <w:pPr>
        <w:spacing w:after="120"/>
        <w:rPr>
          <w:rFonts w:ascii="Verdana" w:hAnsi="Verdana"/>
          <w:sz w:val="20"/>
          <w:szCs w:val="20"/>
          <w:lang w:val="en-GB"/>
        </w:rPr>
      </w:pPr>
      <w:r>
        <w:rPr>
          <w:rFonts w:ascii="Verdana" w:hAnsi="Verdana"/>
          <w:sz w:val="20"/>
          <w:szCs w:val="20"/>
          <w:lang w:val="en-GB"/>
        </w:rPr>
        <w:lastRenderedPageBreak/>
        <w:t xml:space="preserve">Further, the need for social distancing influenced the procedure of course evaluation. General recommendation for students’ evaluation was published by Ministry of Education of the Czech Republic (Ministry of Education, 2020). In the management accounting course, the written test was realized on-line using the information system of the University. To prevent copying answers, the principal aim was to individualize the test questions. The oral exam was also realized on-line requiring both, camera and microphone to guarantee the objectivity of the exam. </w:t>
      </w:r>
    </w:p>
    <w:p w:rsidR="005C3F63" w:rsidRDefault="006536E7">
      <w:pPr>
        <w:spacing w:after="120"/>
        <w:rPr>
          <w:rFonts w:ascii="Verdana" w:hAnsi="Verdana"/>
          <w:sz w:val="20"/>
          <w:szCs w:val="20"/>
          <w:lang w:val="en-GB"/>
        </w:rPr>
      </w:pPr>
      <w:r>
        <w:rPr>
          <w:rFonts w:ascii="Verdana" w:hAnsi="Verdana"/>
          <w:sz w:val="20"/>
          <w:szCs w:val="20"/>
          <w:lang w:val="en-GB"/>
        </w:rPr>
        <w:t xml:space="preserve">The results presented below are based on data obtained from the interviews with all (seven) teachers of the course and from the questionnaire distributed to all students of the course. 143 of 392 students participated in the on-line questionnaire survey, so the response rate is 36,5 percent. We also used the data on students’ course performance as recorded in the information system of the university. </w:t>
      </w:r>
    </w:p>
    <w:p w:rsidR="005C3F63" w:rsidRDefault="006536E7">
      <w:pPr>
        <w:pStyle w:val="Kapitola"/>
        <w:rPr>
          <w:lang w:val="en-GB"/>
        </w:rPr>
      </w:pPr>
      <w:r>
        <w:rPr>
          <w:szCs w:val="22"/>
          <w:lang w:val="en-GB"/>
        </w:rPr>
        <w:t xml:space="preserve">3 Results and Discussion </w:t>
      </w:r>
    </w:p>
    <w:p w:rsidR="005C3F63" w:rsidRDefault="006536E7">
      <w:pPr>
        <w:spacing w:after="120"/>
        <w:rPr>
          <w:rFonts w:ascii="Verdana" w:hAnsi="Verdana"/>
          <w:sz w:val="20"/>
          <w:szCs w:val="20"/>
          <w:lang w:val="en-GB"/>
        </w:rPr>
      </w:pPr>
      <w:r>
        <w:rPr>
          <w:rFonts w:ascii="Verdana" w:hAnsi="Verdana"/>
          <w:sz w:val="20"/>
          <w:szCs w:val="20"/>
          <w:lang w:val="en-GB"/>
        </w:rPr>
        <w:t>The interviews with teachers revealed following observations:</w:t>
      </w:r>
    </w:p>
    <w:p w:rsidR="005C3F63" w:rsidRDefault="006536E7">
      <w:pPr>
        <w:pStyle w:val="afd"/>
        <w:numPr>
          <w:ilvl w:val="0"/>
          <w:numId w:val="10"/>
        </w:numPr>
        <w:spacing w:after="120"/>
        <w:rPr>
          <w:rFonts w:ascii="Verdana" w:hAnsi="Verdana"/>
          <w:sz w:val="20"/>
          <w:szCs w:val="20"/>
          <w:lang w:val="en-GB"/>
        </w:rPr>
      </w:pPr>
      <w:r>
        <w:rPr>
          <w:rFonts w:ascii="Verdana" w:hAnsi="Verdana"/>
          <w:sz w:val="20"/>
          <w:szCs w:val="20"/>
          <w:lang w:val="en-GB"/>
        </w:rPr>
        <w:t>participation rate of students in virtual classes was the same or even higher compared to traditional classes. It could be caused by various reasons. First, working, social and leisure activities of students were limited due to the quarantine. Second, students were worried about the potential changes in course tasks and obligations. Third, students could participate in the class no matter where they were;</w:t>
      </w:r>
    </w:p>
    <w:p w:rsidR="005C3F63" w:rsidRDefault="006536E7">
      <w:pPr>
        <w:pStyle w:val="afd"/>
        <w:spacing w:after="120"/>
        <w:rPr>
          <w:rFonts w:ascii="Verdana" w:hAnsi="Verdana"/>
          <w:sz w:val="20"/>
          <w:szCs w:val="20"/>
          <w:lang w:val="en-GB"/>
        </w:rPr>
      </w:pPr>
      <w:r>
        <w:rPr>
          <w:rFonts w:ascii="Verdana" w:hAnsi="Verdana"/>
          <w:sz w:val="20"/>
          <w:szCs w:val="20"/>
          <w:lang w:val="en-GB"/>
        </w:rPr>
        <w:t>technical issues and problems on both, teacher’s as well as student’s side had just minor impact on the organization of virtual classes;</w:t>
      </w:r>
    </w:p>
    <w:p w:rsidR="005C3F63" w:rsidRDefault="006536E7">
      <w:pPr>
        <w:pStyle w:val="afd"/>
        <w:numPr>
          <w:ilvl w:val="0"/>
          <w:numId w:val="10"/>
        </w:numPr>
        <w:spacing w:after="120"/>
        <w:rPr>
          <w:rFonts w:ascii="Verdana" w:hAnsi="Verdana"/>
          <w:sz w:val="20"/>
          <w:szCs w:val="20"/>
          <w:lang w:val="en-GB"/>
        </w:rPr>
      </w:pPr>
      <w:r>
        <w:rPr>
          <w:rFonts w:ascii="Verdana" w:hAnsi="Verdana"/>
          <w:sz w:val="20"/>
          <w:szCs w:val="20"/>
          <w:lang w:val="en-GB"/>
        </w:rPr>
        <w:t>teachers spent much more time on preparation for the classes. The more detailed handouts which had to be prepared for students and the need of “fine-tuned” structure of a virtual class were the key reasons for a higher time demand. In the first weeks after the shift to e-learning, the workload was also increased because of “familiarization” of teachers with on-line platforms used in e-learning, however, this workload was reduced after the start-up face;</w:t>
      </w:r>
    </w:p>
    <w:p w:rsidR="005C3F63" w:rsidRDefault="006536E7">
      <w:pPr>
        <w:pStyle w:val="afd"/>
        <w:numPr>
          <w:ilvl w:val="0"/>
          <w:numId w:val="10"/>
        </w:numPr>
        <w:spacing w:after="120"/>
        <w:rPr>
          <w:rFonts w:ascii="Verdana" w:hAnsi="Verdana"/>
          <w:sz w:val="20"/>
          <w:szCs w:val="20"/>
          <w:lang w:val="en-GB"/>
        </w:rPr>
      </w:pPr>
      <w:r>
        <w:rPr>
          <w:rFonts w:ascii="Verdana" w:hAnsi="Verdana"/>
          <w:sz w:val="20"/>
          <w:szCs w:val="20"/>
          <w:lang w:val="en-GB"/>
        </w:rPr>
        <w:t>in case of lectures, the teacher considered the efficiency of virtual class to be even higher than in case of the traditional class. He stated that there was no waste of time caused by problems with the class equipment (data projector, microphone etc.), noise in the class etc. Further, the lecturer had a feeling that both, he and students could concentrate more on the course of the lecture;</w:t>
      </w:r>
    </w:p>
    <w:p w:rsidR="005C3F63" w:rsidRDefault="006536E7">
      <w:pPr>
        <w:pStyle w:val="afd"/>
        <w:numPr>
          <w:ilvl w:val="0"/>
          <w:numId w:val="10"/>
        </w:numPr>
        <w:spacing w:after="120"/>
        <w:rPr>
          <w:rFonts w:ascii="Verdana" w:hAnsi="Verdana"/>
          <w:sz w:val="20"/>
          <w:szCs w:val="20"/>
          <w:lang w:val="en-GB"/>
        </w:rPr>
      </w:pPr>
      <w:r>
        <w:rPr>
          <w:rFonts w:ascii="Verdana" w:hAnsi="Verdana"/>
          <w:sz w:val="20"/>
          <w:szCs w:val="20"/>
          <w:lang w:val="en-GB"/>
        </w:rPr>
        <w:t xml:space="preserve">in case of seminars, the teachers considered the efficiency of virtual class lower compared to the traditional class. The principal reason was the substantial loss of interactivity which was crucial for an active involvement of students in the course of the seminar. </w:t>
      </w:r>
    </w:p>
    <w:p w:rsidR="005C3F63" w:rsidRDefault="006536E7">
      <w:pPr>
        <w:spacing w:after="120"/>
        <w:rPr>
          <w:rFonts w:ascii="Verdana" w:hAnsi="Verdana"/>
          <w:sz w:val="20"/>
          <w:szCs w:val="20"/>
          <w:lang w:val="en-GB"/>
        </w:rPr>
      </w:pPr>
      <w:r>
        <w:rPr>
          <w:rFonts w:ascii="Verdana" w:hAnsi="Verdana"/>
          <w:sz w:val="20"/>
          <w:szCs w:val="20"/>
          <w:lang w:val="en-GB"/>
        </w:rPr>
        <w:t>The questionnaire survey among students shows that:</w:t>
      </w:r>
    </w:p>
    <w:p w:rsidR="005C3F63" w:rsidRDefault="006536E7">
      <w:pPr>
        <w:pStyle w:val="afd"/>
        <w:numPr>
          <w:ilvl w:val="0"/>
          <w:numId w:val="10"/>
        </w:numPr>
        <w:spacing w:after="120"/>
        <w:rPr>
          <w:rFonts w:ascii="Verdana" w:hAnsi="Verdana"/>
          <w:sz w:val="20"/>
          <w:szCs w:val="20"/>
          <w:lang w:val="en-GB"/>
        </w:rPr>
      </w:pPr>
      <w:r>
        <w:rPr>
          <w:rFonts w:ascii="Verdana" w:hAnsi="Verdana"/>
          <w:sz w:val="20"/>
          <w:szCs w:val="20"/>
          <w:lang w:val="en-GB"/>
        </w:rPr>
        <w:t xml:space="preserve">in case of lectures, 62 percent of students give priority to virtual lesson rather than traditional on-site lecture; in case of seminars, 77 percent of students prefer traditional on-site seminar in the classroom (Table 1). </w:t>
      </w:r>
    </w:p>
    <w:p w:rsidR="005C3F63" w:rsidRDefault="006536E7">
      <w:pPr>
        <w:pStyle w:val="afd"/>
        <w:numPr>
          <w:ilvl w:val="0"/>
          <w:numId w:val="10"/>
        </w:numPr>
        <w:spacing w:after="120"/>
        <w:rPr>
          <w:rFonts w:ascii="Verdana" w:hAnsi="Verdana"/>
          <w:sz w:val="20"/>
          <w:szCs w:val="20"/>
          <w:lang w:val="en-GB"/>
        </w:rPr>
      </w:pPr>
      <w:r>
        <w:rPr>
          <w:rFonts w:ascii="Verdana" w:hAnsi="Verdana"/>
          <w:sz w:val="20"/>
          <w:szCs w:val="20"/>
          <w:lang w:val="en-GB"/>
        </w:rPr>
        <w:t>in case of lectures, 97 percent of students would appreciate if the lecture had been recorded and they could listen it again whenever they needed; in case of seminars, 84 percent of students would appreciate recording;</w:t>
      </w:r>
    </w:p>
    <w:p w:rsidR="005C3F63" w:rsidRDefault="006536E7">
      <w:pPr>
        <w:pStyle w:val="afd"/>
        <w:numPr>
          <w:ilvl w:val="0"/>
          <w:numId w:val="10"/>
        </w:numPr>
        <w:spacing w:after="120"/>
        <w:rPr>
          <w:rFonts w:ascii="Verdana" w:hAnsi="Verdana"/>
          <w:sz w:val="20"/>
          <w:szCs w:val="20"/>
          <w:lang w:val="en-GB"/>
        </w:rPr>
      </w:pPr>
      <w:r>
        <w:rPr>
          <w:rFonts w:ascii="Verdana" w:hAnsi="Verdana"/>
          <w:sz w:val="20"/>
          <w:szCs w:val="20"/>
          <w:lang w:val="en-GB"/>
        </w:rPr>
        <w:t xml:space="preserve">60 percent of students prefer regular mini-tests as the assessment procedure of their involvement in learning process during the semester instead of subjective teachers’ assessment. At the beginning of the semester (before the quarantine) students’ involvement in classes was evaluated by the subjective assessment of teachers at the end of each seminar; in the quarantine period this was substituted by weekly mini-tests prepared by the course guarantor. The results presented in Table 2 follow the question “At the beginning of the semester, the activity on seminars was evaluated according to preparation for seminar and active involvement in its course; after the shift to on-line learning it was evaluated by mini-tests. Which procedure was more convenient for you?”. </w:t>
      </w:r>
    </w:p>
    <w:p w:rsidR="005C3F63" w:rsidRDefault="006536E7">
      <w:pPr>
        <w:spacing w:after="120"/>
        <w:jc w:val="center"/>
        <w:rPr>
          <w:rFonts w:ascii="Verdana" w:hAnsi="Verdana"/>
          <w:sz w:val="20"/>
          <w:szCs w:val="20"/>
          <w:lang w:val="en-GB"/>
        </w:rPr>
      </w:pPr>
      <w:r>
        <w:rPr>
          <w:rFonts w:ascii="Verdana" w:hAnsi="Verdana"/>
          <w:b/>
          <w:sz w:val="20"/>
          <w:szCs w:val="20"/>
          <w:lang w:val="en-GB"/>
        </w:rPr>
        <w:lastRenderedPageBreak/>
        <w:t>Table 1</w:t>
      </w:r>
      <w:r>
        <w:rPr>
          <w:rFonts w:ascii="Verdana" w:hAnsi="Verdana"/>
          <w:sz w:val="20"/>
          <w:szCs w:val="20"/>
          <w:lang w:val="en-GB"/>
        </w:rPr>
        <w:t xml:space="preserve"> Students’ preference of virtual and on-site classes</w:t>
      </w:r>
    </w:p>
    <w:tbl>
      <w:tblPr>
        <w:tblW w:w="0" w:type="auto"/>
        <w:jc w:val="center"/>
        <w:tblBorders>
          <w:top w:val="single" w:sz="8" w:space="0" w:color="000000"/>
          <w:bottom w:val="single" w:sz="8" w:space="0" w:color="000000"/>
        </w:tblBorders>
        <w:tblLook w:val="04A0" w:firstRow="1" w:lastRow="0" w:firstColumn="1" w:lastColumn="0" w:noHBand="0" w:noVBand="1"/>
      </w:tblPr>
      <w:tblGrid>
        <w:gridCol w:w="3282"/>
        <w:gridCol w:w="1196"/>
        <w:gridCol w:w="1203"/>
        <w:gridCol w:w="1266"/>
        <w:gridCol w:w="1696"/>
      </w:tblGrid>
      <w:tr w:rsidR="005C3F63">
        <w:trPr>
          <w:jc w:val="center"/>
        </w:trPr>
        <w:tc>
          <w:tcPr>
            <w:tcW w:w="3282" w:type="dxa"/>
            <w:tcBorders>
              <w:top w:val="single" w:sz="8" w:space="0" w:color="000000"/>
              <w:left w:val="nil"/>
              <w:bottom w:val="double" w:sz="4" w:space="0" w:color="auto"/>
              <w:right w:val="nil"/>
            </w:tcBorders>
          </w:tcPr>
          <w:p w:rsidR="005C3F63" w:rsidRDefault="005C3F63">
            <w:pPr>
              <w:jc w:val="left"/>
              <w:rPr>
                <w:rFonts w:ascii="Verdana" w:hAnsi="Verdana"/>
                <w:b/>
                <w:bCs/>
                <w:color w:val="000000"/>
                <w:sz w:val="20"/>
                <w:szCs w:val="20"/>
                <w:lang w:val="en-GB"/>
              </w:rPr>
            </w:pPr>
          </w:p>
        </w:tc>
        <w:tc>
          <w:tcPr>
            <w:tcW w:w="2399" w:type="dxa"/>
            <w:gridSpan w:val="2"/>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en-GB"/>
              </w:rPr>
            </w:pPr>
            <w:r>
              <w:rPr>
                <w:rFonts w:ascii="Verdana" w:hAnsi="Verdana"/>
                <w:b/>
                <w:bCs/>
                <w:color w:val="000000"/>
                <w:sz w:val="20"/>
                <w:szCs w:val="20"/>
                <w:lang w:val="en-GB"/>
              </w:rPr>
              <w:t>Lectures</w:t>
            </w:r>
          </w:p>
        </w:tc>
        <w:tc>
          <w:tcPr>
            <w:tcW w:w="2962" w:type="dxa"/>
            <w:gridSpan w:val="2"/>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en-GB"/>
              </w:rPr>
            </w:pPr>
            <w:r>
              <w:rPr>
                <w:rFonts w:ascii="Verdana" w:hAnsi="Verdana"/>
                <w:b/>
                <w:bCs/>
                <w:color w:val="000000"/>
                <w:sz w:val="20"/>
                <w:szCs w:val="20"/>
                <w:lang w:val="en-GB"/>
              </w:rPr>
              <w:t>Seminars</w:t>
            </w:r>
          </w:p>
        </w:tc>
      </w:tr>
      <w:tr w:rsidR="005C3F63">
        <w:trPr>
          <w:jc w:val="center"/>
        </w:trPr>
        <w:tc>
          <w:tcPr>
            <w:tcW w:w="3282" w:type="dxa"/>
            <w:tcBorders>
              <w:top w:val="single" w:sz="8" w:space="0" w:color="000000"/>
              <w:left w:val="nil"/>
              <w:bottom w:val="double" w:sz="4" w:space="0" w:color="auto"/>
              <w:right w:val="nil"/>
            </w:tcBorders>
          </w:tcPr>
          <w:p w:rsidR="005C3F63" w:rsidRDefault="005C3F63">
            <w:pPr>
              <w:jc w:val="left"/>
              <w:rPr>
                <w:rFonts w:ascii="Verdana" w:hAnsi="Verdana"/>
                <w:b/>
                <w:bCs/>
                <w:color w:val="000000"/>
                <w:sz w:val="20"/>
                <w:szCs w:val="20"/>
                <w:lang w:val="en-GB"/>
              </w:rPr>
            </w:pPr>
          </w:p>
        </w:tc>
        <w:tc>
          <w:tcPr>
            <w:tcW w:w="1196"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en-GB"/>
              </w:rPr>
            </w:pPr>
            <w:r>
              <w:rPr>
                <w:rFonts w:ascii="Verdana" w:hAnsi="Verdana"/>
                <w:b/>
                <w:bCs/>
                <w:color w:val="000000"/>
                <w:sz w:val="20"/>
                <w:szCs w:val="20"/>
                <w:lang w:val="en-GB"/>
              </w:rPr>
              <w:t>N</w:t>
            </w:r>
          </w:p>
        </w:tc>
        <w:tc>
          <w:tcPr>
            <w:tcW w:w="1203"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en-GB"/>
              </w:rPr>
            </w:pPr>
            <w:r>
              <w:rPr>
                <w:rFonts w:ascii="Verdana" w:hAnsi="Verdana"/>
                <w:b/>
                <w:bCs/>
                <w:color w:val="000000"/>
                <w:sz w:val="20"/>
                <w:szCs w:val="20"/>
                <w:lang w:val="en-GB"/>
              </w:rPr>
              <w:t>%</w:t>
            </w:r>
          </w:p>
        </w:tc>
        <w:tc>
          <w:tcPr>
            <w:tcW w:w="1266"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en-GB"/>
              </w:rPr>
            </w:pPr>
            <w:r>
              <w:rPr>
                <w:rFonts w:ascii="Verdana" w:hAnsi="Verdana"/>
                <w:b/>
                <w:bCs/>
                <w:color w:val="000000"/>
                <w:sz w:val="20"/>
                <w:szCs w:val="20"/>
                <w:lang w:val="en-GB"/>
              </w:rPr>
              <w:t>N</w:t>
            </w:r>
          </w:p>
        </w:tc>
        <w:tc>
          <w:tcPr>
            <w:tcW w:w="1696"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en-GB"/>
              </w:rPr>
            </w:pPr>
            <w:r>
              <w:rPr>
                <w:rFonts w:ascii="Verdana" w:hAnsi="Verdana"/>
                <w:b/>
                <w:bCs/>
                <w:color w:val="000000"/>
                <w:sz w:val="20"/>
                <w:szCs w:val="20"/>
                <w:lang w:val="en-GB"/>
              </w:rPr>
              <w:t>%</w:t>
            </w:r>
          </w:p>
        </w:tc>
      </w:tr>
      <w:tr w:rsidR="005C3F63">
        <w:trPr>
          <w:jc w:val="center"/>
        </w:trPr>
        <w:tc>
          <w:tcPr>
            <w:tcW w:w="3282" w:type="dxa"/>
            <w:tcBorders>
              <w:top w:val="double" w:sz="4" w:space="0" w:color="auto"/>
              <w:left w:val="nil"/>
              <w:bottom w:val="single" w:sz="4" w:space="0" w:color="auto"/>
              <w:right w:val="nil"/>
            </w:tcBorders>
            <w:shd w:val="clear" w:color="auto" w:fill="FFFFFF"/>
          </w:tcPr>
          <w:p w:rsidR="005C3F63" w:rsidRDefault="006536E7">
            <w:pPr>
              <w:jc w:val="left"/>
              <w:rPr>
                <w:rFonts w:ascii="Verdana" w:hAnsi="Verdana"/>
                <w:b/>
                <w:bCs/>
                <w:color w:val="000000"/>
                <w:sz w:val="20"/>
                <w:szCs w:val="20"/>
                <w:lang w:val="en-GB"/>
              </w:rPr>
            </w:pPr>
            <w:r>
              <w:rPr>
                <w:rFonts w:ascii="Verdana" w:hAnsi="Verdana"/>
                <w:b/>
                <w:bCs/>
                <w:color w:val="000000"/>
                <w:sz w:val="20"/>
                <w:szCs w:val="20"/>
                <w:lang w:val="en-GB"/>
              </w:rPr>
              <w:t>On-line</w:t>
            </w:r>
          </w:p>
        </w:tc>
        <w:tc>
          <w:tcPr>
            <w:tcW w:w="1196" w:type="dxa"/>
            <w:tcBorders>
              <w:top w:val="doub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39</w:t>
            </w:r>
          </w:p>
        </w:tc>
        <w:tc>
          <w:tcPr>
            <w:tcW w:w="1203" w:type="dxa"/>
            <w:tcBorders>
              <w:top w:val="doub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27</w:t>
            </w:r>
          </w:p>
        </w:tc>
        <w:tc>
          <w:tcPr>
            <w:tcW w:w="1266" w:type="dxa"/>
            <w:tcBorders>
              <w:top w:val="doub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11</w:t>
            </w:r>
          </w:p>
        </w:tc>
        <w:tc>
          <w:tcPr>
            <w:tcW w:w="1696" w:type="dxa"/>
            <w:tcBorders>
              <w:top w:val="doub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8</w:t>
            </w:r>
          </w:p>
        </w:tc>
      </w:tr>
      <w:tr w:rsidR="005C3F63">
        <w:trPr>
          <w:jc w:val="center"/>
        </w:trPr>
        <w:tc>
          <w:tcPr>
            <w:tcW w:w="3282" w:type="dxa"/>
            <w:tcBorders>
              <w:top w:val="single" w:sz="4" w:space="0" w:color="auto"/>
              <w:bottom w:val="single" w:sz="4" w:space="0" w:color="auto"/>
            </w:tcBorders>
            <w:shd w:val="clear" w:color="auto" w:fill="FFFFFF"/>
          </w:tcPr>
          <w:p w:rsidR="005C3F63" w:rsidRDefault="006536E7">
            <w:pPr>
              <w:ind w:right="-89"/>
              <w:jc w:val="left"/>
              <w:rPr>
                <w:rFonts w:ascii="Verdana" w:hAnsi="Verdana"/>
                <w:b/>
                <w:bCs/>
                <w:color w:val="000000"/>
                <w:sz w:val="20"/>
                <w:szCs w:val="20"/>
                <w:lang w:val="en-GB"/>
              </w:rPr>
            </w:pPr>
            <w:r>
              <w:rPr>
                <w:rFonts w:ascii="Verdana" w:hAnsi="Verdana"/>
                <w:b/>
                <w:bCs/>
                <w:color w:val="000000"/>
                <w:sz w:val="20"/>
                <w:szCs w:val="20"/>
                <w:lang w:val="en-GB"/>
              </w:rPr>
              <w:t>Rather on-line</w:t>
            </w:r>
          </w:p>
        </w:tc>
        <w:tc>
          <w:tcPr>
            <w:tcW w:w="1196"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50</w:t>
            </w:r>
          </w:p>
        </w:tc>
        <w:tc>
          <w:tcPr>
            <w:tcW w:w="1203"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35</w:t>
            </w:r>
          </w:p>
        </w:tc>
        <w:tc>
          <w:tcPr>
            <w:tcW w:w="1266"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22</w:t>
            </w:r>
          </w:p>
        </w:tc>
        <w:tc>
          <w:tcPr>
            <w:tcW w:w="1696"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15</w:t>
            </w:r>
          </w:p>
        </w:tc>
      </w:tr>
      <w:tr w:rsidR="005C3F63">
        <w:trPr>
          <w:jc w:val="center"/>
        </w:trPr>
        <w:tc>
          <w:tcPr>
            <w:tcW w:w="3282" w:type="dxa"/>
            <w:tcBorders>
              <w:top w:val="single" w:sz="4" w:space="0" w:color="auto"/>
              <w:bottom w:val="single" w:sz="4" w:space="0" w:color="auto"/>
            </w:tcBorders>
            <w:shd w:val="clear" w:color="auto" w:fill="FFFFFF"/>
          </w:tcPr>
          <w:p w:rsidR="005C3F63" w:rsidRDefault="006536E7">
            <w:pPr>
              <w:ind w:right="-89"/>
              <w:jc w:val="left"/>
              <w:rPr>
                <w:rFonts w:ascii="Verdana" w:hAnsi="Verdana"/>
                <w:b/>
                <w:bCs/>
                <w:color w:val="000000"/>
                <w:sz w:val="20"/>
                <w:szCs w:val="20"/>
                <w:lang w:val="en-GB"/>
              </w:rPr>
            </w:pPr>
            <w:r>
              <w:rPr>
                <w:rFonts w:ascii="Verdana" w:hAnsi="Verdana"/>
                <w:b/>
                <w:bCs/>
                <w:color w:val="000000"/>
                <w:sz w:val="20"/>
                <w:szCs w:val="20"/>
                <w:lang w:val="en-GB"/>
              </w:rPr>
              <w:t>Rather on-site</w:t>
            </w:r>
          </w:p>
        </w:tc>
        <w:tc>
          <w:tcPr>
            <w:tcW w:w="1196"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28</w:t>
            </w:r>
          </w:p>
        </w:tc>
        <w:tc>
          <w:tcPr>
            <w:tcW w:w="1203"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20</w:t>
            </w:r>
          </w:p>
        </w:tc>
        <w:tc>
          <w:tcPr>
            <w:tcW w:w="1266"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42</w:t>
            </w:r>
          </w:p>
        </w:tc>
        <w:tc>
          <w:tcPr>
            <w:tcW w:w="1696"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29</w:t>
            </w:r>
          </w:p>
        </w:tc>
      </w:tr>
      <w:tr w:rsidR="005C3F63">
        <w:trPr>
          <w:jc w:val="center"/>
        </w:trPr>
        <w:tc>
          <w:tcPr>
            <w:tcW w:w="3282" w:type="dxa"/>
            <w:tcBorders>
              <w:top w:val="single" w:sz="4" w:space="0" w:color="auto"/>
              <w:left w:val="nil"/>
              <w:right w:val="nil"/>
            </w:tcBorders>
            <w:shd w:val="clear" w:color="auto" w:fill="FFFFFF"/>
          </w:tcPr>
          <w:p w:rsidR="005C3F63" w:rsidRDefault="006536E7">
            <w:pPr>
              <w:jc w:val="left"/>
              <w:rPr>
                <w:rFonts w:ascii="Verdana" w:hAnsi="Verdana"/>
                <w:b/>
                <w:bCs/>
                <w:color w:val="000000"/>
                <w:sz w:val="20"/>
                <w:szCs w:val="20"/>
                <w:lang w:val="en-GB"/>
              </w:rPr>
            </w:pPr>
            <w:r>
              <w:rPr>
                <w:rFonts w:ascii="Verdana" w:hAnsi="Verdana"/>
                <w:b/>
                <w:bCs/>
                <w:color w:val="000000"/>
                <w:sz w:val="20"/>
                <w:szCs w:val="20"/>
                <w:lang w:val="en-GB"/>
              </w:rPr>
              <w:t>On-site</w:t>
            </w:r>
          </w:p>
        </w:tc>
        <w:tc>
          <w:tcPr>
            <w:tcW w:w="1196" w:type="dxa"/>
            <w:tcBorders>
              <w:top w:val="single" w:sz="4" w:space="0" w:color="auto"/>
              <w:left w:val="nil"/>
              <w:right w:val="nil"/>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26</w:t>
            </w:r>
          </w:p>
        </w:tc>
        <w:tc>
          <w:tcPr>
            <w:tcW w:w="1203" w:type="dxa"/>
            <w:tcBorders>
              <w:top w:val="single" w:sz="4" w:space="0" w:color="auto"/>
              <w:left w:val="nil"/>
              <w:right w:val="nil"/>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18</w:t>
            </w:r>
          </w:p>
        </w:tc>
        <w:tc>
          <w:tcPr>
            <w:tcW w:w="1266" w:type="dxa"/>
            <w:tcBorders>
              <w:top w:val="single" w:sz="4" w:space="0" w:color="auto"/>
              <w:left w:val="nil"/>
              <w:right w:val="nil"/>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68</w:t>
            </w:r>
          </w:p>
        </w:tc>
        <w:tc>
          <w:tcPr>
            <w:tcW w:w="1696" w:type="dxa"/>
            <w:tcBorders>
              <w:top w:val="single" w:sz="4" w:space="0" w:color="auto"/>
              <w:left w:val="nil"/>
              <w:right w:val="nil"/>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48</w:t>
            </w:r>
          </w:p>
        </w:tc>
      </w:tr>
    </w:tbl>
    <w:p w:rsidR="005C3F63" w:rsidRDefault="006536E7">
      <w:pPr>
        <w:spacing w:after="240"/>
        <w:jc w:val="center"/>
        <w:rPr>
          <w:rFonts w:ascii="Verdana" w:hAnsi="Verdana"/>
          <w:sz w:val="18"/>
          <w:szCs w:val="18"/>
          <w:lang w:val="en-GB"/>
        </w:rPr>
      </w:pPr>
      <w:r>
        <w:rPr>
          <w:rFonts w:ascii="Verdana" w:hAnsi="Verdana"/>
          <w:sz w:val="18"/>
          <w:szCs w:val="18"/>
          <w:lang w:val="en-GB"/>
        </w:rPr>
        <w:t>Source: own computations</w:t>
      </w:r>
    </w:p>
    <w:p w:rsidR="005C3F63" w:rsidRDefault="005C3F63">
      <w:pPr>
        <w:spacing w:after="120"/>
        <w:rPr>
          <w:rFonts w:ascii="Verdana" w:hAnsi="Verdana"/>
          <w:sz w:val="20"/>
          <w:szCs w:val="20"/>
          <w:lang w:val="en-GB"/>
        </w:rPr>
      </w:pPr>
    </w:p>
    <w:p w:rsidR="005C3F63" w:rsidRDefault="006536E7">
      <w:pPr>
        <w:spacing w:after="120"/>
        <w:jc w:val="center"/>
        <w:rPr>
          <w:rFonts w:ascii="Verdana" w:hAnsi="Verdana"/>
          <w:sz w:val="20"/>
          <w:szCs w:val="20"/>
          <w:lang w:val="en-GB"/>
        </w:rPr>
      </w:pPr>
      <w:r>
        <w:rPr>
          <w:rFonts w:ascii="Verdana" w:hAnsi="Verdana"/>
          <w:b/>
          <w:sz w:val="20"/>
          <w:szCs w:val="20"/>
          <w:lang w:val="en-GB"/>
        </w:rPr>
        <w:t>Table 2</w:t>
      </w:r>
      <w:r>
        <w:rPr>
          <w:rFonts w:ascii="Verdana" w:hAnsi="Verdana"/>
          <w:sz w:val="20"/>
          <w:szCs w:val="20"/>
          <w:lang w:val="en-GB"/>
        </w:rPr>
        <w:t xml:space="preserve"> Students’ preference of class activity assessment procedure</w:t>
      </w:r>
    </w:p>
    <w:tbl>
      <w:tblPr>
        <w:tblW w:w="0" w:type="auto"/>
        <w:jc w:val="center"/>
        <w:tblBorders>
          <w:top w:val="single" w:sz="8" w:space="0" w:color="000000"/>
          <w:bottom w:val="single" w:sz="8" w:space="0" w:color="000000"/>
        </w:tblBorders>
        <w:tblLook w:val="04A0" w:firstRow="1" w:lastRow="0" w:firstColumn="1" w:lastColumn="0" w:noHBand="0" w:noVBand="1"/>
      </w:tblPr>
      <w:tblGrid>
        <w:gridCol w:w="5578"/>
        <w:gridCol w:w="1266"/>
        <w:gridCol w:w="1696"/>
      </w:tblGrid>
      <w:tr w:rsidR="005C3F63">
        <w:trPr>
          <w:jc w:val="center"/>
        </w:trPr>
        <w:tc>
          <w:tcPr>
            <w:tcW w:w="5578" w:type="dxa"/>
            <w:tcBorders>
              <w:top w:val="single" w:sz="8" w:space="0" w:color="000000"/>
              <w:left w:val="nil"/>
              <w:bottom w:val="double" w:sz="4" w:space="0" w:color="auto"/>
              <w:right w:val="nil"/>
            </w:tcBorders>
          </w:tcPr>
          <w:p w:rsidR="005C3F63" w:rsidRDefault="005C3F63">
            <w:pPr>
              <w:jc w:val="left"/>
              <w:rPr>
                <w:rFonts w:ascii="Verdana" w:hAnsi="Verdana"/>
                <w:b/>
                <w:bCs/>
                <w:color w:val="000000"/>
                <w:sz w:val="20"/>
                <w:szCs w:val="20"/>
                <w:lang w:val="en-GB"/>
              </w:rPr>
            </w:pPr>
          </w:p>
        </w:tc>
        <w:tc>
          <w:tcPr>
            <w:tcW w:w="1266"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en-GB"/>
              </w:rPr>
            </w:pPr>
            <w:r>
              <w:rPr>
                <w:rFonts w:ascii="Verdana" w:hAnsi="Verdana"/>
                <w:b/>
                <w:bCs/>
                <w:color w:val="000000"/>
                <w:sz w:val="20"/>
                <w:szCs w:val="20"/>
                <w:lang w:val="en-GB"/>
              </w:rPr>
              <w:t>N</w:t>
            </w:r>
          </w:p>
        </w:tc>
        <w:tc>
          <w:tcPr>
            <w:tcW w:w="1696"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en-GB"/>
              </w:rPr>
            </w:pPr>
            <w:r>
              <w:rPr>
                <w:rFonts w:ascii="Verdana" w:hAnsi="Verdana"/>
                <w:b/>
                <w:bCs/>
                <w:color w:val="000000"/>
                <w:sz w:val="20"/>
                <w:szCs w:val="20"/>
                <w:lang w:val="en-GB"/>
              </w:rPr>
              <w:t>%</w:t>
            </w:r>
          </w:p>
        </w:tc>
      </w:tr>
      <w:tr w:rsidR="005C3F63">
        <w:trPr>
          <w:jc w:val="center"/>
        </w:trPr>
        <w:tc>
          <w:tcPr>
            <w:tcW w:w="5578" w:type="dxa"/>
            <w:tcBorders>
              <w:top w:val="double" w:sz="4" w:space="0" w:color="auto"/>
              <w:left w:val="nil"/>
              <w:bottom w:val="single" w:sz="4" w:space="0" w:color="auto"/>
              <w:right w:val="nil"/>
            </w:tcBorders>
            <w:shd w:val="clear" w:color="auto" w:fill="FFFFFF"/>
          </w:tcPr>
          <w:p w:rsidR="005C3F63" w:rsidRDefault="006536E7">
            <w:pPr>
              <w:jc w:val="left"/>
              <w:rPr>
                <w:rFonts w:ascii="Verdana" w:hAnsi="Verdana"/>
                <w:b/>
                <w:bCs/>
                <w:color w:val="000000"/>
                <w:sz w:val="20"/>
                <w:szCs w:val="20"/>
                <w:lang w:val="en-GB"/>
              </w:rPr>
            </w:pPr>
            <w:r>
              <w:rPr>
                <w:rFonts w:ascii="Verdana" w:hAnsi="Verdana"/>
                <w:b/>
                <w:bCs/>
                <w:color w:val="000000"/>
                <w:sz w:val="20"/>
                <w:szCs w:val="20"/>
                <w:lang w:val="en-GB"/>
              </w:rPr>
              <w:t>Preparation and involvement (subjectively)</w:t>
            </w:r>
          </w:p>
        </w:tc>
        <w:tc>
          <w:tcPr>
            <w:tcW w:w="1266" w:type="dxa"/>
            <w:tcBorders>
              <w:top w:val="doub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31</w:t>
            </w:r>
          </w:p>
        </w:tc>
        <w:tc>
          <w:tcPr>
            <w:tcW w:w="1696" w:type="dxa"/>
            <w:tcBorders>
              <w:top w:val="doub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21</w:t>
            </w:r>
          </w:p>
        </w:tc>
      </w:tr>
      <w:tr w:rsidR="005C3F63">
        <w:trPr>
          <w:jc w:val="center"/>
        </w:trPr>
        <w:tc>
          <w:tcPr>
            <w:tcW w:w="5578" w:type="dxa"/>
            <w:tcBorders>
              <w:top w:val="single" w:sz="4" w:space="0" w:color="auto"/>
              <w:bottom w:val="single" w:sz="4" w:space="0" w:color="auto"/>
            </w:tcBorders>
            <w:shd w:val="clear" w:color="auto" w:fill="FFFFFF"/>
          </w:tcPr>
          <w:p w:rsidR="005C3F63" w:rsidRDefault="006536E7">
            <w:pPr>
              <w:ind w:right="-89"/>
              <w:jc w:val="left"/>
              <w:rPr>
                <w:rFonts w:ascii="Verdana" w:hAnsi="Verdana"/>
                <w:b/>
                <w:bCs/>
                <w:color w:val="000000"/>
                <w:sz w:val="20"/>
                <w:szCs w:val="20"/>
                <w:lang w:val="en-GB"/>
              </w:rPr>
            </w:pPr>
            <w:r>
              <w:rPr>
                <w:rFonts w:ascii="Verdana" w:hAnsi="Verdana"/>
                <w:b/>
                <w:bCs/>
                <w:color w:val="000000"/>
                <w:sz w:val="20"/>
                <w:szCs w:val="20"/>
                <w:lang w:val="en-GB"/>
              </w:rPr>
              <w:t>Rather preparation and involvement (subj.)</w:t>
            </w:r>
          </w:p>
        </w:tc>
        <w:tc>
          <w:tcPr>
            <w:tcW w:w="1266"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27</w:t>
            </w:r>
          </w:p>
        </w:tc>
        <w:tc>
          <w:tcPr>
            <w:tcW w:w="1696"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19</w:t>
            </w:r>
          </w:p>
        </w:tc>
      </w:tr>
      <w:tr w:rsidR="005C3F63">
        <w:trPr>
          <w:jc w:val="center"/>
        </w:trPr>
        <w:tc>
          <w:tcPr>
            <w:tcW w:w="5578" w:type="dxa"/>
            <w:tcBorders>
              <w:top w:val="single" w:sz="4" w:space="0" w:color="auto"/>
              <w:bottom w:val="single" w:sz="4" w:space="0" w:color="auto"/>
            </w:tcBorders>
            <w:shd w:val="clear" w:color="auto" w:fill="FFFFFF"/>
          </w:tcPr>
          <w:p w:rsidR="005C3F63" w:rsidRDefault="006536E7">
            <w:pPr>
              <w:ind w:right="-89"/>
              <w:jc w:val="left"/>
              <w:rPr>
                <w:rFonts w:ascii="Verdana" w:hAnsi="Verdana"/>
                <w:b/>
                <w:bCs/>
                <w:color w:val="000000"/>
                <w:sz w:val="20"/>
                <w:szCs w:val="20"/>
                <w:lang w:val="en-GB"/>
              </w:rPr>
            </w:pPr>
            <w:r>
              <w:rPr>
                <w:rFonts w:ascii="Verdana" w:hAnsi="Verdana"/>
                <w:b/>
                <w:bCs/>
                <w:color w:val="000000"/>
                <w:sz w:val="20"/>
                <w:szCs w:val="20"/>
                <w:lang w:val="en-GB"/>
              </w:rPr>
              <w:t>Rather mini-tests</w:t>
            </w:r>
          </w:p>
        </w:tc>
        <w:tc>
          <w:tcPr>
            <w:tcW w:w="1266"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48</w:t>
            </w:r>
          </w:p>
        </w:tc>
        <w:tc>
          <w:tcPr>
            <w:tcW w:w="1696"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34</w:t>
            </w:r>
          </w:p>
        </w:tc>
      </w:tr>
      <w:tr w:rsidR="005C3F63">
        <w:trPr>
          <w:jc w:val="center"/>
        </w:trPr>
        <w:tc>
          <w:tcPr>
            <w:tcW w:w="5578" w:type="dxa"/>
            <w:tcBorders>
              <w:top w:val="single" w:sz="4" w:space="0" w:color="auto"/>
              <w:left w:val="nil"/>
              <w:right w:val="nil"/>
            </w:tcBorders>
            <w:shd w:val="clear" w:color="auto" w:fill="FFFFFF"/>
          </w:tcPr>
          <w:p w:rsidR="005C3F63" w:rsidRDefault="006536E7">
            <w:pPr>
              <w:jc w:val="left"/>
              <w:rPr>
                <w:rFonts w:ascii="Verdana" w:hAnsi="Verdana"/>
                <w:b/>
                <w:bCs/>
                <w:color w:val="000000"/>
                <w:sz w:val="20"/>
                <w:szCs w:val="20"/>
                <w:lang w:val="en-GB"/>
              </w:rPr>
            </w:pPr>
            <w:r>
              <w:rPr>
                <w:rFonts w:ascii="Verdana" w:hAnsi="Verdana"/>
                <w:b/>
                <w:bCs/>
                <w:color w:val="000000"/>
                <w:sz w:val="20"/>
                <w:szCs w:val="20"/>
                <w:lang w:val="en-GB"/>
              </w:rPr>
              <w:t>Mini-tests</w:t>
            </w:r>
          </w:p>
        </w:tc>
        <w:tc>
          <w:tcPr>
            <w:tcW w:w="1266" w:type="dxa"/>
            <w:tcBorders>
              <w:top w:val="single" w:sz="4" w:space="0" w:color="auto"/>
              <w:left w:val="nil"/>
              <w:right w:val="nil"/>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37</w:t>
            </w:r>
          </w:p>
        </w:tc>
        <w:tc>
          <w:tcPr>
            <w:tcW w:w="1696" w:type="dxa"/>
            <w:tcBorders>
              <w:top w:val="single" w:sz="4" w:space="0" w:color="auto"/>
              <w:left w:val="nil"/>
              <w:right w:val="nil"/>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26</w:t>
            </w:r>
          </w:p>
        </w:tc>
      </w:tr>
    </w:tbl>
    <w:p w:rsidR="005C3F63" w:rsidRDefault="006536E7">
      <w:pPr>
        <w:spacing w:after="240"/>
        <w:jc w:val="center"/>
        <w:rPr>
          <w:rFonts w:ascii="Verdana" w:hAnsi="Verdana"/>
          <w:sz w:val="18"/>
          <w:szCs w:val="18"/>
          <w:lang w:val="en-GB"/>
        </w:rPr>
      </w:pPr>
      <w:r>
        <w:rPr>
          <w:rFonts w:ascii="Verdana" w:hAnsi="Verdana"/>
          <w:sz w:val="18"/>
          <w:szCs w:val="18"/>
          <w:lang w:val="en-GB"/>
        </w:rPr>
        <w:t>Source: own computations</w:t>
      </w:r>
    </w:p>
    <w:p w:rsidR="005C3F63" w:rsidRDefault="006536E7">
      <w:pPr>
        <w:spacing w:after="120"/>
        <w:rPr>
          <w:rFonts w:ascii="Verdana" w:hAnsi="Verdana"/>
          <w:sz w:val="20"/>
          <w:szCs w:val="20"/>
          <w:lang w:val="en-GB"/>
        </w:rPr>
      </w:pPr>
      <w:r>
        <w:rPr>
          <w:rFonts w:ascii="Verdana" w:hAnsi="Verdana"/>
          <w:sz w:val="20"/>
          <w:szCs w:val="20"/>
          <w:lang w:val="en-GB"/>
        </w:rPr>
        <w:t>The above results lead us to following considerations about learning and assessment approaches and methods:</w:t>
      </w:r>
    </w:p>
    <w:p w:rsidR="005C3F63" w:rsidRDefault="006536E7">
      <w:pPr>
        <w:pStyle w:val="afd"/>
        <w:numPr>
          <w:ilvl w:val="0"/>
          <w:numId w:val="10"/>
        </w:numPr>
        <w:spacing w:after="120"/>
        <w:rPr>
          <w:rFonts w:ascii="Verdana" w:hAnsi="Verdana"/>
          <w:sz w:val="20"/>
          <w:szCs w:val="20"/>
          <w:lang w:val="en-GB"/>
        </w:rPr>
      </w:pPr>
      <w:r>
        <w:rPr>
          <w:rFonts w:ascii="Verdana" w:hAnsi="Verdana"/>
          <w:sz w:val="20"/>
          <w:szCs w:val="20"/>
          <w:lang w:val="en-GB"/>
        </w:rPr>
        <w:t xml:space="preserve">Students prefer blended-learning or hybrid approach rather than “pure” e-learning or “pure” traditional learning approach. On one hand, they call for flexibility in terms of their pace to acquire general knowledge. On the other hand, they appreciate the classroom meetings to evolve conceptual thinking and social skills, but also to deal with analytical tasks with the support of teacher. The last one contrasts with the statement of some teachers who suppose that students shall acquire analytical study individually using textbooks and course handouts. </w:t>
      </w:r>
    </w:p>
    <w:p w:rsidR="005C3F63" w:rsidRDefault="006536E7">
      <w:pPr>
        <w:pStyle w:val="afd"/>
        <w:numPr>
          <w:ilvl w:val="0"/>
          <w:numId w:val="10"/>
        </w:numPr>
        <w:spacing w:after="120"/>
        <w:rPr>
          <w:rFonts w:ascii="Verdana" w:hAnsi="Verdana"/>
          <w:sz w:val="20"/>
          <w:szCs w:val="20"/>
          <w:lang w:val="en-GB"/>
        </w:rPr>
      </w:pPr>
      <w:r>
        <w:rPr>
          <w:rFonts w:ascii="Verdana" w:hAnsi="Verdana"/>
          <w:sz w:val="20"/>
          <w:szCs w:val="20"/>
          <w:lang w:val="en-GB"/>
        </w:rPr>
        <w:t xml:space="preserve">Students’ questionnaire survey showed that students fully appreciate the recording of lectures. We also asked them to take their attitude on two options – first, lectures are recorded in advance and available on university website at any time and students can contact a lecturer for face-to-face consultation individually; second, lectures are performed for students in real time and life recording of lectures is then published on university website. Surprisingly, 87 percent of students chose the latter alternative. </w:t>
      </w:r>
    </w:p>
    <w:p w:rsidR="005C3F63" w:rsidRDefault="006536E7">
      <w:pPr>
        <w:pStyle w:val="afd"/>
        <w:numPr>
          <w:ilvl w:val="0"/>
          <w:numId w:val="10"/>
        </w:numPr>
        <w:spacing w:after="120"/>
        <w:rPr>
          <w:rFonts w:ascii="Verdana" w:hAnsi="Verdana"/>
          <w:sz w:val="20"/>
          <w:szCs w:val="20"/>
          <w:lang w:val="en-GB"/>
        </w:rPr>
      </w:pPr>
      <w:r>
        <w:rPr>
          <w:rFonts w:ascii="Verdana" w:hAnsi="Verdana"/>
          <w:sz w:val="20"/>
          <w:szCs w:val="20"/>
          <w:lang w:val="en-GB"/>
        </w:rPr>
        <w:t xml:space="preserve">The preference of mini-tests over course activity assessment realized by teacher subjectively can be explained by the emphasis of students on perceived fairness of performance evaluation. It indicates that by students, the adequacy of “my performance” evaluation in relation to evaluation of “my classmates’ performance” is considered as highly important issue. </w:t>
      </w:r>
    </w:p>
    <w:p w:rsidR="005C3F63" w:rsidRDefault="005C3F63">
      <w:pPr>
        <w:spacing w:after="120"/>
        <w:rPr>
          <w:rFonts w:ascii="Verdana" w:hAnsi="Verdana"/>
          <w:sz w:val="20"/>
          <w:szCs w:val="20"/>
          <w:lang w:val="en-GB"/>
        </w:rPr>
      </w:pPr>
    </w:p>
    <w:p w:rsidR="005C3F63" w:rsidRDefault="006536E7">
      <w:pPr>
        <w:spacing w:after="120"/>
        <w:rPr>
          <w:rFonts w:ascii="Verdana" w:hAnsi="Verdana"/>
          <w:sz w:val="20"/>
          <w:szCs w:val="20"/>
          <w:lang w:val="en-GB"/>
        </w:rPr>
      </w:pPr>
      <w:r>
        <w:rPr>
          <w:rFonts w:ascii="Verdana" w:hAnsi="Verdana"/>
          <w:sz w:val="20"/>
          <w:szCs w:val="20"/>
          <w:lang w:val="en-GB"/>
        </w:rPr>
        <w:t>We also tested the students’ course performance. The first question was whether the students’ performance in summer semester 2020 (SS2020) had changed in comparison with performance in previous two semesters, i.e. winter semester 2019 (WS2019) and summer semester 2019 (SS2019). In the course, the assessment consists of three parts which have different weight on total students’ evaluation, namely course activity assessment/weekly mini-tests (10%), written test (40%) and oral exam (50%). We analysed the mean values for each part of assessment separately comparing all three “couples” (SS2020 and WS2019, SS2020 and SS2019, WS2019 and SS2019). We used independent samples t-test in this regard. The findings are as follows:</w:t>
      </w:r>
    </w:p>
    <w:p w:rsidR="005C3F63" w:rsidRDefault="006536E7">
      <w:pPr>
        <w:pStyle w:val="afd"/>
        <w:numPr>
          <w:ilvl w:val="0"/>
          <w:numId w:val="10"/>
        </w:numPr>
        <w:spacing w:after="120"/>
        <w:rPr>
          <w:rFonts w:ascii="Verdana" w:hAnsi="Verdana"/>
          <w:sz w:val="20"/>
          <w:szCs w:val="20"/>
          <w:lang w:val="en-GB"/>
        </w:rPr>
      </w:pPr>
      <w:r>
        <w:rPr>
          <w:rFonts w:ascii="Verdana" w:hAnsi="Verdana"/>
          <w:sz w:val="20"/>
          <w:szCs w:val="20"/>
          <w:lang w:val="en-GB"/>
        </w:rPr>
        <w:t xml:space="preserve">for course activity assessment/weekly mini-tests, we can reject the hypothesis that there is no difference between means for all three “couples”. It shows that the assessment score in SS2020, in which mini-tests were used, differs from the score in previous semesters, in which subjective course assessment was applied. </w:t>
      </w:r>
      <w:r>
        <w:rPr>
          <w:rFonts w:ascii="Verdana" w:hAnsi="Verdana"/>
          <w:sz w:val="20"/>
          <w:szCs w:val="20"/>
          <w:lang w:val="en-GB"/>
        </w:rPr>
        <w:lastRenderedPageBreak/>
        <w:t>However, there are also differences in means for WS2019 and SS2019, in which the same assessment procedure was applied. We can speculate that this may be due to the fact that the weight of this part of the assessment in the overall course assessment is considered too low to require calibration of the assessment among teachers;</w:t>
      </w:r>
    </w:p>
    <w:p w:rsidR="005C3F63" w:rsidRDefault="006536E7">
      <w:pPr>
        <w:pStyle w:val="afd"/>
        <w:numPr>
          <w:ilvl w:val="0"/>
          <w:numId w:val="10"/>
        </w:numPr>
        <w:spacing w:after="120"/>
        <w:rPr>
          <w:rFonts w:ascii="Verdana" w:hAnsi="Verdana"/>
          <w:sz w:val="20"/>
          <w:szCs w:val="20"/>
          <w:lang w:val="en-GB"/>
        </w:rPr>
      </w:pPr>
      <w:r>
        <w:rPr>
          <w:rFonts w:ascii="Verdana" w:hAnsi="Verdana"/>
          <w:sz w:val="20"/>
          <w:szCs w:val="20"/>
          <w:lang w:val="en-GB"/>
        </w:rPr>
        <w:t>for results in written test, we cannot reject the hypothesis that there is no difference between means for all three “couples”. It shows that the SS2020 assessment score follows the approach in previous semesters. We can notice that an ex-post calibration of performance score was applied in WS2019 and SS2019 to achieve targeted pass rate in the course. In SS2020, the calibration was not applied;</w:t>
      </w:r>
    </w:p>
    <w:p w:rsidR="005C3F63" w:rsidRDefault="006536E7">
      <w:pPr>
        <w:pStyle w:val="afd"/>
        <w:numPr>
          <w:ilvl w:val="0"/>
          <w:numId w:val="10"/>
        </w:numPr>
        <w:spacing w:after="120"/>
        <w:rPr>
          <w:rFonts w:ascii="Verdana" w:hAnsi="Verdana"/>
          <w:sz w:val="20"/>
          <w:szCs w:val="20"/>
          <w:lang w:val="en-GB"/>
        </w:rPr>
      </w:pPr>
      <w:r>
        <w:rPr>
          <w:rFonts w:ascii="Verdana" w:hAnsi="Verdana"/>
          <w:sz w:val="20"/>
          <w:szCs w:val="20"/>
          <w:lang w:val="en-GB"/>
        </w:rPr>
        <w:t>for results in oral exam, we cannot reject the hypothesis that there is no difference between means for all three “couples”.</w:t>
      </w:r>
    </w:p>
    <w:p w:rsidR="005C3F63" w:rsidRDefault="005C3F63">
      <w:pPr>
        <w:spacing w:after="120"/>
        <w:rPr>
          <w:rFonts w:ascii="Verdana" w:hAnsi="Verdana"/>
          <w:sz w:val="20"/>
          <w:szCs w:val="20"/>
          <w:lang w:val="en-GB"/>
        </w:rPr>
      </w:pPr>
    </w:p>
    <w:p w:rsidR="005C3F63" w:rsidRDefault="006536E7">
      <w:pPr>
        <w:spacing w:after="120"/>
        <w:rPr>
          <w:rFonts w:ascii="Verdana" w:hAnsi="Verdana"/>
          <w:sz w:val="20"/>
          <w:szCs w:val="20"/>
          <w:lang w:val="en-GB"/>
        </w:rPr>
      </w:pPr>
      <w:r>
        <w:rPr>
          <w:rFonts w:ascii="Verdana" w:hAnsi="Verdana"/>
          <w:sz w:val="20"/>
          <w:szCs w:val="20"/>
          <w:lang w:val="en-GB"/>
        </w:rPr>
        <w:t xml:space="preserve">The second question was whether the relationships among individual parts of course assessment had changed in SS2020 compared to WS2019 and SS2019. We quantified correlation coefficients in each semester and considered the differences from semester to semester. The results are presented in Table 3. </w:t>
      </w:r>
    </w:p>
    <w:p w:rsidR="005C3F63" w:rsidRDefault="006536E7">
      <w:pPr>
        <w:spacing w:after="120"/>
        <w:jc w:val="center"/>
        <w:rPr>
          <w:rFonts w:ascii="Verdana" w:hAnsi="Verdana"/>
          <w:sz w:val="20"/>
          <w:szCs w:val="20"/>
          <w:lang w:val="en-GB"/>
        </w:rPr>
      </w:pPr>
      <w:r>
        <w:rPr>
          <w:rFonts w:ascii="Verdana" w:hAnsi="Verdana"/>
          <w:b/>
          <w:sz w:val="20"/>
          <w:szCs w:val="20"/>
          <w:lang w:val="en-GB"/>
        </w:rPr>
        <w:t>Table 3</w:t>
      </w:r>
      <w:r>
        <w:rPr>
          <w:rFonts w:ascii="Verdana" w:hAnsi="Verdana"/>
          <w:sz w:val="20"/>
          <w:szCs w:val="20"/>
          <w:lang w:val="en-GB"/>
        </w:rPr>
        <w:t xml:space="preserve"> Correlation among parts of course assessment</w:t>
      </w:r>
    </w:p>
    <w:tbl>
      <w:tblPr>
        <w:tblW w:w="0" w:type="auto"/>
        <w:jc w:val="center"/>
        <w:tblBorders>
          <w:top w:val="single" w:sz="8" w:space="0" w:color="000000"/>
          <w:bottom w:val="single" w:sz="8" w:space="0" w:color="000000"/>
        </w:tblBorders>
        <w:tblLook w:val="04A0" w:firstRow="1" w:lastRow="0" w:firstColumn="1" w:lastColumn="0" w:noHBand="0" w:noVBand="1"/>
      </w:tblPr>
      <w:tblGrid>
        <w:gridCol w:w="3195"/>
        <w:gridCol w:w="1972"/>
        <w:gridCol w:w="1973"/>
        <w:gridCol w:w="1973"/>
      </w:tblGrid>
      <w:tr w:rsidR="005C3F63">
        <w:trPr>
          <w:jc w:val="center"/>
        </w:trPr>
        <w:tc>
          <w:tcPr>
            <w:tcW w:w="3195" w:type="dxa"/>
            <w:tcBorders>
              <w:top w:val="single" w:sz="8" w:space="0" w:color="000000"/>
              <w:left w:val="nil"/>
              <w:bottom w:val="double" w:sz="4" w:space="0" w:color="auto"/>
              <w:right w:val="nil"/>
            </w:tcBorders>
          </w:tcPr>
          <w:p w:rsidR="005C3F63" w:rsidRDefault="006536E7">
            <w:pPr>
              <w:jc w:val="left"/>
              <w:rPr>
                <w:rFonts w:ascii="Verdana" w:hAnsi="Verdana"/>
                <w:bCs/>
                <w:color w:val="000000"/>
                <w:sz w:val="20"/>
                <w:szCs w:val="20"/>
                <w:lang w:val="en-GB"/>
              </w:rPr>
            </w:pPr>
            <w:r>
              <w:rPr>
                <w:rFonts w:ascii="Verdana" w:hAnsi="Verdana"/>
                <w:bCs/>
                <w:color w:val="000000"/>
                <w:sz w:val="20"/>
                <w:szCs w:val="20"/>
                <w:lang w:val="en-GB"/>
              </w:rPr>
              <w:t>Panel A: SS2020</w:t>
            </w:r>
          </w:p>
        </w:tc>
        <w:tc>
          <w:tcPr>
            <w:tcW w:w="1972" w:type="dxa"/>
            <w:tcBorders>
              <w:top w:val="single" w:sz="8" w:space="0" w:color="000000"/>
              <w:left w:val="nil"/>
              <w:bottom w:val="double" w:sz="4" w:space="0" w:color="auto"/>
              <w:right w:val="nil"/>
            </w:tcBorders>
          </w:tcPr>
          <w:p w:rsidR="005C3F63" w:rsidRDefault="005C3F63">
            <w:pPr>
              <w:jc w:val="center"/>
              <w:rPr>
                <w:rFonts w:ascii="Verdana" w:hAnsi="Verdana"/>
                <w:bCs/>
                <w:color w:val="000000"/>
                <w:sz w:val="20"/>
                <w:szCs w:val="20"/>
                <w:lang w:val="en-GB"/>
              </w:rPr>
            </w:pPr>
          </w:p>
        </w:tc>
        <w:tc>
          <w:tcPr>
            <w:tcW w:w="1973" w:type="dxa"/>
            <w:tcBorders>
              <w:top w:val="single" w:sz="8" w:space="0" w:color="000000"/>
              <w:left w:val="nil"/>
              <w:bottom w:val="double" w:sz="4" w:space="0" w:color="auto"/>
              <w:right w:val="nil"/>
            </w:tcBorders>
          </w:tcPr>
          <w:p w:rsidR="005C3F63" w:rsidRDefault="005C3F63">
            <w:pPr>
              <w:jc w:val="center"/>
              <w:rPr>
                <w:rFonts w:ascii="Verdana" w:hAnsi="Verdana"/>
                <w:bCs/>
                <w:color w:val="000000"/>
                <w:sz w:val="20"/>
                <w:szCs w:val="20"/>
                <w:lang w:val="en-GB"/>
              </w:rPr>
            </w:pPr>
          </w:p>
        </w:tc>
        <w:tc>
          <w:tcPr>
            <w:tcW w:w="1973" w:type="dxa"/>
            <w:tcBorders>
              <w:top w:val="single" w:sz="8" w:space="0" w:color="000000"/>
              <w:left w:val="nil"/>
              <w:bottom w:val="double" w:sz="4" w:space="0" w:color="auto"/>
              <w:right w:val="nil"/>
            </w:tcBorders>
          </w:tcPr>
          <w:p w:rsidR="005C3F63" w:rsidRDefault="005C3F63">
            <w:pPr>
              <w:jc w:val="center"/>
              <w:rPr>
                <w:rFonts w:ascii="Verdana" w:hAnsi="Verdana"/>
                <w:bCs/>
                <w:color w:val="000000"/>
                <w:sz w:val="20"/>
                <w:szCs w:val="20"/>
                <w:lang w:val="en-GB"/>
              </w:rPr>
            </w:pPr>
          </w:p>
        </w:tc>
      </w:tr>
      <w:tr w:rsidR="005C3F63">
        <w:trPr>
          <w:jc w:val="center"/>
        </w:trPr>
        <w:tc>
          <w:tcPr>
            <w:tcW w:w="3195" w:type="dxa"/>
            <w:tcBorders>
              <w:top w:val="single" w:sz="8" w:space="0" w:color="000000"/>
              <w:left w:val="nil"/>
              <w:bottom w:val="double" w:sz="4" w:space="0" w:color="auto"/>
              <w:right w:val="nil"/>
            </w:tcBorders>
          </w:tcPr>
          <w:p w:rsidR="005C3F63" w:rsidRDefault="005C3F63">
            <w:pPr>
              <w:jc w:val="left"/>
              <w:rPr>
                <w:rFonts w:ascii="Verdana" w:hAnsi="Verdana"/>
                <w:b/>
                <w:bCs/>
                <w:color w:val="000000"/>
                <w:sz w:val="20"/>
                <w:szCs w:val="20"/>
                <w:lang w:val="en-GB"/>
              </w:rPr>
            </w:pPr>
          </w:p>
        </w:tc>
        <w:tc>
          <w:tcPr>
            <w:tcW w:w="1972"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en-GB"/>
              </w:rPr>
            </w:pPr>
            <w:r>
              <w:rPr>
                <w:rFonts w:ascii="Verdana" w:hAnsi="Verdana"/>
                <w:b/>
                <w:bCs/>
                <w:color w:val="000000"/>
                <w:sz w:val="20"/>
                <w:szCs w:val="20"/>
                <w:lang w:val="en-GB"/>
              </w:rPr>
              <w:t>Activity</w:t>
            </w:r>
          </w:p>
        </w:tc>
        <w:tc>
          <w:tcPr>
            <w:tcW w:w="1973"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en-GB"/>
              </w:rPr>
            </w:pPr>
            <w:r>
              <w:rPr>
                <w:rFonts w:ascii="Verdana" w:hAnsi="Verdana"/>
                <w:b/>
                <w:bCs/>
                <w:color w:val="000000"/>
                <w:sz w:val="20"/>
                <w:szCs w:val="20"/>
                <w:lang w:val="en-GB"/>
              </w:rPr>
              <w:t>Written test</w:t>
            </w:r>
          </w:p>
        </w:tc>
        <w:tc>
          <w:tcPr>
            <w:tcW w:w="1973"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en-GB"/>
              </w:rPr>
            </w:pPr>
            <w:r>
              <w:rPr>
                <w:rFonts w:ascii="Verdana" w:hAnsi="Verdana"/>
                <w:b/>
                <w:bCs/>
                <w:color w:val="000000"/>
                <w:sz w:val="20"/>
                <w:szCs w:val="20"/>
                <w:lang w:val="en-GB"/>
              </w:rPr>
              <w:t>Oral exam</w:t>
            </w:r>
          </w:p>
        </w:tc>
      </w:tr>
      <w:tr w:rsidR="005C3F63">
        <w:trPr>
          <w:jc w:val="center"/>
        </w:trPr>
        <w:tc>
          <w:tcPr>
            <w:tcW w:w="3195" w:type="dxa"/>
            <w:tcBorders>
              <w:top w:val="double" w:sz="4" w:space="0" w:color="auto"/>
              <w:left w:val="nil"/>
              <w:bottom w:val="single" w:sz="4" w:space="0" w:color="auto"/>
              <w:right w:val="nil"/>
            </w:tcBorders>
            <w:shd w:val="clear" w:color="auto" w:fill="FFFFFF"/>
          </w:tcPr>
          <w:p w:rsidR="005C3F63" w:rsidRDefault="006536E7">
            <w:pPr>
              <w:jc w:val="left"/>
              <w:rPr>
                <w:rFonts w:ascii="Verdana" w:hAnsi="Verdana"/>
                <w:b/>
                <w:bCs/>
                <w:color w:val="000000"/>
                <w:sz w:val="20"/>
                <w:szCs w:val="20"/>
                <w:lang w:val="en-GB"/>
              </w:rPr>
            </w:pPr>
            <w:r>
              <w:rPr>
                <w:rFonts w:ascii="Verdana" w:hAnsi="Verdana"/>
                <w:b/>
                <w:bCs/>
                <w:color w:val="000000"/>
                <w:sz w:val="20"/>
                <w:szCs w:val="20"/>
                <w:lang w:val="en-GB"/>
              </w:rPr>
              <w:t>Activity</w:t>
            </w:r>
          </w:p>
        </w:tc>
        <w:tc>
          <w:tcPr>
            <w:tcW w:w="1972" w:type="dxa"/>
            <w:tcBorders>
              <w:top w:val="doub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1</w:t>
            </w:r>
          </w:p>
        </w:tc>
        <w:tc>
          <w:tcPr>
            <w:tcW w:w="1973" w:type="dxa"/>
            <w:tcBorders>
              <w:top w:val="doub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en-GB"/>
              </w:rPr>
            </w:pPr>
          </w:p>
        </w:tc>
        <w:tc>
          <w:tcPr>
            <w:tcW w:w="1973" w:type="dxa"/>
            <w:tcBorders>
              <w:top w:val="doub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en-GB"/>
              </w:rPr>
            </w:pPr>
          </w:p>
        </w:tc>
      </w:tr>
      <w:tr w:rsidR="005C3F63">
        <w:trPr>
          <w:jc w:val="center"/>
        </w:trPr>
        <w:tc>
          <w:tcPr>
            <w:tcW w:w="3195" w:type="dxa"/>
            <w:tcBorders>
              <w:top w:val="single" w:sz="4" w:space="0" w:color="auto"/>
              <w:bottom w:val="single" w:sz="4" w:space="0" w:color="auto"/>
            </w:tcBorders>
            <w:shd w:val="clear" w:color="auto" w:fill="FFFFFF"/>
          </w:tcPr>
          <w:p w:rsidR="005C3F63" w:rsidRDefault="006536E7">
            <w:pPr>
              <w:ind w:right="-89"/>
              <w:jc w:val="left"/>
              <w:rPr>
                <w:rFonts w:ascii="Verdana" w:hAnsi="Verdana"/>
                <w:b/>
                <w:bCs/>
                <w:color w:val="000000"/>
                <w:sz w:val="20"/>
                <w:szCs w:val="20"/>
                <w:lang w:val="en-GB"/>
              </w:rPr>
            </w:pPr>
            <w:r>
              <w:rPr>
                <w:rFonts w:ascii="Verdana" w:hAnsi="Verdana"/>
                <w:b/>
                <w:bCs/>
                <w:color w:val="000000"/>
                <w:sz w:val="20"/>
                <w:szCs w:val="20"/>
                <w:lang w:val="en-GB"/>
              </w:rPr>
              <w:t>Written test</w:t>
            </w:r>
          </w:p>
        </w:tc>
        <w:tc>
          <w:tcPr>
            <w:tcW w:w="1972"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0,325**</w:t>
            </w:r>
          </w:p>
        </w:tc>
        <w:tc>
          <w:tcPr>
            <w:tcW w:w="1973"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1</w:t>
            </w:r>
          </w:p>
        </w:tc>
        <w:tc>
          <w:tcPr>
            <w:tcW w:w="1973" w:type="dxa"/>
            <w:tcBorders>
              <w:top w:val="single" w:sz="4" w:space="0" w:color="auto"/>
              <w:bottom w:val="single" w:sz="4" w:space="0" w:color="auto"/>
            </w:tcBorders>
            <w:shd w:val="clear" w:color="auto" w:fill="FFFFFF"/>
          </w:tcPr>
          <w:p w:rsidR="005C3F63" w:rsidRDefault="005C3F63">
            <w:pPr>
              <w:jc w:val="center"/>
              <w:rPr>
                <w:rFonts w:ascii="Verdana" w:hAnsi="Verdana"/>
                <w:color w:val="000000"/>
                <w:sz w:val="20"/>
                <w:szCs w:val="20"/>
                <w:lang w:val="en-GB"/>
              </w:rPr>
            </w:pPr>
          </w:p>
        </w:tc>
      </w:tr>
      <w:tr w:rsidR="005C3F63">
        <w:trPr>
          <w:jc w:val="center"/>
        </w:trPr>
        <w:tc>
          <w:tcPr>
            <w:tcW w:w="3195" w:type="dxa"/>
            <w:tcBorders>
              <w:top w:val="single" w:sz="4" w:space="0" w:color="auto"/>
              <w:bottom w:val="single" w:sz="4" w:space="0" w:color="auto"/>
            </w:tcBorders>
            <w:shd w:val="clear" w:color="auto" w:fill="FFFFFF"/>
          </w:tcPr>
          <w:p w:rsidR="005C3F63" w:rsidRDefault="006536E7">
            <w:pPr>
              <w:ind w:right="-89"/>
              <w:jc w:val="left"/>
              <w:rPr>
                <w:rFonts w:ascii="Verdana" w:hAnsi="Verdana"/>
                <w:b/>
                <w:bCs/>
                <w:color w:val="000000"/>
                <w:sz w:val="20"/>
                <w:szCs w:val="20"/>
                <w:lang w:val="en-GB"/>
              </w:rPr>
            </w:pPr>
            <w:r>
              <w:rPr>
                <w:rFonts w:ascii="Verdana" w:hAnsi="Verdana"/>
                <w:b/>
                <w:bCs/>
                <w:color w:val="000000"/>
                <w:sz w:val="20"/>
                <w:szCs w:val="20"/>
                <w:lang w:val="en-GB"/>
              </w:rPr>
              <w:t>Oral exam</w:t>
            </w:r>
          </w:p>
        </w:tc>
        <w:tc>
          <w:tcPr>
            <w:tcW w:w="1972"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0,242**</w:t>
            </w:r>
          </w:p>
        </w:tc>
        <w:tc>
          <w:tcPr>
            <w:tcW w:w="1973"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0,279**</w:t>
            </w:r>
          </w:p>
        </w:tc>
        <w:tc>
          <w:tcPr>
            <w:tcW w:w="1973"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1</w:t>
            </w:r>
          </w:p>
        </w:tc>
      </w:tr>
      <w:tr w:rsidR="005C3F63">
        <w:trPr>
          <w:jc w:val="center"/>
        </w:trPr>
        <w:tc>
          <w:tcPr>
            <w:tcW w:w="3195" w:type="dxa"/>
            <w:tcBorders>
              <w:top w:val="single" w:sz="4" w:space="0" w:color="auto"/>
              <w:bottom w:val="single" w:sz="4" w:space="0" w:color="auto"/>
            </w:tcBorders>
            <w:shd w:val="clear" w:color="auto" w:fill="FFFFFF"/>
          </w:tcPr>
          <w:p w:rsidR="005C3F63" w:rsidRDefault="005C3F63">
            <w:pPr>
              <w:ind w:right="-89"/>
              <w:jc w:val="left"/>
              <w:rPr>
                <w:rFonts w:ascii="Verdana" w:hAnsi="Verdana"/>
                <w:b/>
                <w:bCs/>
                <w:color w:val="000000"/>
                <w:sz w:val="20"/>
                <w:szCs w:val="20"/>
                <w:lang w:val="en-GB"/>
              </w:rPr>
            </w:pPr>
          </w:p>
        </w:tc>
        <w:tc>
          <w:tcPr>
            <w:tcW w:w="1972" w:type="dxa"/>
            <w:tcBorders>
              <w:top w:val="single" w:sz="4" w:space="0" w:color="auto"/>
              <w:bottom w:val="single" w:sz="4" w:space="0" w:color="auto"/>
            </w:tcBorders>
            <w:shd w:val="clear" w:color="auto" w:fill="FFFFFF"/>
          </w:tcPr>
          <w:p w:rsidR="005C3F63" w:rsidRDefault="005C3F63">
            <w:pPr>
              <w:jc w:val="center"/>
              <w:rPr>
                <w:rFonts w:ascii="Verdana" w:hAnsi="Verdana"/>
                <w:color w:val="000000"/>
                <w:sz w:val="20"/>
                <w:szCs w:val="20"/>
                <w:lang w:val="en-GB"/>
              </w:rPr>
            </w:pPr>
          </w:p>
        </w:tc>
        <w:tc>
          <w:tcPr>
            <w:tcW w:w="1973" w:type="dxa"/>
            <w:tcBorders>
              <w:top w:val="single" w:sz="4" w:space="0" w:color="auto"/>
              <w:bottom w:val="single" w:sz="4" w:space="0" w:color="auto"/>
            </w:tcBorders>
            <w:shd w:val="clear" w:color="auto" w:fill="FFFFFF"/>
          </w:tcPr>
          <w:p w:rsidR="005C3F63" w:rsidRDefault="005C3F63">
            <w:pPr>
              <w:jc w:val="center"/>
              <w:rPr>
                <w:rFonts w:ascii="Verdana" w:hAnsi="Verdana"/>
                <w:color w:val="000000"/>
                <w:sz w:val="20"/>
                <w:szCs w:val="20"/>
                <w:lang w:val="en-GB"/>
              </w:rPr>
            </w:pPr>
          </w:p>
        </w:tc>
        <w:tc>
          <w:tcPr>
            <w:tcW w:w="1973" w:type="dxa"/>
            <w:tcBorders>
              <w:top w:val="single" w:sz="4" w:space="0" w:color="auto"/>
              <w:bottom w:val="single" w:sz="4" w:space="0" w:color="auto"/>
            </w:tcBorders>
            <w:shd w:val="clear" w:color="auto" w:fill="FFFFFF"/>
          </w:tcPr>
          <w:p w:rsidR="005C3F63" w:rsidRDefault="005C3F63">
            <w:pPr>
              <w:jc w:val="center"/>
              <w:rPr>
                <w:rFonts w:ascii="Verdana" w:hAnsi="Verdana"/>
                <w:color w:val="000000"/>
                <w:sz w:val="20"/>
                <w:szCs w:val="20"/>
                <w:lang w:val="en-GB"/>
              </w:rPr>
            </w:pPr>
          </w:p>
        </w:tc>
      </w:tr>
      <w:tr w:rsidR="005C3F63">
        <w:trPr>
          <w:jc w:val="center"/>
        </w:trPr>
        <w:tc>
          <w:tcPr>
            <w:tcW w:w="3195" w:type="dxa"/>
            <w:tcBorders>
              <w:top w:val="single" w:sz="8" w:space="0" w:color="000000"/>
              <w:left w:val="nil"/>
              <w:bottom w:val="double" w:sz="4" w:space="0" w:color="auto"/>
              <w:right w:val="nil"/>
            </w:tcBorders>
          </w:tcPr>
          <w:p w:rsidR="005C3F63" w:rsidRDefault="006536E7">
            <w:pPr>
              <w:jc w:val="left"/>
              <w:rPr>
                <w:rFonts w:ascii="Verdana" w:hAnsi="Verdana"/>
                <w:bCs/>
                <w:color w:val="000000"/>
                <w:sz w:val="20"/>
                <w:szCs w:val="20"/>
                <w:lang w:val="en-GB"/>
              </w:rPr>
            </w:pPr>
            <w:r>
              <w:rPr>
                <w:rFonts w:ascii="Verdana" w:hAnsi="Verdana"/>
                <w:bCs/>
                <w:color w:val="000000"/>
                <w:sz w:val="20"/>
                <w:szCs w:val="20"/>
                <w:lang w:val="en-GB"/>
              </w:rPr>
              <w:t>Panel B: WS2019</w:t>
            </w:r>
          </w:p>
        </w:tc>
        <w:tc>
          <w:tcPr>
            <w:tcW w:w="1972" w:type="dxa"/>
            <w:tcBorders>
              <w:top w:val="single" w:sz="8" w:space="0" w:color="000000"/>
              <w:left w:val="nil"/>
              <w:bottom w:val="double" w:sz="4" w:space="0" w:color="auto"/>
              <w:right w:val="nil"/>
            </w:tcBorders>
          </w:tcPr>
          <w:p w:rsidR="005C3F63" w:rsidRDefault="005C3F63">
            <w:pPr>
              <w:jc w:val="center"/>
              <w:rPr>
                <w:rFonts w:ascii="Verdana" w:hAnsi="Verdana"/>
                <w:bCs/>
                <w:color w:val="000000"/>
                <w:sz w:val="20"/>
                <w:szCs w:val="20"/>
                <w:lang w:val="en-GB"/>
              </w:rPr>
            </w:pPr>
          </w:p>
        </w:tc>
        <w:tc>
          <w:tcPr>
            <w:tcW w:w="1973" w:type="dxa"/>
            <w:tcBorders>
              <w:top w:val="single" w:sz="8" w:space="0" w:color="000000"/>
              <w:left w:val="nil"/>
              <w:bottom w:val="double" w:sz="4" w:space="0" w:color="auto"/>
              <w:right w:val="nil"/>
            </w:tcBorders>
          </w:tcPr>
          <w:p w:rsidR="005C3F63" w:rsidRDefault="005C3F63">
            <w:pPr>
              <w:jc w:val="center"/>
              <w:rPr>
                <w:rFonts w:ascii="Verdana" w:hAnsi="Verdana"/>
                <w:bCs/>
                <w:color w:val="000000"/>
                <w:sz w:val="20"/>
                <w:szCs w:val="20"/>
                <w:lang w:val="en-GB"/>
              </w:rPr>
            </w:pPr>
          </w:p>
        </w:tc>
        <w:tc>
          <w:tcPr>
            <w:tcW w:w="1973" w:type="dxa"/>
            <w:tcBorders>
              <w:top w:val="single" w:sz="8" w:space="0" w:color="000000"/>
              <w:left w:val="nil"/>
              <w:bottom w:val="double" w:sz="4" w:space="0" w:color="auto"/>
              <w:right w:val="nil"/>
            </w:tcBorders>
          </w:tcPr>
          <w:p w:rsidR="005C3F63" w:rsidRDefault="005C3F63">
            <w:pPr>
              <w:jc w:val="center"/>
              <w:rPr>
                <w:rFonts w:ascii="Verdana" w:hAnsi="Verdana"/>
                <w:bCs/>
                <w:color w:val="000000"/>
                <w:sz w:val="20"/>
                <w:szCs w:val="20"/>
                <w:lang w:val="en-GB"/>
              </w:rPr>
            </w:pPr>
          </w:p>
        </w:tc>
      </w:tr>
      <w:tr w:rsidR="005C3F63">
        <w:trPr>
          <w:jc w:val="center"/>
        </w:trPr>
        <w:tc>
          <w:tcPr>
            <w:tcW w:w="3195" w:type="dxa"/>
            <w:tcBorders>
              <w:top w:val="single" w:sz="8" w:space="0" w:color="000000"/>
              <w:left w:val="nil"/>
              <w:bottom w:val="double" w:sz="4" w:space="0" w:color="auto"/>
              <w:right w:val="nil"/>
            </w:tcBorders>
          </w:tcPr>
          <w:p w:rsidR="005C3F63" w:rsidRDefault="005C3F63">
            <w:pPr>
              <w:jc w:val="left"/>
              <w:rPr>
                <w:rFonts w:ascii="Verdana" w:hAnsi="Verdana"/>
                <w:b/>
                <w:bCs/>
                <w:color w:val="000000"/>
                <w:sz w:val="20"/>
                <w:szCs w:val="20"/>
                <w:lang w:val="en-GB"/>
              </w:rPr>
            </w:pPr>
          </w:p>
        </w:tc>
        <w:tc>
          <w:tcPr>
            <w:tcW w:w="1972"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en-GB"/>
              </w:rPr>
            </w:pPr>
            <w:r>
              <w:rPr>
                <w:rFonts w:ascii="Verdana" w:hAnsi="Verdana"/>
                <w:b/>
                <w:bCs/>
                <w:color w:val="000000"/>
                <w:sz w:val="20"/>
                <w:szCs w:val="20"/>
                <w:lang w:val="en-GB"/>
              </w:rPr>
              <w:t>Activity</w:t>
            </w:r>
          </w:p>
        </w:tc>
        <w:tc>
          <w:tcPr>
            <w:tcW w:w="1973"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en-GB"/>
              </w:rPr>
            </w:pPr>
            <w:r>
              <w:rPr>
                <w:rFonts w:ascii="Verdana" w:hAnsi="Verdana"/>
                <w:b/>
                <w:bCs/>
                <w:color w:val="000000"/>
                <w:sz w:val="20"/>
                <w:szCs w:val="20"/>
                <w:lang w:val="en-GB"/>
              </w:rPr>
              <w:t>Written test</w:t>
            </w:r>
          </w:p>
        </w:tc>
        <w:tc>
          <w:tcPr>
            <w:tcW w:w="1973"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en-GB"/>
              </w:rPr>
            </w:pPr>
            <w:r>
              <w:rPr>
                <w:rFonts w:ascii="Verdana" w:hAnsi="Verdana"/>
                <w:b/>
                <w:bCs/>
                <w:color w:val="000000"/>
                <w:sz w:val="20"/>
                <w:szCs w:val="20"/>
                <w:lang w:val="en-GB"/>
              </w:rPr>
              <w:t>Oral exam</w:t>
            </w:r>
          </w:p>
        </w:tc>
      </w:tr>
      <w:tr w:rsidR="005C3F63">
        <w:trPr>
          <w:jc w:val="center"/>
        </w:trPr>
        <w:tc>
          <w:tcPr>
            <w:tcW w:w="3195" w:type="dxa"/>
            <w:tcBorders>
              <w:top w:val="double" w:sz="4" w:space="0" w:color="auto"/>
              <w:left w:val="nil"/>
              <w:bottom w:val="single" w:sz="4" w:space="0" w:color="auto"/>
              <w:right w:val="nil"/>
            </w:tcBorders>
            <w:shd w:val="clear" w:color="auto" w:fill="FFFFFF"/>
          </w:tcPr>
          <w:p w:rsidR="005C3F63" w:rsidRDefault="006536E7">
            <w:pPr>
              <w:jc w:val="left"/>
              <w:rPr>
                <w:rFonts w:ascii="Verdana" w:hAnsi="Verdana"/>
                <w:b/>
                <w:bCs/>
                <w:color w:val="000000"/>
                <w:sz w:val="20"/>
                <w:szCs w:val="20"/>
                <w:lang w:val="en-GB"/>
              </w:rPr>
            </w:pPr>
            <w:r>
              <w:rPr>
                <w:rFonts w:ascii="Verdana" w:hAnsi="Verdana"/>
                <w:b/>
                <w:bCs/>
                <w:color w:val="000000"/>
                <w:sz w:val="20"/>
                <w:szCs w:val="20"/>
                <w:lang w:val="en-GB"/>
              </w:rPr>
              <w:t>Activity</w:t>
            </w:r>
          </w:p>
        </w:tc>
        <w:tc>
          <w:tcPr>
            <w:tcW w:w="1972" w:type="dxa"/>
            <w:tcBorders>
              <w:top w:val="doub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1</w:t>
            </w:r>
          </w:p>
        </w:tc>
        <w:tc>
          <w:tcPr>
            <w:tcW w:w="1973" w:type="dxa"/>
            <w:tcBorders>
              <w:top w:val="doub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en-GB"/>
              </w:rPr>
            </w:pPr>
          </w:p>
        </w:tc>
        <w:tc>
          <w:tcPr>
            <w:tcW w:w="1973" w:type="dxa"/>
            <w:tcBorders>
              <w:top w:val="doub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en-GB"/>
              </w:rPr>
            </w:pPr>
          </w:p>
        </w:tc>
      </w:tr>
      <w:tr w:rsidR="005C3F63">
        <w:trPr>
          <w:jc w:val="center"/>
        </w:trPr>
        <w:tc>
          <w:tcPr>
            <w:tcW w:w="3195" w:type="dxa"/>
            <w:tcBorders>
              <w:top w:val="single" w:sz="4" w:space="0" w:color="auto"/>
              <w:bottom w:val="single" w:sz="4" w:space="0" w:color="auto"/>
            </w:tcBorders>
            <w:shd w:val="clear" w:color="auto" w:fill="FFFFFF"/>
          </w:tcPr>
          <w:p w:rsidR="005C3F63" w:rsidRDefault="006536E7">
            <w:pPr>
              <w:ind w:right="-89"/>
              <w:jc w:val="left"/>
              <w:rPr>
                <w:rFonts w:ascii="Verdana" w:hAnsi="Verdana"/>
                <w:b/>
                <w:bCs/>
                <w:color w:val="000000"/>
                <w:sz w:val="20"/>
                <w:szCs w:val="20"/>
                <w:lang w:val="en-GB"/>
              </w:rPr>
            </w:pPr>
            <w:r>
              <w:rPr>
                <w:rFonts w:ascii="Verdana" w:hAnsi="Verdana"/>
                <w:b/>
                <w:bCs/>
                <w:color w:val="000000"/>
                <w:sz w:val="20"/>
                <w:szCs w:val="20"/>
                <w:lang w:val="en-GB"/>
              </w:rPr>
              <w:t>Written test</w:t>
            </w:r>
          </w:p>
        </w:tc>
        <w:tc>
          <w:tcPr>
            <w:tcW w:w="1972"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0,161**</w:t>
            </w:r>
          </w:p>
        </w:tc>
        <w:tc>
          <w:tcPr>
            <w:tcW w:w="1973"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1</w:t>
            </w:r>
          </w:p>
        </w:tc>
        <w:tc>
          <w:tcPr>
            <w:tcW w:w="1973" w:type="dxa"/>
            <w:tcBorders>
              <w:top w:val="single" w:sz="4" w:space="0" w:color="auto"/>
              <w:bottom w:val="single" w:sz="4" w:space="0" w:color="auto"/>
            </w:tcBorders>
            <w:shd w:val="clear" w:color="auto" w:fill="FFFFFF"/>
          </w:tcPr>
          <w:p w:rsidR="005C3F63" w:rsidRDefault="005C3F63">
            <w:pPr>
              <w:jc w:val="center"/>
              <w:rPr>
                <w:rFonts w:ascii="Verdana" w:hAnsi="Verdana"/>
                <w:color w:val="000000"/>
                <w:sz w:val="20"/>
                <w:szCs w:val="20"/>
                <w:lang w:val="en-GB"/>
              </w:rPr>
            </w:pPr>
          </w:p>
        </w:tc>
      </w:tr>
      <w:tr w:rsidR="005C3F63">
        <w:trPr>
          <w:jc w:val="center"/>
        </w:trPr>
        <w:tc>
          <w:tcPr>
            <w:tcW w:w="3195" w:type="dxa"/>
            <w:tcBorders>
              <w:top w:val="single" w:sz="4" w:space="0" w:color="auto"/>
              <w:bottom w:val="single" w:sz="4" w:space="0" w:color="auto"/>
            </w:tcBorders>
            <w:shd w:val="clear" w:color="auto" w:fill="FFFFFF"/>
          </w:tcPr>
          <w:p w:rsidR="005C3F63" w:rsidRDefault="006536E7">
            <w:pPr>
              <w:ind w:right="-89"/>
              <w:jc w:val="left"/>
              <w:rPr>
                <w:rFonts w:ascii="Verdana" w:hAnsi="Verdana"/>
                <w:b/>
                <w:bCs/>
                <w:color w:val="000000"/>
                <w:sz w:val="20"/>
                <w:szCs w:val="20"/>
                <w:lang w:val="en-GB"/>
              </w:rPr>
            </w:pPr>
            <w:r>
              <w:rPr>
                <w:rFonts w:ascii="Verdana" w:hAnsi="Verdana"/>
                <w:b/>
                <w:bCs/>
                <w:color w:val="000000"/>
                <w:sz w:val="20"/>
                <w:szCs w:val="20"/>
                <w:lang w:val="en-GB"/>
              </w:rPr>
              <w:t>Oral exam</w:t>
            </w:r>
          </w:p>
        </w:tc>
        <w:tc>
          <w:tcPr>
            <w:tcW w:w="1972"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0,240**</w:t>
            </w:r>
          </w:p>
        </w:tc>
        <w:tc>
          <w:tcPr>
            <w:tcW w:w="1973"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0,073</w:t>
            </w:r>
          </w:p>
        </w:tc>
        <w:tc>
          <w:tcPr>
            <w:tcW w:w="1973"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1</w:t>
            </w:r>
          </w:p>
        </w:tc>
      </w:tr>
      <w:tr w:rsidR="005C3F63">
        <w:trPr>
          <w:jc w:val="center"/>
        </w:trPr>
        <w:tc>
          <w:tcPr>
            <w:tcW w:w="3195" w:type="dxa"/>
            <w:tcBorders>
              <w:top w:val="single" w:sz="4" w:space="0" w:color="auto"/>
              <w:bottom w:val="single" w:sz="4" w:space="0" w:color="auto"/>
            </w:tcBorders>
            <w:shd w:val="clear" w:color="auto" w:fill="FFFFFF"/>
          </w:tcPr>
          <w:p w:rsidR="005C3F63" w:rsidRDefault="005C3F63">
            <w:pPr>
              <w:ind w:right="-89"/>
              <w:jc w:val="left"/>
              <w:rPr>
                <w:rFonts w:ascii="Verdana" w:hAnsi="Verdana"/>
                <w:b/>
                <w:bCs/>
                <w:color w:val="000000"/>
                <w:sz w:val="20"/>
                <w:szCs w:val="20"/>
                <w:lang w:val="en-GB"/>
              </w:rPr>
            </w:pPr>
          </w:p>
        </w:tc>
        <w:tc>
          <w:tcPr>
            <w:tcW w:w="1972" w:type="dxa"/>
            <w:tcBorders>
              <w:top w:val="single" w:sz="4" w:space="0" w:color="auto"/>
              <w:bottom w:val="single" w:sz="4" w:space="0" w:color="auto"/>
            </w:tcBorders>
            <w:shd w:val="clear" w:color="auto" w:fill="FFFFFF"/>
          </w:tcPr>
          <w:p w:rsidR="005C3F63" w:rsidRDefault="005C3F63">
            <w:pPr>
              <w:jc w:val="center"/>
              <w:rPr>
                <w:rFonts w:ascii="Verdana" w:hAnsi="Verdana"/>
                <w:color w:val="000000"/>
                <w:sz w:val="20"/>
                <w:szCs w:val="20"/>
                <w:lang w:val="en-GB"/>
              </w:rPr>
            </w:pPr>
          </w:p>
        </w:tc>
        <w:tc>
          <w:tcPr>
            <w:tcW w:w="1973" w:type="dxa"/>
            <w:tcBorders>
              <w:top w:val="single" w:sz="4" w:space="0" w:color="auto"/>
              <w:bottom w:val="single" w:sz="4" w:space="0" w:color="auto"/>
            </w:tcBorders>
            <w:shd w:val="clear" w:color="auto" w:fill="FFFFFF"/>
          </w:tcPr>
          <w:p w:rsidR="005C3F63" w:rsidRDefault="005C3F63">
            <w:pPr>
              <w:jc w:val="center"/>
              <w:rPr>
                <w:rFonts w:ascii="Verdana" w:hAnsi="Verdana"/>
                <w:color w:val="000000"/>
                <w:sz w:val="20"/>
                <w:szCs w:val="20"/>
                <w:lang w:val="en-GB"/>
              </w:rPr>
            </w:pPr>
          </w:p>
        </w:tc>
        <w:tc>
          <w:tcPr>
            <w:tcW w:w="1973" w:type="dxa"/>
            <w:tcBorders>
              <w:top w:val="single" w:sz="4" w:space="0" w:color="auto"/>
              <w:bottom w:val="single" w:sz="4" w:space="0" w:color="auto"/>
            </w:tcBorders>
            <w:shd w:val="clear" w:color="auto" w:fill="FFFFFF"/>
          </w:tcPr>
          <w:p w:rsidR="005C3F63" w:rsidRDefault="005C3F63">
            <w:pPr>
              <w:jc w:val="center"/>
              <w:rPr>
                <w:rFonts w:ascii="Verdana" w:hAnsi="Verdana"/>
                <w:color w:val="000000"/>
                <w:sz w:val="20"/>
                <w:szCs w:val="20"/>
                <w:lang w:val="en-GB"/>
              </w:rPr>
            </w:pPr>
          </w:p>
        </w:tc>
      </w:tr>
      <w:tr w:rsidR="005C3F63">
        <w:trPr>
          <w:jc w:val="center"/>
        </w:trPr>
        <w:tc>
          <w:tcPr>
            <w:tcW w:w="3195" w:type="dxa"/>
            <w:tcBorders>
              <w:top w:val="single" w:sz="8" w:space="0" w:color="000000"/>
              <w:left w:val="nil"/>
              <w:bottom w:val="double" w:sz="4" w:space="0" w:color="auto"/>
              <w:right w:val="nil"/>
            </w:tcBorders>
          </w:tcPr>
          <w:p w:rsidR="005C3F63" w:rsidRDefault="006536E7">
            <w:pPr>
              <w:jc w:val="left"/>
              <w:rPr>
                <w:rFonts w:ascii="Verdana" w:hAnsi="Verdana"/>
                <w:bCs/>
                <w:color w:val="000000"/>
                <w:sz w:val="20"/>
                <w:szCs w:val="20"/>
                <w:lang w:val="en-GB"/>
              </w:rPr>
            </w:pPr>
            <w:r>
              <w:rPr>
                <w:rFonts w:ascii="Verdana" w:hAnsi="Verdana"/>
                <w:bCs/>
                <w:color w:val="000000"/>
                <w:sz w:val="20"/>
                <w:szCs w:val="20"/>
                <w:lang w:val="en-GB"/>
              </w:rPr>
              <w:t>Panel C: SS2019</w:t>
            </w:r>
          </w:p>
        </w:tc>
        <w:tc>
          <w:tcPr>
            <w:tcW w:w="1972" w:type="dxa"/>
            <w:tcBorders>
              <w:top w:val="single" w:sz="8" w:space="0" w:color="000000"/>
              <w:left w:val="nil"/>
              <w:bottom w:val="double" w:sz="4" w:space="0" w:color="auto"/>
              <w:right w:val="nil"/>
            </w:tcBorders>
          </w:tcPr>
          <w:p w:rsidR="005C3F63" w:rsidRDefault="005C3F63">
            <w:pPr>
              <w:jc w:val="center"/>
              <w:rPr>
                <w:rFonts w:ascii="Verdana" w:hAnsi="Verdana"/>
                <w:bCs/>
                <w:color w:val="000000"/>
                <w:sz w:val="20"/>
                <w:szCs w:val="20"/>
                <w:lang w:val="en-GB"/>
              </w:rPr>
            </w:pPr>
          </w:p>
        </w:tc>
        <w:tc>
          <w:tcPr>
            <w:tcW w:w="1973" w:type="dxa"/>
            <w:tcBorders>
              <w:top w:val="single" w:sz="8" w:space="0" w:color="000000"/>
              <w:left w:val="nil"/>
              <w:bottom w:val="double" w:sz="4" w:space="0" w:color="auto"/>
              <w:right w:val="nil"/>
            </w:tcBorders>
          </w:tcPr>
          <w:p w:rsidR="005C3F63" w:rsidRDefault="005C3F63">
            <w:pPr>
              <w:jc w:val="center"/>
              <w:rPr>
                <w:rFonts w:ascii="Verdana" w:hAnsi="Verdana"/>
                <w:bCs/>
                <w:color w:val="000000"/>
                <w:sz w:val="20"/>
                <w:szCs w:val="20"/>
                <w:lang w:val="en-GB"/>
              </w:rPr>
            </w:pPr>
          </w:p>
        </w:tc>
        <w:tc>
          <w:tcPr>
            <w:tcW w:w="1973" w:type="dxa"/>
            <w:tcBorders>
              <w:top w:val="single" w:sz="8" w:space="0" w:color="000000"/>
              <w:left w:val="nil"/>
              <w:bottom w:val="double" w:sz="4" w:space="0" w:color="auto"/>
              <w:right w:val="nil"/>
            </w:tcBorders>
          </w:tcPr>
          <w:p w:rsidR="005C3F63" w:rsidRDefault="005C3F63">
            <w:pPr>
              <w:jc w:val="center"/>
              <w:rPr>
                <w:rFonts w:ascii="Verdana" w:hAnsi="Verdana"/>
                <w:bCs/>
                <w:color w:val="000000"/>
                <w:sz w:val="20"/>
                <w:szCs w:val="20"/>
                <w:lang w:val="en-GB"/>
              </w:rPr>
            </w:pPr>
          </w:p>
        </w:tc>
      </w:tr>
      <w:tr w:rsidR="005C3F63">
        <w:trPr>
          <w:jc w:val="center"/>
        </w:trPr>
        <w:tc>
          <w:tcPr>
            <w:tcW w:w="3195" w:type="dxa"/>
            <w:tcBorders>
              <w:top w:val="single" w:sz="8" w:space="0" w:color="000000"/>
              <w:left w:val="nil"/>
              <w:bottom w:val="double" w:sz="4" w:space="0" w:color="auto"/>
              <w:right w:val="nil"/>
            </w:tcBorders>
          </w:tcPr>
          <w:p w:rsidR="005C3F63" w:rsidRDefault="005C3F63">
            <w:pPr>
              <w:jc w:val="left"/>
              <w:rPr>
                <w:rFonts w:ascii="Verdana" w:hAnsi="Verdana"/>
                <w:b/>
                <w:bCs/>
                <w:color w:val="000000"/>
                <w:sz w:val="20"/>
                <w:szCs w:val="20"/>
                <w:lang w:val="en-GB"/>
              </w:rPr>
            </w:pPr>
          </w:p>
        </w:tc>
        <w:tc>
          <w:tcPr>
            <w:tcW w:w="1972"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en-GB"/>
              </w:rPr>
            </w:pPr>
            <w:r>
              <w:rPr>
                <w:rFonts w:ascii="Verdana" w:hAnsi="Verdana"/>
                <w:b/>
                <w:bCs/>
                <w:color w:val="000000"/>
                <w:sz w:val="20"/>
                <w:szCs w:val="20"/>
                <w:lang w:val="en-GB"/>
              </w:rPr>
              <w:t>Activity</w:t>
            </w:r>
          </w:p>
        </w:tc>
        <w:tc>
          <w:tcPr>
            <w:tcW w:w="1973"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en-GB"/>
              </w:rPr>
            </w:pPr>
            <w:r>
              <w:rPr>
                <w:rFonts w:ascii="Verdana" w:hAnsi="Verdana"/>
                <w:b/>
                <w:bCs/>
                <w:color w:val="000000"/>
                <w:sz w:val="20"/>
                <w:szCs w:val="20"/>
                <w:lang w:val="en-GB"/>
              </w:rPr>
              <w:t>Written test</w:t>
            </w:r>
          </w:p>
        </w:tc>
        <w:tc>
          <w:tcPr>
            <w:tcW w:w="1973" w:type="dxa"/>
            <w:tcBorders>
              <w:top w:val="single" w:sz="8" w:space="0" w:color="000000"/>
              <w:left w:val="nil"/>
              <w:bottom w:val="double" w:sz="4" w:space="0" w:color="auto"/>
              <w:right w:val="nil"/>
            </w:tcBorders>
          </w:tcPr>
          <w:p w:rsidR="005C3F63" w:rsidRDefault="006536E7">
            <w:pPr>
              <w:jc w:val="center"/>
              <w:rPr>
                <w:rFonts w:ascii="Verdana" w:hAnsi="Verdana"/>
                <w:b/>
                <w:bCs/>
                <w:color w:val="000000"/>
                <w:sz w:val="20"/>
                <w:szCs w:val="20"/>
                <w:lang w:val="en-GB"/>
              </w:rPr>
            </w:pPr>
            <w:r>
              <w:rPr>
                <w:rFonts w:ascii="Verdana" w:hAnsi="Verdana"/>
                <w:b/>
                <w:bCs/>
                <w:color w:val="000000"/>
                <w:sz w:val="20"/>
                <w:szCs w:val="20"/>
                <w:lang w:val="en-GB"/>
              </w:rPr>
              <w:t>Oral exam</w:t>
            </w:r>
          </w:p>
        </w:tc>
      </w:tr>
      <w:tr w:rsidR="005C3F63">
        <w:trPr>
          <w:jc w:val="center"/>
        </w:trPr>
        <w:tc>
          <w:tcPr>
            <w:tcW w:w="3195" w:type="dxa"/>
            <w:tcBorders>
              <w:top w:val="double" w:sz="4" w:space="0" w:color="auto"/>
              <w:left w:val="nil"/>
              <w:bottom w:val="single" w:sz="4" w:space="0" w:color="auto"/>
              <w:right w:val="nil"/>
            </w:tcBorders>
            <w:shd w:val="clear" w:color="auto" w:fill="FFFFFF"/>
          </w:tcPr>
          <w:p w:rsidR="005C3F63" w:rsidRDefault="006536E7">
            <w:pPr>
              <w:jc w:val="left"/>
              <w:rPr>
                <w:rFonts w:ascii="Verdana" w:hAnsi="Verdana"/>
                <w:b/>
                <w:bCs/>
                <w:color w:val="000000"/>
                <w:sz w:val="20"/>
                <w:szCs w:val="20"/>
                <w:lang w:val="en-GB"/>
              </w:rPr>
            </w:pPr>
            <w:r>
              <w:rPr>
                <w:rFonts w:ascii="Verdana" w:hAnsi="Verdana"/>
                <w:b/>
                <w:bCs/>
                <w:color w:val="000000"/>
                <w:sz w:val="20"/>
                <w:szCs w:val="20"/>
                <w:lang w:val="en-GB"/>
              </w:rPr>
              <w:t>Activity</w:t>
            </w:r>
          </w:p>
        </w:tc>
        <w:tc>
          <w:tcPr>
            <w:tcW w:w="1972" w:type="dxa"/>
            <w:tcBorders>
              <w:top w:val="double" w:sz="4" w:space="0" w:color="auto"/>
              <w:left w:val="nil"/>
              <w:bottom w:val="single" w:sz="4" w:space="0" w:color="auto"/>
              <w:right w:val="nil"/>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1</w:t>
            </w:r>
          </w:p>
        </w:tc>
        <w:tc>
          <w:tcPr>
            <w:tcW w:w="1973" w:type="dxa"/>
            <w:tcBorders>
              <w:top w:val="doub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en-GB"/>
              </w:rPr>
            </w:pPr>
          </w:p>
        </w:tc>
        <w:tc>
          <w:tcPr>
            <w:tcW w:w="1973" w:type="dxa"/>
            <w:tcBorders>
              <w:top w:val="double" w:sz="4" w:space="0" w:color="auto"/>
              <w:left w:val="nil"/>
              <w:bottom w:val="single" w:sz="4" w:space="0" w:color="auto"/>
              <w:right w:val="nil"/>
            </w:tcBorders>
            <w:shd w:val="clear" w:color="auto" w:fill="FFFFFF"/>
          </w:tcPr>
          <w:p w:rsidR="005C3F63" w:rsidRDefault="005C3F63">
            <w:pPr>
              <w:jc w:val="center"/>
              <w:rPr>
                <w:rFonts w:ascii="Verdana" w:hAnsi="Verdana"/>
                <w:color w:val="000000"/>
                <w:sz w:val="20"/>
                <w:szCs w:val="20"/>
                <w:lang w:val="en-GB"/>
              </w:rPr>
            </w:pPr>
          </w:p>
        </w:tc>
      </w:tr>
      <w:tr w:rsidR="005C3F63">
        <w:trPr>
          <w:jc w:val="center"/>
        </w:trPr>
        <w:tc>
          <w:tcPr>
            <w:tcW w:w="3195" w:type="dxa"/>
            <w:tcBorders>
              <w:top w:val="single" w:sz="4" w:space="0" w:color="auto"/>
              <w:bottom w:val="single" w:sz="4" w:space="0" w:color="auto"/>
            </w:tcBorders>
            <w:shd w:val="clear" w:color="auto" w:fill="FFFFFF"/>
          </w:tcPr>
          <w:p w:rsidR="005C3F63" w:rsidRDefault="006536E7">
            <w:pPr>
              <w:ind w:right="-89"/>
              <w:jc w:val="left"/>
              <w:rPr>
                <w:rFonts w:ascii="Verdana" w:hAnsi="Verdana"/>
                <w:b/>
                <w:bCs/>
                <w:color w:val="000000"/>
                <w:sz w:val="20"/>
                <w:szCs w:val="20"/>
                <w:lang w:val="en-GB"/>
              </w:rPr>
            </w:pPr>
            <w:r>
              <w:rPr>
                <w:rFonts w:ascii="Verdana" w:hAnsi="Verdana"/>
                <w:b/>
                <w:bCs/>
                <w:color w:val="000000"/>
                <w:sz w:val="20"/>
                <w:szCs w:val="20"/>
                <w:lang w:val="en-GB"/>
              </w:rPr>
              <w:t>Written test</w:t>
            </w:r>
          </w:p>
        </w:tc>
        <w:tc>
          <w:tcPr>
            <w:tcW w:w="1972"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0,236**</w:t>
            </w:r>
          </w:p>
        </w:tc>
        <w:tc>
          <w:tcPr>
            <w:tcW w:w="1973"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1</w:t>
            </w:r>
          </w:p>
        </w:tc>
        <w:tc>
          <w:tcPr>
            <w:tcW w:w="1973" w:type="dxa"/>
            <w:tcBorders>
              <w:top w:val="single" w:sz="4" w:space="0" w:color="auto"/>
              <w:bottom w:val="single" w:sz="4" w:space="0" w:color="auto"/>
            </w:tcBorders>
            <w:shd w:val="clear" w:color="auto" w:fill="FFFFFF"/>
          </w:tcPr>
          <w:p w:rsidR="005C3F63" w:rsidRDefault="005C3F63">
            <w:pPr>
              <w:jc w:val="center"/>
              <w:rPr>
                <w:rFonts w:ascii="Verdana" w:hAnsi="Verdana"/>
                <w:color w:val="000000"/>
                <w:sz w:val="20"/>
                <w:szCs w:val="20"/>
                <w:lang w:val="en-GB"/>
              </w:rPr>
            </w:pPr>
          </w:p>
        </w:tc>
      </w:tr>
      <w:tr w:rsidR="005C3F63">
        <w:trPr>
          <w:jc w:val="center"/>
        </w:trPr>
        <w:tc>
          <w:tcPr>
            <w:tcW w:w="3195" w:type="dxa"/>
            <w:tcBorders>
              <w:top w:val="single" w:sz="4" w:space="0" w:color="auto"/>
              <w:bottom w:val="single" w:sz="4" w:space="0" w:color="auto"/>
            </w:tcBorders>
            <w:shd w:val="clear" w:color="auto" w:fill="FFFFFF"/>
          </w:tcPr>
          <w:p w:rsidR="005C3F63" w:rsidRDefault="006536E7">
            <w:pPr>
              <w:ind w:right="-89"/>
              <w:jc w:val="left"/>
              <w:rPr>
                <w:rFonts w:ascii="Verdana" w:hAnsi="Verdana"/>
                <w:b/>
                <w:bCs/>
                <w:color w:val="000000"/>
                <w:sz w:val="20"/>
                <w:szCs w:val="20"/>
                <w:lang w:val="en-GB"/>
              </w:rPr>
            </w:pPr>
            <w:r>
              <w:rPr>
                <w:rFonts w:ascii="Verdana" w:hAnsi="Verdana"/>
                <w:b/>
                <w:bCs/>
                <w:color w:val="000000"/>
                <w:sz w:val="20"/>
                <w:szCs w:val="20"/>
                <w:lang w:val="en-GB"/>
              </w:rPr>
              <w:t>Oral exam</w:t>
            </w:r>
          </w:p>
        </w:tc>
        <w:tc>
          <w:tcPr>
            <w:tcW w:w="1972"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0,202**</w:t>
            </w:r>
          </w:p>
        </w:tc>
        <w:tc>
          <w:tcPr>
            <w:tcW w:w="1973"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0,180**</w:t>
            </w:r>
          </w:p>
        </w:tc>
        <w:tc>
          <w:tcPr>
            <w:tcW w:w="1973" w:type="dxa"/>
            <w:tcBorders>
              <w:top w:val="single" w:sz="4" w:space="0" w:color="auto"/>
              <w:bottom w:val="single" w:sz="4" w:space="0" w:color="auto"/>
            </w:tcBorders>
            <w:shd w:val="clear" w:color="auto" w:fill="FFFFFF"/>
          </w:tcPr>
          <w:p w:rsidR="005C3F63" w:rsidRDefault="006536E7">
            <w:pPr>
              <w:jc w:val="center"/>
              <w:rPr>
                <w:rFonts w:ascii="Verdana" w:hAnsi="Verdana"/>
                <w:color w:val="000000"/>
                <w:sz w:val="20"/>
                <w:szCs w:val="20"/>
                <w:lang w:val="en-GB"/>
              </w:rPr>
            </w:pPr>
            <w:r>
              <w:rPr>
                <w:rFonts w:ascii="Verdana" w:hAnsi="Verdana"/>
                <w:color w:val="000000"/>
                <w:sz w:val="20"/>
                <w:szCs w:val="20"/>
                <w:lang w:val="en-GB"/>
              </w:rPr>
              <w:t>1</w:t>
            </w:r>
          </w:p>
        </w:tc>
      </w:tr>
    </w:tbl>
    <w:p w:rsidR="005C3F63" w:rsidRDefault="006536E7">
      <w:pPr>
        <w:spacing w:after="240"/>
        <w:jc w:val="center"/>
        <w:rPr>
          <w:rFonts w:ascii="Verdana" w:hAnsi="Verdana"/>
          <w:sz w:val="18"/>
          <w:szCs w:val="18"/>
          <w:lang w:val="en-GB"/>
        </w:rPr>
      </w:pPr>
      <w:r>
        <w:rPr>
          <w:rFonts w:ascii="Verdana" w:hAnsi="Verdana"/>
          <w:sz w:val="18"/>
          <w:szCs w:val="18"/>
          <w:lang w:val="en-GB"/>
        </w:rPr>
        <w:t>Source: own computations; ** means p value &lt; 0,01</w:t>
      </w:r>
    </w:p>
    <w:p w:rsidR="005C3F63" w:rsidRDefault="006536E7">
      <w:pPr>
        <w:spacing w:after="120"/>
        <w:rPr>
          <w:rFonts w:ascii="Verdana" w:hAnsi="Verdana"/>
          <w:sz w:val="20"/>
          <w:szCs w:val="20"/>
          <w:lang w:val="en-GB"/>
        </w:rPr>
      </w:pPr>
      <w:r>
        <w:rPr>
          <w:rFonts w:ascii="Verdana" w:hAnsi="Verdana"/>
          <w:sz w:val="20"/>
          <w:szCs w:val="20"/>
          <w:lang w:val="en-GB"/>
        </w:rPr>
        <w:t xml:space="preserve">In general, we can state that correlation among parts of course assessment is weak although significant (except of test and exam in WS2019). Over a long period, the lowest correlation goes for written test and oral exam. In our opinion, the reasons can be twofold. First, the written test concentrates on analytical skills of students while the oral exam accents the conceptual thinking, and therefore the performance depends on strengths of particular students. An alternative explanation is rooted in the idea that students target optimal rather than maximal performance in the course. Thus, if their performance in written test (which comes sooner) is high, they spent much less effort to achieve a high score in the oral exam (which comes later) and vice versa. </w:t>
      </w:r>
    </w:p>
    <w:p w:rsidR="005C3F63" w:rsidRDefault="006536E7">
      <w:pPr>
        <w:spacing w:after="120"/>
        <w:rPr>
          <w:rFonts w:ascii="Verdana" w:hAnsi="Verdana"/>
          <w:sz w:val="20"/>
          <w:szCs w:val="20"/>
          <w:lang w:val="en-GB"/>
        </w:rPr>
      </w:pPr>
      <w:r>
        <w:rPr>
          <w:rFonts w:ascii="Verdana" w:hAnsi="Verdana"/>
          <w:sz w:val="20"/>
          <w:szCs w:val="20"/>
          <w:lang w:val="en-GB"/>
        </w:rPr>
        <w:t xml:space="preserve">In all three pair relationships (activity and test, activity and exam, test and exam), the correlation coefficients are higher in SS2020 compared to results in WS2019 and SS2019. We can speculate that this may be due to the fact that students were more concentrated on learning process during the whole semester in SS2020. It corresponds to teachers’ observation on higher participation rate in virtual classes as described in the previous text. </w:t>
      </w:r>
    </w:p>
    <w:p w:rsidR="005C3F63" w:rsidRDefault="006536E7">
      <w:pPr>
        <w:pStyle w:val="Kapitola"/>
        <w:rPr>
          <w:lang w:val="en-GB"/>
        </w:rPr>
      </w:pPr>
      <w:r>
        <w:rPr>
          <w:lang w:val="en-GB"/>
        </w:rPr>
        <w:lastRenderedPageBreak/>
        <w:t>Conclusions</w:t>
      </w:r>
    </w:p>
    <w:p w:rsidR="005C3F63" w:rsidRDefault="006536E7">
      <w:pPr>
        <w:spacing w:after="120"/>
        <w:rPr>
          <w:rFonts w:ascii="Verdana" w:hAnsi="Verdana"/>
          <w:sz w:val="20"/>
          <w:szCs w:val="20"/>
          <w:lang w:val="en-GB"/>
        </w:rPr>
      </w:pPr>
      <w:r>
        <w:rPr>
          <w:rFonts w:ascii="Verdana" w:hAnsi="Verdana"/>
          <w:sz w:val="20"/>
          <w:szCs w:val="20"/>
          <w:lang w:val="en-GB"/>
        </w:rPr>
        <w:t xml:space="preserve">Our paper shows that the application of e-learning in the management accounting course didn’t undermine the principal learning goals and outcomes of the course although the change was unintended, rapid and unprecedent. It is also nice to realize that the technical and procedural advances mean that these issues are not limiting. </w:t>
      </w:r>
    </w:p>
    <w:p w:rsidR="005C3F63" w:rsidRDefault="006536E7">
      <w:pPr>
        <w:spacing w:after="120"/>
        <w:rPr>
          <w:rFonts w:ascii="Verdana" w:hAnsi="Verdana"/>
          <w:sz w:val="20"/>
          <w:szCs w:val="20"/>
          <w:lang w:val="en-GB"/>
        </w:rPr>
      </w:pPr>
      <w:r>
        <w:rPr>
          <w:rFonts w:ascii="Verdana" w:hAnsi="Verdana"/>
          <w:sz w:val="20"/>
          <w:szCs w:val="20"/>
          <w:lang w:val="en-GB"/>
        </w:rPr>
        <w:t xml:space="preserve">The situation brought a great opportunity for teachers not only to face new challenges but also to compare the traditional approach and the e-learning approach. Our study shows that neither teachers nor students prefer e-learning approach although they are ready to use it (for example in case of re-establishment of quarantine measures). Some type of hybrid learning (blended learning) seems to be an efficient solution. The further discussion is needed about the blended learning model. </w:t>
      </w:r>
    </w:p>
    <w:p w:rsidR="005C3F63" w:rsidRDefault="006536E7">
      <w:pPr>
        <w:pStyle w:val="Kapitola"/>
        <w:rPr>
          <w:lang w:val="en-GB"/>
        </w:rPr>
      </w:pPr>
      <w:r>
        <w:rPr>
          <w:lang w:val="en-GB"/>
        </w:rPr>
        <w:t>References</w:t>
      </w:r>
    </w:p>
    <w:p w:rsidR="005C3F63" w:rsidRDefault="006536E7">
      <w:pPr>
        <w:pStyle w:val="aff"/>
        <w:rPr>
          <w:rFonts w:ascii="Verdana" w:hAnsi="Verdana"/>
          <w:sz w:val="20"/>
          <w:szCs w:val="20"/>
          <w:lang w:val="en-GB"/>
        </w:rPr>
      </w:pPr>
      <w:r>
        <w:rPr>
          <w:rFonts w:ascii="Verdana" w:hAnsi="Verdana"/>
          <w:sz w:val="20"/>
          <w:szCs w:val="20"/>
          <w:lang w:val="en-GB"/>
        </w:rPr>
        <w:t xml:space="preserve">Kamarianos, I., Adamopoulou, A., Lambropoulos, H., &amp; Stamelos, G. (2020). Towards an understanding of university students’ response in times of pandemic crisis (COVID-19). </w:t>
      </w:r>
      <w:r>
        <w:rPr>
          <w:rFonts w:ascii="Verdana" w:hAnsi="Verdana"/>
          <w:i/>
          <w:sz w:val="20"/>
          <w:szCs w:val="20"/>
          <w:lang w:val="en-GB"/>
        </w:rPr>
        <w:t>European Journal of Education Studies</w:t>
      </w:r>
      <w:r>
        <w:rPr>
          <w:rFonts w:ascii="Verdana" w:hAnsi="Verdana"/>
          <w:sz w:val="20"/>
          <w:szCs w:val="20"/>
          <w:lang w:val="en-GB"/>
        </w:rPr>
        <w:t>, 7(7).</w:t>
      </w:r>
    </w:p>
    <w:p w:rsidR="005C3F63" w:rsidRDefault="005C3F63">
      <w:pPr>
        <w:pStyle w:val="aff"/>
        <w:rPr>
          <w:rFonts w:ascii="Verdana" w:hAnsi="Verdana"/>
          <w:sz w:val="20"/>
          <w:szCs w:val="20"/>
          <w:lang w:val="en-GB"/>
        </w:rPr>
      </w:pPr>
    </w:p>
    <w:p w:rsidR="005C3F63" w:rsidRDefault="006536E7">
      <w:pPr>
        <w:pStyle w:val="aff"/>
        <w:rPr>
          <w:rFonts w:ascii="Verdana" w:hAnsi="Verdana"/>
          <w:sz w:val="20"/>
          <w:szCs w:val="20"/>
          <w:lang w:val="en-GB"/>
        </w:rPr>
      </w:pPr>
      <w:r>
        <w:rPr>
          <w:rFonts w:ascii="Verdana" w:hAnsi="Verdana"/>
          <w:sz w:val="20"/>
          <w:szCs w:val="20"/>
          <w:lang w:val="en-GB"/>
        </w:rPr>
        <w:t xml:space="preserve">Ministry of Education (2020). </w:t>
      </w:r>
      <w:r>
        <w:rPr>
          <w:rFonts w:ascii="Verdana" w:hAnsi="Verdana"/>
          <w:i/>
          <w:sz w:val="20"/>
          <w:szCs w:val="20"/>
          <w:lang w:val="en-GB"/>
        </w:rPr>
        <w:t xml:space="preserve">Možnosti ověřování výsledků učení a kompetencí distanční formou. </w:t>
      </w:r>
      <w:r>
        <w:rPr>
          <w:rFonts w:ascii="Verdana" w:hAnsi="Verdana"/>
          <w:sz w:val="20"/>
          <w:szCs w:val="20"/>
          <w:lang w:val="en-GB"/>
        </w:rPr>
        <w:t xml:space="preserve">Retrieved from: </w:t>
      </w:r>
      <w:hyperlink r:id="rId223" w:history="1">
        <w:r>
          <w:rPr>
            <w:rStyle w:val="af9"/>
            <w:rFonts w:ascii="Verdana" w:hAnsi="Verdana"/>
            <w:sz w:val="20"/>
            <w:szCs w:val="20"/>
            <w:lang w:val="en-GB"/>
          </w:rPr>
          <w:t>https://www.msmt.cz/vzdelavani/vysoke-skolstvi/moznosti-overovani-vysledku-uceni-a-kompetenci-distancni</w:t>
        </w:r>
      </w:hyperlink>
      <w:r>
        <w:rPr>
          <w:rFonts w:ascii="Verdana" w:hAnsi="Verdana"/>
          <w:sz w:val="20"/>
          <w:szCs w:val="20"/>
          <w:lang w:val="en-GB"/>
        </w:rPr>
        <w:t>.</w:t>
      </w:r>
      <w:r>
        <w:rPr>
          <w:rFonts w:ascii="Verdana" w:hAnsi="Verdana"/>
          <w:sz w:val="20"/>
          <w:szCs w:val="20"/>
          <w:lang w:val="en-GB"/>
        </w:rPr>
        <w:tab/>
      </w:r>
    </w:p>
    <w:p w:rsidR="005C3F63" w:rsidRDefault="005C3F63">
      <w:pPr>
        <w:pStyle w:val="aff"/>
        <w:rPr>
          <w:rFonts w:ascii="Verdana" w:hAnsi="Verdana"/>
          <w:sz w:val="20"/>
          <w:szCs w:val="20"/>
          <w:lang w:val="en-GB"/>
        </w:rPr>
      </w:pPr>
    </w:p>
    <w:p w:rsidR="005C3F63" w:rsidRDefault="006536E7">
      <w:pPr>
        <w:spacing w:after="120"/>
        <w:rPr>
          <w:rFonts w:ascii="Verdana" w:hAnsi="Verdana"/>
          <w:sz w:val="20"/>
          <w:szCs w:val="20"/>
          <w:lang w:val="en-GB"/>
        </w:rPr>
      </w:pPr>
      <w:r>
        <w:rPr>
          <w:rFonts w:ascii="Verdana" w:hAnsi="Verdana"/>
          <w:sz w:val="20"/>
          <w:szCs w:val="20"/>
          <w:lang w:val="en-GB"/>
        </w:rPr>
        <w:t xml:space="preserve">Ministry of Health (2020). </w:t>
      </w:r>
      <w:r>
        <w:rPr>
          <w:rFonts w:ascii="Verdana" w:hAnsi="Verdana"/>
          <w:i/>
          <w:sz w:val="20"/>
          <w:szCs w:val="20"/>
          <w:lang w:val="en-GB"/>
        </w:rPr>
        <w:t>Mimořádné opatření - uzavření základních, středních a vysokých škol od 11. 3. 2020</w:t>
      </w:r>
      <w:r>
        <w:rPr>
          <w:rFonts w:ascii="Verdana" w:hAnsi="Verdana"/>
          <w:sz w:val="20"/>
          <w:szCs w:val="20"/>
          <w:lang w:val="en-GB"/>
        </w:rPr>
        <w:t xml:space="preserve">. Retrieved from: </w:t>
      </w:r>
      <w:hyperlink r:id="rId224" w:history="1">
        <w:r>
          <w:rPr>
            <w:rStyle w:val="af9"/>
            <w:rFonts w:ascii="Verdana" w:hAnsi="Verdana"/>
            <w:sz w:val="20"/>
            <w:szCs w:val="20"/>
            <w:lang w:val="en-GB"/>
          </w:rPr>
          <w:t>http://www.mzcr.cz/dokumenty/mimoradne-opatreni-uzavreni-zakladnichstrednich-a-vysokych-skol-od-11320_18696_4135_1.html</w:t>
        </w:r>
      </w:hyperlink>
      <w:r>
        <w:rPr>
          <w:rFonts w:ascii="Verdana" w:hAnsi="Verdana"/>
          <w:sz w:val="20"/>
          <w:szCs w:val="20"/>
          <w:lang w:val="en-GB"/>
        </w:rPr>
        <w:t>.</w:t>
      </w:r>
    </w:p>
    <w:p w:rsidR="005C3F63" w:rsidRDefault="006536E7">
      <w:pPr>
        <w:jc w:val="left"/>
        <w:rPr>
          <w:rFonts w:ascii="Verdana" w:hAnsi="Verdana"/>
          <w:sz w:val="20"/>
          <w:szCs w:val="20"/>
          <w:lang w:val="en-GB"/>
        </w:rPr>
      </w:pPr>
      <w:r>
        <w:rPr>
          <w:rFonts w:ascii="Verdana" w:hAnsi="Verdana"/>
          <w:sz w:val="20"/>
          <w:szCs w:val="20"/>
          <w:lang w:val="en-GB"/>
        </w:rPr>
        <w:br w:type="page"/>
      </w:r>
    </w:p>
    <w:p w:rsidR="005C3F63" w:rsidRDefault="006536E7">
      <w:pPr>
        <w:pStyle w:val="1"/>
      </w:pPr>
      <w:bookmarkStart w:id="1045" w:name="_Toc47951556"/>
      <w:r>
        <w:lastRenderedPageBreak/>
        <w:t>Labor and entrepreneurship in the context of religious values systems</w:t>
      </w:r>
      <w:bookmarkEnd w:id="1045"/>
    </w:p>
    <w:p w:rsidR="005C3F63" w:rsidRDefault="005C3F63">
      <w:pPr>
        <w:jc w:val="center"/>
        <w:rPr>
          <w:rStyle w:val="AutorChar"/>
          <w:rFonts w:eastAsia="Calibri"/>
          <w:szCs w:val="24"/>
        </w:rPr>
      </w:pPr>
    </w:p>
    <w:p w:rsidR="005C3F63" w:rsidRDefault="006536E7">
      <w:pPr>
        <w:pStyle w:val="Autor"/>
        <w:rPr>
          <w:rStyle w:val="AutorChar"/>
          <w:rFonts w:eastAsia="Calibri"/>
          <w:b/>
        </w:rPr>
      </w:pPr>
      <w:bookmarkStart w:id="1046" w:name="_Toc47948761"/>
      <w:bookmarkStart w:id="1047" w:name="_Toc47951492"/>
      <w:bookmarkStart w:id="1048" w:name="_Toc47451182"/>
      <w:bookmarkStart w:id="1049" w:name="_Toc47949020"/>
      <w:bookmarkStart w:id="1050" w:name="_Toc47949334"/>
      <w:bookmarkStart w:id="1051" w:name="_Toc47449341"/>
      <w:bookmarkStart w:id="1052" w:name="_Toc47948822"/>
      <w:bookmarkStart w:id="1053" w:name="_Toc47951399"/>
      <w:bookmarkStart w:id="1054" w:name="_Toc47951557"/>
      <w:r>
        <w:rPr>
          <w:rStyle w:val="AutorChar"/>
          <w:rFonts w:eastAsia="Calibri"/>
          <w:b/>
        </w:rPr>
        <w:t>Olena Zyza</w:t>
      </w:r>
      <w:r>
        <w:rPr>
          <w:rStyle w:val="AutorChar"/>
          <w:rFonts w:eastAsia="Calibri"/>
          <w:b/>
          <w:vertAlign w:val="superscript"/>
        </w:rPr>
        <w:t>1</w:t>
      </w:r>
      <w:r>
        <w:rPr>
          <w:rStyle w:val="AutorChar"/>
          <w:rFonts w:eastAsia="Calibri"/>
          <w:b/>
        </w:rPr>
        <w:t>, Inna Lazaryshyna</w:t>
      </w:r>
      <w:r>
        <w:rPr>
          <w:rStyle w:val="AutorChar"/>
          <w:rFonts w:eastAsia="Calibri"/>
          <w:b/>
          <w:vertAlign w:val="superscript"/>
        </w:rPr>
        <w:t>2</w:t>
      </w:r>
      <w:r>
        <w:rPr>
          <w:rStyle w:val="AutorChar"/>
          <w:rFonts w:eastAsia="Calibri"/>
          <w:b/>
        </w:rPr>
        <w:t>, Petro Ostroverkh</w:t>
      </w:r>
      <w:r>
        <w:rPr>
          <w:rStyle w:val="AutorChar"/>
          <w:rFonts w:eastAsia="Calibri"/>
          <w:b/>
          <w:vertAlign w:val="superscript"/>
        </w:rPr>
        <w:t>3</w:t>
      </w:r>
      <w:bookmarkEnd w:id="1046"/>
      <w:bookmarkEnd w:id="1047"/>
      <w:bookmarkEnd w:id="1048"/>
      <w:bookmarkEnd w:id="1049"/>
      <w:bookmarkEnd w:id="1050"/>
      <w:bookmarkEnd w:id="1051"/>
      <w:bookmarkEnd w:id="1052"/>
      <w:bookmarkEnd w:id="1053"/>
      <w:bookmarkEnd w:id="1054"/>
    </w:p>
    <w:p w:rsidR="005C3F63" w:rsidRDefault="005C3F63">
      <w:pPr>
        <w:ind w:firstLine="425"/>
        <w:jc w:val="center"/>
        <w:rPr>
          <w:rFonts w:ascii="Verdana" w:hAnsi="Verdana"/>
          <w:b/>
          <w:sz w:val="20"/>
          <w:szCs w:val="20"/>
        </w:rPr>
      </w:pPr>
    </w:p>
    <w:p w:rsidR="005C3F63" w:rsidRDefault="006536E7">
      <w:pPr>
        <w:ind w:firstLine="425"/>
        <w:jc w:val="center"/>
        <w:rPr>
          <w:rFonts w:ascii="Verdana" w:hAnsi="Verdana"/>
          <w:sz w:val="20"/>
          <w:szCs w:val="20"/>
        </w:rPr>
      </w:pPr>
      <w:r>
        <w:rPr>
          <w:rFonts w:ascii="Verdana" w:hAnsi="Verdana"/>
          <w:sz w:val="20"/>
          <w:szCs w:val="20"/>
          <w:vertAlign w:val="superscript"/>
        </w:rPr>
        <w:t>1</w:t>
      </w:r>
      <w:r>
        <w:rPr>
          <w:rFonts w:ascii="Verdana" w:hAnsi="Verdana"/>
          <w:sz w:val="20"/>
          <w:szCs w:val="20"/>
        </w:rPr>
        <w:t>Ivan Franko National University of Lviv</w:t>
      </w:r>
    </w:p>
    <w:p w:rsidR="005C3F63" w:rsidRDefault="006536E7">
      <w:pPr>
        <w:ind w:firstLine="425"/>
        <w:jc w:val="center"/>
        <w:rPr>
          <w:rFonts w:ascii="Verdana" w:hAnsi="Verdana"/>
          <w:sz w:val="20"/>
          <w:szCs w:val="20"/>
        </w:rPr>
      </w:pPr>
      <w:r>
        <w:rPr>
          <w:rFonts w:ascii="Verdana" w:hAnsi="Verdana" w:cs="Arial"/>
          <w:bCs/>
          <w:sz w:val="20"/>
          <w:szCs w:val="20"/>
        </w:rPr>
        <w:t>Faculty of Economics</w:t>
      </w:r>
      <w:r>
        <w:rPr>
          <w:rFonts w:ascii="Verdana" w:hAnsi="Verdana"/>
          <w:sz w:val="20"/>
          <w:szCs w:val="20"/>
        </w:rPr>
        <w:t>, Department of Economic Theory</w:t>
      </w:r>
    </w:p>
    <w:p w:rsidR="005C3F63" w:rsidRDefault="006536E7">
      <w:pPr>
        <w:ind w:firstLine="425"/>
        <w:jc w:val="center"/>
        <w:rPr>
          <w:rFonts w:ascii="Verdana" w:hAnsi="Verdana"/>
          <w:sz w:val="20"/>
          <w:szCs w:val="20"/>
        </w:rPr>
      </w:pPr>
      <w:r>
        <w:rPr>
          <w:rFonts w:ascii="Verdana" w:hAnsi="Verdana"/>
          <w:sz w:val="20"/>
          <w:szCs w:val="20"/>
        </w:rPr>
        <w:t xml:space="preserve">Svobody Ave . 18, Lviv, 79007, Ukraine </w:t>
      </w:r>
    </w:p>
    <w:p w:rsidR="005C3F63" w:rsidRDefault="006536E7">
      <w:pPr>
        <w:ind w:firstLine="425"/>
        <w:jc w:val="center"/>
        <w:rPr>
          <w:rFonts w:ascii="Verdana" w:hAnsi="Verdana"/>
          <w:sz w:val="20"/>
          <w:szCs w:val="20"/>
        </w:rPr>
      </w:pPr>
      <w:r>
        <w:rPr>
          <w:rFonts w:ascii="Verdana" w:hAnsi="Verdana"/>
          <w:sz w:val="20"/>
          <w:szCs w:val="20"/>
        </w:rPr>
        <w:t xml:space="preserve">E-mail: 77zuzuka@ukr.net, </w:t>
      </w:r>
    </w:p>
    <w:p w:rsidR="005C3F63" w:rsidRDefault="006536E7">
      <w:pPr>
        <w:ind w:firstLine="425"/>
        <w:jc w:val="center"/>
        <w:rPr>
          <w:rFonts w:ascii="Verdana" w:hAnsi="Verdana"/>
          <w:bCs/>
          <w:sz w:val="20"/>
          <w:szCs w:val="20"/>
        </w:rPr>
      </w:pPr>
      <w:r>
        <w:rPr>
          <w:rFonts w:ascii="Verdana" w:hAnsi="Verdana"/>
          <w:sz w:val="20"/>
          <w:szCs w:val="20"/>
          <w:vertAlign w:val="superscript"/>
        </w:rPr>
        <w:t>2</w:t>
      </w:r>
      <w:r>
        <w:rPr>
          <w:rFonts w:ascii="Verdana" w:hAnsi="Verdana"/>
          <w:bCs/>
          <w:sz w:val="20"/>
          <w:szCs w:val="20"/>
        </w:rPr>
        <w:t>National University of Life and Environmental Sciences of Ukraine</w:t>
      </w:r>
    </w:p>
    <w:p w:rsidR="005C3F63" w:rsidRDefault="006536E7">
      <w:pPr>
        <w:ind w:firstLine="425"/>
        <w:jc w:val="center"/>
        <w:rPr>
          <w:rFonts w:ascii="Verdana" w:hAnsi="Verdana"/>
          <w:iCs/>
          <w:sz w:val="20"/>
          <w:szCs w:val="20"/>
        </w:rPr>
      </w:pPr>
      <w:r>
        <w:rPr>
          <w:rFonts w:ascii="Verdana" w:hAnsi="Verdana" w:cs="Arial"/>
          <w:bCs/>
          <w:sz w:val="20"/>
          <w:szCs w:val="20"/>
        </w:rPr>
        <w:t>Faculty of Economics</w:t>
      </w:r>
      <w:r>
        <w:rPr>
          <w:rStyle w:val="field-content"/>
          <w:rFonts w:cs="Arial"/>
          <w:bCs/>
          <w:sz w:val="20"/>
          <w:szCs w:val="20"/>
        </w:rPr>
        <w:t xml:space="preserve">, </w:t>
      </w:r>
      <w:r>
        <w:rPr>
          <w:rFonts w:ascii="Verdana" w:hAnsi="Verdana"/>
          <w:iCs/>
          <w:sz w:val="20"/>
          <w:szCs w:val="20"/>
        </w:rPr>
        <w:t>Department of Statistics and Economic Analysis</w:t>
      </w:r>
    </w:p>
    <w:p w:rsidR="005C3F63" w:rsidRDefault="006536E7">
      <w:pPr>
        <w:ind w:firstLine="425"/>
        <w:jc w:val="center"/>
        <w:rPr>
          <w:rFonts w:ascii="Verdana" w:hAnsi="Verdana"/>
          <w:sz w:val="20"/>
          <w:szCs w:val="20"/>
        </w:rPr>
      </w:pPr>
      <w:r>
        <w:rPr>
          <w:rFonts w:ascii="Verdana" w:hAnsi="Verdana"/>
          <w:bCs/>
          <w:sz w:val="20"/>
          <w:szCs w:val="20"/>
        </w:rPr>
        <w:t>Heroyv Oborony Str. 11, 03041, Kyiv, Ukraine</w:t>
      </w:r>
    </w:p>
    <w:p w:rsidR="005C3F63" w:rsidRDefault="006536E7">
      <w:pPr>
        <w:ind w:firstLine="425"/>
        <w:jc w:val="center"/>
        <w:rPr>
          <w:rFonts w:ascii="Verdana" w:hAnsi="Verdana"/>
          <w:sz w:val="20"/>
          <w:szCs w:val="20"/>
        </w:rPr>
      </w:pPr>
      <w:r>
        <w:rPr>
          <w:rFonts w:ascii="Verdana" w:hAnsi="Verdana"/>
          <w:sz w:val="20"/>
          <w:szCs w:val="20"/>
        </w:rPr>
        <w:t xml:space="preserve">E-mail: statistics_chair@nubip.edu.ua </w:t>
      </w:r>
    </w:p>
    <w:p w:rsidR="005C3F63" w:rsidRDefault="006536E7">
      <w:pPr>
        <w:ind w:firstLine="425"/>
        <w:jc w:val="center"/>
        <w:rPr>
          <w:rFonts w:ascii="Verdana" w:hAnsi="Verdana"/>
          <w:sz w:val="20"/>
          <w:szCs w:val="20"/>
        </w:rPr>
      </w:pPr>
      <w:r>
        <w:rPr>
          <w:rFonts w:ascii="Verdana" w:hAnsi="Verdana"/>
          <w:sz w:val="20"/>
          <w:szCs w:val="20"/>
          <w:vertAlign w:val="superscript"/>
        </w:rPr>
        <w:t>3</w:t>
      </w:r>
      <w:r>
        <w:rPr>
          <w:rFonts w:ascii="Verdana" w:hAnsi="Verdana"/>
          <w:sz w:val="20"/>
          <w:szCs w:val="20"/>
        </w:rPr>
        <w:t>Ivan Franko National University of Lviv</w:t>
      </w:r>
    </w:p>
    <w:p w:rsidR="005C3F63" w:rsidRDefault="006536E7">
      <w:pPr>
        <w:ind w:firstLine="425"/>
        <w:jc w:val="center"/>
        <w:rPr>
          <w:rFonts w:ascii="Verdana" w:hAnsi="Verdana"/>
          <w:sz w:val="20"/>
          <w:szCs w:val="20"/>
        </w:rPr>
      </w:pPr>
      <w:r>
        <w:rPr>
          <w:rFonts w:ascii="Verdana" w:hAnsi="Verdana" w:cs="Arial"/>
          <w:bCs/>
          <w:sz w:val="20"/>
          <w:szCs w:val="20"/>
        </w:rPr>
        <w:t>Faculty of Economics</w:t>
      </w:r>
      <w:r>
        <w:rPr>
          <w:rFonts w:ascii="Verdana" w:hAnsi="Verdana"/>
          <w:sz w:val="20"/>
          <w:szCs w:val="20"/>
        </w:rPr>
        <w:t>, Department of Economic Theory</w:t>
      </w:r>
    </w:p>
    <w:p w:rsidR="005C3F63" w:rsidRDefault="006536E7">
      <w:pPr>
        <w:ind w:firstLine="425"/>
        <w:jc w:val="center"/>
        <w:rPr>
          <w:rFonts w:ascii="Verdana" w:hAnsi="Verdana"/>
          <w:sz w:val="20"/>
          <w:szCs w:val="20"/>
        </w:rPr>
      </w:pPr>
      <w:r>
        <w:rPr>
          <w:rFonts w:ascii="Verdana" w:hAnsi="Verdana"/>
          <w:sz w:val="20"/>
          <w:szCs w:val="20"/>
        </w:rPr>
        <w:t>Svobody Ave . 18, Lviv, 79007, Ukraine</w:t>
      </w:r>
    </w:p>
    <w:p w:rsidR="005C3F63" w:rsidRDefault="006536E7">
      <w:pPr>
        <w:ind w:firstLine="425"/>
        <w:jc w:val="center"/>
        <w:rPr>
          <w:rFonts w:ascii="Verdana" w:hAnsi="Verdana"/>
          <w:sz w:val="20"/>
          <w:szCs w:val="20"/>
        </w:rPr>
      </w:pPr>
      <w:r>
        <w:rPr>
          <w:rFonts w:ascii="Verdana" w:hAnsi="Verdana"/>
          <w:sz w:val="20"/>
          <w:szCs w:val="20"/>
        </w:rPr>
        <w:t>E-mail:</w:t>
      </w:r>
      <w:r>
        <w:t xml:space="preserve"> </w:t>
      </w:r>
      <w:r>
        <w:rPr>
          <w:rFonts w:ascii="Verdana" w:hAnsi="Verdana" w:cs="Arial"/>
          <w:sz w:val="20"/>
          <w:szCs w:val="20"/>
          <w:shd w:val="clear" w:color="auto" w:fill="FFFFFF"/>
        </w:rPr>
        <w:t>postroverkh@gmail.com</w:t>
      </w:r>
      <w:r>
        <w:rPr>
          <w:rFonts w:ascii="Verdana" w:hAnsi="Verdana"/>
          <w:sz w:val="20"/>
          <w:szCs w:val="20"/>
        </w:rPr>
        <w:t xml:space="preserve"> </w:t>
      </w:r>
    </w:p>
    <w:p w:rsidR="005C3F63" w:rsidRDefault="005C3F63">
      <w:pPr>
        <w:ind w:firstLine="425"/>
        <w:rPr>
          <w:rFonts w:ascii="Verdana" w:hAnsi="Verdana"/>
          <w:b/>
          <w:i/>
          <w:sz w:val="20"/>
          <w:szCs w:val="20"/>
        </w:rPr>
      </w:pPr>
    </w:p>
    <w:p w:rsidR="005C3F63" w:rsidRDefault="006536E7">
      <w:pPr>
        <w:ind w:firstLine="425"/>
        <w:rPr>
          <w:rFonts w:ascii="Verdana" w:hAnsi="Verdana"/>
          <w:sz w:val="20"/>
          <w:szCs w:val="20"/>
        </w:rPr>
      </w:pPr>
      <w:r>
        <w:rPr>
          <w:rFonts w:ascii="Verdana" w:hAnsi="Verdana"/>
          <w:b/>
          <w:i/>
          <w:sz w:val="20"/>
          <w:szCs w:val="20"/>
        </w:rPr>
        <w:t xml:space="preserve">Abstract: </w:t>
      </w:r>
      <w:r>
        <w:rPr>
          <w:rFonts w:ascii="Verdana" w:hAnsi="Verdana"/>
          <w:sz w:val="20"/>
          <w:szCs w:val="20"/>
        </w:rPr>
        <w:t xml:space="preserve">The system of religious values is a guideline for believers in building their life priorities, including economic ones. It varies according to the religious belief. Labour and entrepreneurship as a manifestation of certain personal traits of an individual and his economic behavior are considered through the prism of the system of values of Christianity, Buddhism, and Islam. The peculiarities in the systems of religious values concerning individual attitudes to work and entrepreneurship are revealed. Some statistical confirmation of differences existed between important social and economic indicators in countries adhered to diverse religious beliefs was found out. The difference between Christian, Islamic, and Buddhist countries is visualized. </w:t>
      </w:r>
    </w:p>
    <w:p w:rsidR="005C3F63" w:rsidRDefault="005C3F63">
      <w:pPr>
        <w:ind w:firstLine="425"/>
        <w:rPr>
          <w:rFonts w:ascii="Verdana" w:hAnsi="Verdana"/>
          <w:i/>
          <w:sz w:val="20"/>
          <w:szCs w:val="20"/>
        </w:rPr>
      </w:pPr>
    </w:p>
    <w:p w:rsidR="005C3F63" w:rsidRDefault="006536E7">
      <w:pPr>
        <w:ind w:firstLine="425"/>
        <w:rPr>
          <w:rFonts w:ascii="Verdana" w:hAnsi="Verdana"/>
          <w:i/>
        </w:rPr>
      </w:pPr>
      <w:r>
        <w:rPr>
          <w:rFonts w:ascii="Verdana" w:hAnsi="Verdana"/>
          <w:b/>
          <w:i/>
          <w:sz w:val="20"/>
          <w:szCs w:val="20"/>
        </w:rPr>
        <w:t xml:space="preserve">Keywords: </w:t>
      </w:r>
      <w:r>
        <w:rPr>
          <w:rFonts w:ascii="Verdana" w:hAnsi="Verdana"/>
          <w:i/>
          <w:sz w:val="20"/>
          <w:szCs w:val="20"/>
        </w:rPr>
        <w:t xml:space="preserve">religion, values, labor, entrepreneurship. </w:t>
      </w:r>
    </w:p>
    <w:p w:rsidR="005C3F63" w:rsidRDefault="005C3F63">
      <w:pPr>
        <w:pStyle w:val="04-Anotacijostekstas"/>
        <w:spacing w:before="0"/>
        <w:ind w:left="0" w:right="0"/>
        <w:jc w:val="left"/>
        <w:rPr>
          <w:rFonts w:ascii="Verdana" w:hAnsi="Verdana"/>
          <w:i/>
          <w:lang w:val="sk-SK"/>
        </w:rPr>
      </w:pPr>
    </w:p>
    <w:p w:rsidR="005C3F63" w:rsidRDefault="006536E7">
      <w:pPr>
        <w:pStyle w:val="04-Anotacijostekstas"/>
        <w:spacing w:before="0"/>
        <w:ind w:left="0" w:right="0"/>
        <w:jc w:val="left"/>
        <w:rPr>
          <w:rFonts w:ascii="Verdana" w:hAnsi="Verdana"/>
          <w:i/>
        </w:rPr>
      </w:pPr>
      <w:r>
        <w:rPr>
          <w:rFonts w:ascii="Verdana" w:hAnsi="Verdana"/>
          <w:i/>
          <w:lang w:val="sk-SK"/>
        </w:rPr>
        <w:t xml:space="preserve">JEL codes: </w:t>
      </w:r>
      <w:r>
        <w:rPr>
          <w:rFonts w:ascii="Verdana" w:hAnsi="Verdana"/>
          <w:i/>
        </w:rPr>
        <w:t>Z12, J24, L26</w:t>
      </w:r>
    </w:p>
    <w:p w:rsidR="005C3F63" w:rsidRDefault="005C3F63">
      <w:pPr>
        <w:pStyle w:val="04-Anotacijostekstas"/>
        <w:spacing w:before="0"/>
        <w:ind w:left="0" w:right="0" w:firstLine="426"/>
        <w:jc w:val="left"/>
        <w:rPr>
          <w:rFonts w:ascii="Verdana" w:hAnsi="Verdana"/>
          <w:i/>
        </w:rPr>
      </w:pPr>
    </w:p>
    <w:p w:rsidR="005C3F63" w:rsidRDefault="006536E7">
      <w:pPr>
        <w:ind w:firstLine="426"/>
        <w:rPr>
          <w:rFonts w:ascii="Verdana" w:hAnsi="Verdana"/>
          <w:b/>
          <w:sz w:val="20"/>
          <w:szCs w:val="20"/>
        </w:rPr>
      </w:pPr>
      <w:r>
        <w:rPr>
          <w:rStyle w:val="KapitolaChar"/>
          <w:rFonts w:eastAsia="Calibri"/>
        </w:rPr>
        <w:t xml:space="preserve">1. Introduction </w:t>
      </w:r>
      <w:r>
        <w:rPr>
          <w:rFonts w:ascii="Verdana" w:hAnsi="Verdana"/>
          <w:b/>
          <w:sz w:val="20"/>
          <w:szCs w:val="20"/>
        </w:rPr>
        <w:t xml:space="preserve"> </w:t>
      </w:r>
    </w:p>
    <w:p w:rsidR="005C3F63" w:rsidRDefault="006536E7">
      <w:pPr>
        <w:ind w:firstLine="426"/>
        <w:rPr>
          <w:rFonts w:ascii="Verdana" w:hAnsi="Verdana"/>
          <w:sz w:val="20"/>
          <w:szCs w:val="20"/>
        </w:rPr>
      </w:pPr>
      <w:r>
        <w:rPr>
          <w:rFonts w:ascii="Verdana" w:hAnsi="Verdana"/>
          <w:sz w:val="20"/>
          <w:szCs w:val="20"/>
        </w:rPr>
        <w:t>Religion is an integral part of society's existence and development. Religion is most often understood as a set of spiritual and moral values of an individual that influence his own behavior. It is also linked to the cultural values of a particular individual belonging to a certain nation or region. It is now recognized that an individual's religious views influence various aspects of his life, especially economic ones.</w:t>
      </w:r>
    </w:p>
    <w:p w:rsidR="005C3F63" w:rsidRDefault="006536E7">
      <w:pPr>
        <w:ind w:firstLine="426"/>
        <w:rPr>
          <w:rFonts w:ascii="Verdana" w:hAnsi="Verdana"/>
          <w:sz w:val="20"/>
          <w:szCs w:val="20"/>
        </w:rPr>
      </w:pPr>
      <w:r>
        <w:rPr>
          <w:rFonts w:ascii="Verdana" w:hAnsi="Verdana"/>
          <w:sz w:val="20"/>
          <w:szCs w:val="20"/>
        </w:rPr>
        <w:t xml:space="preserve">The religious values system is a reference point in building the believer's life priorities and forming his consciousness as a person. </w:t>
      </w:r>
      <w:r>
        <w:rPr>
          <w:rFonts w:ascii="Verdana" w:hAnsi="Verdana" w:cs="Segoe UI"/>
          <w:sz w:val="20"/>
          <w:szCs w:val="20"/>
          <w:shd w:val="clear" w:color="auto" w:fill="FFFFFF"/>
        </w:rPr>
        <w:t xml:space="preserve">Because religion as mentioned by </w:t>
      </w:r>
      <w:r>
        <w:rPr>
          <w:rStyle w:val="afa"/>
          <w:rFonts w:ascii="Verdana" w:hAnsi="Verdana" w:cs="Segoe UI"/>
          <w:b w:val="0"/>
          <w:sz w:val="20"/>
          <w:szCs w:val="20"/>
          <w:shd w:val="clear" w:color="auto" w:fill="FFFFFF"/>
        </w:rPr>
        <w:t>L.</w:t>
      </w:r>
      <w:r>
        <w:rPr>
          <w:rStyle w:val="afa"/>
          <w:rFonts w:ascii="Verdana" w:hAnsi="Verdana" w:cs="Segoe UI"/>
          <w:sz w:val="20"/>
          <w:szCs w:val="20"/>
          <w:shd w:val="clear" w:color="auto" w:fill="FFFFFF"/>
        </w:rPr>
        <w:t xml:space="preserve"> </w:t>
      </w:r>
      <w:r>
        <w:rPr>
          <w:rStyle w:val="afa"/>
          <w:rFonts w:ascii="Verdana" w:hAnsi="Verdana" w:cs="Segoe UI"/>
          <w:b w:val="0"/>
          <w:sz w:val="20"/>
          <w:szCs w:val="20"/>
          <w:shd w:val="clear" w:color="auto" w:fill="FFFFFF"/>
        </w:rPr>
        <w:t>Chyzhevska et al. (2020)</w:t>
      </w:r>
      <w:r>
        <w:rPr>
          <w:rStyle w:val="afa"/>
          <w:rFonts w:ascii="Verdana" w:hAnsi="Verdana" w:cs="Segoe UI"/>
          <w:sz w:val="20"/>
          <w:szCs w:val="20"/>
          <w:shd w:val="clear" w:color="auto" w:fill="FFFFFF"/>
        </w:rPr>
        <w:t xml:space="preserve"> </w:t>
      </w:r>
      <w:r>
        <w:rPr>
          <w:rFonts w:ascii="Verdana" w:hAnsi="Verdana" w:cs="Segoe UI"/>
          <w:sz w:val="20"/>
          <w:szCs w:val="20"/>
          <w:shd w:val="clear" w:color="auto" w:fill="FFFFFF"/>
        </w:rPr>
        <w:t>is “vital in building civil society to meet its spiritual needs”.</w:t>
      </w:r>
      <w:r>
        <w:rPr>
          <w:rFonts w:ascii="Verdana" w:hAnsi="Verdana"/>
          <w:sz w:val="20"/>
          <w:szCs w:val="20"/>
        </w:rPr>
        <w:t xml:space="preserve"> In our opinion, there are as many systems of religious values as there are theological directions. Of course, each religion in its basis is a union of people with a special spiritual and practical connection, arises in a common belief in the highest cultural, moral and spiritual values, which are the meaning of life for them. And also, they believe in supernatural forces influencing the destiny of people, the Universe. There are more than 40 religions in the world, and therefore, religious values systems.</w:t>
      </w:r>
    </w:p>
    <w:p w:rsidR="005C3F63" w:rsidRDefault="006536E7">
      <w:pPr>
        <w:ind w:firstLine="426"/>
        <w:rPr>
          <w:rFonts w:ascii="Verdana" w:hAnsi="Verdana"/>
          <w:sz w:val="20"/>
          <w:szCs w:val="20"/>
        </w:rPr>
      </w:pPr>
      <w:r>
        <w:rPr>
          <w:rFonts w:ascii="Verdana" w:hAnsi="Verdana"/>
          <w:sz w:val="20"/>
          <w:szCs w:val="20"/>
        </w:rPr>
        <w:t>This research will focus on the economic aspects of human life, such as labor and entrepreneurship. Namely, they have been viewed through the prism of the value systems of Christianity, Buddhism, and Islam as the most common religions in the world for many years.</w:t>
      </w:r>
    </w:p>
    <w:p w:rsidR="005C3F63" w:rsidRDefault="006536E7">
      <w:pPr>
        <w:ind w:firstLine="426"/>
        <w:rPr>
          <w:rFonts w:ascii="Verdana" w:hAnsi="Verdana"/>
          <w:sz w:val="20"/>
          <w:szCs w:val="20"/>
        </w:rPr>
      </w:pPr>
      <w:r>
        <w:rPr>
          <w:rFonts w:ascii="Verdana" w:hAnsi="Verdana"/>
          <w:sz w:val="20"/>
          <w:szCs w:val="20"/>
        </w:rPr>
        <w:t xml:space="preserve">Labour and entrepreneurship will be considered separately from each other. Individually, these two notions or phenomena are the manifestation of certain personal traits of an individual, his desires and motivations. As we know, not all people can be </w:t>
      </w:r>
      <w:r>
        <w:rPr>
          <w:rFonts w:ascii="Verdana" w:hAnsi="Verdana"/>
          <w:sz w:val="20"/>
          <w:szCs w:val="20"/>
        </w:rPr>
        <w:lastRenderedPageBreak/>
        <w:t>entrepreneurs, but everyone can work. Thus, two directions will be considered in the context of the chosen research:</w:t>
      </w:r>
    </w:p>
    <w:p w:rsidR="005C3F63" w:rsidRDefault="006536E7">
      <w:pPr>
        <w:pStyle w:val="afd"/>
        <w:numPr>
          <w:ilvl w:val="0"/>
          <w:numId w:val="26"/>
        </w:numPr>
        <w:rPr>
          <w:rFonts w:ascii="Verdana" w:hAnsi="Verdana"/>
          <w:sz w:val="20"/>
          <w:szCs w:val="20"/>
        </w:rPr>
      </w:pPr>
      <w:r>
        <w:rPr>
          <w:rFonts w:ascii="Verdana" w:hAnsi="Verdana"/>
          <w:sz w:val="20"/>
          <w:szCs w:val="20"/>
        </w:rPr>
        <w:t>a religious values system of the individual's attitude to labor;</w:t>
      </w:r>
    </w:p>
    <w:p w:rsidR="005C3F63" w:rsidRDefault="006536E7">
      <w:pPr>
        <w:pStyle w:val="afd"/>
        <w:numPr>
          <w:ilvl w:val="0"/>
          <w:numId w:val="26"/>
        </w:numPr>
        <w:rPr>
          <w:rFonts w:ascii="Verdana" w:hAnsi="Verdana"/>
          <w:sz w:val="20"/>
          <w:szCs w:val="20"/>
        </w:rPr>
      </w:pPr>
      <w:r>
        <w:rPr>
          <w:rFonts w:ascii="Verdana" w:hAnsi="Verdana"/>
          <w:sz w:val="20"/>
          <w:szCs w:val="20"/>
        </w:rPr>
        <w:t>a religious values system of the individual's attitude towards entrepreneurship.</w:t>
      </w:r>
    </w:p>
    <w:p w:rsidR="005C3F63" w:rsidRDefault="006536E7">
      <w:pPr>
        <w:ind w:firstLine="426"/>
        <w:rPr>
          <w:rFonts w:ascii="Verdana" w:hAnsi="Verdana"/>
          <w:color w:val="000000"/>
          <w:sz w:val="20"/>
          <w:szCs w:val="20"/>
        </w:rPr>
      </w:pPr>
      <w:r>
        <w:rPr>
          <w:rFonts w:ascii="Verdana" w:hAnsi="Verdana"/>
          <w:sz w:val="20"/>
          <w:szCs w:val="20"/>
        </w:rPr>
        <w:t xml:space="preserve">Therefore, the main ability of an individual is the ability to work consciously. This consciousness contains many things. As early as in the primitive system, a human being understood that he could get food and other necessary livelihoods only by making certain efforts, labor. Also, later, labor began to be recognized as a means of self-realization. And here, we should remember the introverted and extraverted labor by L. von Mizes (2005). He identified three classes of labor as introverted, namely: 1) </w:t>
      </w:r>
      <w:r>
        <w:rPr>
          <w:rFonts w:ascii="Verdana" w:hAnsi="Verdana"/>
          <w:color w:val="000000"/>
          <w:sz w:val="20"/>
          <w:szCs w:val="20"/>
        </w:rPr>
        <w:t>Labor for labor; 2) Labour as a service to God; 3) Labour as a means of avoiding "greater evil". And only one, the 4th grade, was singled out as extravert: 4) Labour for income.</w:t>
      </w:r>
    </w:p>
    <w:p w:rsidR="005C3F63" w:rsidRDefault="006536E7">
      <w:pPr>
        <w:pStyle w:val="afd"/>
        <w:ind w:left="0" w:firstLine="426"/>
        <w:rPr>
          <w:rFonts w:ascii="Verdana" w:hAnsi="Verdana"/>
          <w:color w:val="000000"/>
          <w:sz w:val="20"/>
          <w:szCs w:val="20"/>
        </w:rPr>
      </w:pPr>
      <w:r>
        <w:rPr>
          <w:rFonts w:ascii="Verdana" w:hAnsi="Verdana"/>
          <w:color w:val="000000"/>
          <w:sz w:val="20"/>
          <w:szCs w:val="20"/>
        </w:rPr>
        <w:t xml:space="preserve">As Mizes (2005) noted, the first three classes describe labor as "hard work not to achieve a goal at the end of a journey, but for the sake of the journey itself." </w:t>
      </w:r>
    </w:p>
    <w:p w:rsidR="005C3F63" w:rsidRDefault="006536E7">
      <w:pPr>
        <w:pStyle w:val="afd"/>
        <w:ind w:left="0" w:firstLine="426"/>
        <w:rPr>
          <w:rFonts w:ascii="Verdana" w:hAnsi="Verdana"/>
          <w:sz w:val="20"/>
          <w:szCs w:val="20"/>
        </w:rPr>
      </w:pPr>
      <w:r>
        <w:rPr>
          <w:rFonts w:ascii="Verdana" w:hAnsi="Verdana"/>
          <w:sz w:val="20"/>
          <w:szCs w:val="20"/>
        </w:rPr>
        <w:t>The difference between motivation to labor and entrepreneurship lies in the level of initiative and responsibility. After all, an employee is responsible for the results of his work. He performs what he was offered within his competence. And the entrepreneur is responsible for the entire enterprise, for the results of the employees' work, for the consequences of his initiative and risk.</w:t>
      </w:r>
    </w:p>
    <w:p w:rsidR="005C3F63" w:rsidRDefault="006536E7">
      <w:pPr>
        <w:pStyle w:val="afd"/>
        <w:ind w:left="0" w:firstLine="426"/>
        <w:rPr>
          <w:rFonts w:ascii="Verdana" w:hAnsi="Verdana"/>
          <w:sz w:val="20"/>
          <w:szCs w:val="20"/>
        </w:rPr>
      </w:pPr>
      <w:r>
        <w:rPr>
          <w:rFonts w:ascii="Verdana" w:hAnsi="Verdana"/>
          <w:sz w:val="20"/>
          <w:szCs w:val="20"/>
        </w:rPr>
        <w:t>Entrepreneurship in modern society is considered an activity that is respected. As is known, entrepreneurship is an expression of economic interests, and its primary purpose is to make a profit. But on the other hand, entrepreneurship is also an opportunity for a person to express himself, his abilities, his creativity.</w:t>
      </w:r>
    </w:p>
    <w:p w:rsidR="005C3F63" w:rsidRDefault="006536E7">
      <w:pPr>
        <w:pStyle w:val="afd"/>
        <w:ind w:left="0" w:firstLine="426"/>
        <w:rPr>
          <w:rFonts w:ascii="Verdana" w:hAnsi="Verdana"/>
          <w:sz w:val="20"/>
          <w:szCs w:val="20"/>
        </w:rPr>
      </w:pPr>
      <w:r>
        <w:rPr>
          <w:rFonts w:ascii="Verdana" w:hAnsi="Verdana"/>
          <w:sz w:val="20"/>
          <w:szCs w:val="20"/>
        </w:rPr>
        <w:t>The entrepreneur is an autonomous, independent person. At the same time, to achieve his goal, the entrepreneur is guided by certain ethical norms and values.</w:t>
      </w:r>
    </w:p>
    <w:p w:rsidR="005C3F63" w:rsidRDefault="006536E7">
      <w:pPr>
        <w:pStyle w:val="afd"/>
        <w:ind w:left="0" w:firstLine="426"/>
        <w:rPr>
          <w:rFonts w:ascii="Verdana" w:hAnsi="Verdana"/>
          <w:sz w:val="20"/>
          <w:szCs w:val="20"/>
        </w:rPr>
      </w:pPr>
      <w:r>
        <w:rPr>
          <w:rFonts w:ascii="Verdana" w:hAnsi="Verdana"/>
          <w:sz w:val="20"/>
          <w:szCs w:val="20"/>
        </w:rPr>
        <w:t>As Ahmad Fahim Didar (2019) notes, entrepreneurship (particularly successful) is based on a so-called triangle of values. It consists of personal (honesty, passion etc), professional (healthy competition, self-determined work environments etc) and social values (creating products or services that benefit society etc).</w:t>
      </w:r>
    </w:p>
    <w:p w:rsidR="005C3F63" w:rsidRDefault="006536E7">
      <w:pPr>
        <w:ind w:firstLine="426"/>
        <w:rPr>
          <w:rFonts w:ascii="Verdana" w:hAnsi="Verdana"/>
          <w:sz w:val="20"/>
          <w:szCs w:val="20"/>
        </w:rPr>
      </w:pPr>
      <w:r>
        <w:rPr>
          <w:rFonts w:ascii="Verdana" w:hAnsi="Verdana"/>
          <w:sz w:val="20"/>
          <w:szCs w:val="20"/>
          <w:lang w:val="uk-UA"/>
        </w:rPr>
        <w:t>Th</w:t>
      </w:r>
      <w:r>
        <w:rPr>
          <w:rFonts w:ascii="Verdana" w:hAnsi="Verdana"/>
          <w:sz w:val="20"/>
          <w:szCs w:val="20"/>
        </w:rPr>
        <w:t xml:space="preserve">is </w:t>
      </w:r>
      <w:r>
        <w:rPr>
          <w:rFonts w:ascii="Verdana" w:hAnsi="Verdana"/>
          <w:sz w:val="20"/>
          <w:szCs w:val="20"/>
          <w:lang w:val="uk-UA"/>
        </w:rPr>
        <w:t xml:space="preserve">triangle of entrepreneurship values </w:t>
      </w:r>
      <w:r>
        <w:rPr>
          <w:rFonts w:ascii="Verdana" w:hAnsi="Verdana"/>
          <w:sz w:val="20"/>
          <w:szCs w:val="20"/>
        </w:rPr>
        <w:t xml:space="preserve">so as </w:t>
      </w:r>
      <w:r>
        <w:rPr>
          <w:rFonts w:ascii="Verdana" w:hAnsi="Verdana"/>
          <w:color w:val="000000"/>
          <w:sz w:val="20"/>
          <w:szCs w:val="20"/>
        </w:rPr>
        <w:t>Mizes's statements on labor are</w:t>
      </w:r>
      <w:r>
        <w:rPr>
          <w:rFonts w:ascii="Verdana" w:hAnsi="Verdana"/>
          <w:sz w:val="20"/>
          <w:szCs w:val="20"/>
          <w:lang w:val="uk-UA"/>
        </w:rPr>
        <w:t xml:space="preserve"> closely intertwined with religious values systems.</w:t>
      </w:r>
    </w:p>
    <w:p w:rsidR="005C3F63" w:rsidRDefault="006536E7">
      <w:pPr>
        <w:ind w:firstLine="426"/>
        <w:rPr>
          <w:rFonts w:ascii="Verdana" w:hAnsi="Verdana"/>
          <w:sz w:val="20"/>
          <w:szCs w:val="20"/>
        </w:rPr>
      </w:pPr>
      <w:r>
        <w:rPr>
          <w:rStyle w:val="KapitolaChar"/>
          <w:rFonts w:eastAsia="Calibri"/>
        </w:rPr>
        <w:t>2 Methodology and Data</w:t>
      </w:r>
    </w:p>
    <w:p w:rsidR="005C3F63" w:rsidRDefault="006536E7">
      <w:pPr>
        <w:pStyle w:val="afd"/>
        <w:ind w:left="0" w:firstLine="426"/>
        <w:rPr>
          <w:rFonts w:ascii="Verdana" w:hAnsi="Verdana"/>
          <w:color w:val="000000"/>
          <w:sz w:val="20"/>
          <w:szCs w:val="20"/>
        </w:rPr>
      </w:pPr>
      <w:r>
        <w:rPr>
          <w:rFonts w:ascii="Verdana" w:hAnsi="Verdana"/>
          <w:color w:val="000000"/>
          <w:sz w:val="20"/>
          <w:szCs w:val="20"/>
        </w:rPr>
        <w:t xml:space="preserve">Values systems of the researched religions have differences based on the postulates of sacred books and their interpretations, as well as on sermons and prophecies of the founders and leaders of a particular religion—such otherness influence on the individual attitude to labor and </w:t>
      </w:r>
      <w:r>
        <w:rPr>
          <w:rFonts w:ascii="Verdana" w:hAnsi="Verdana"/>
          <w:sz w:val="20"/>
          <w:szCs w:val="20"/>
        </w:rPr>
        <w:t>entrepreneurship.</w:t>
      </w:r>
    </w:p>
    <w:p w:rsidR="005C3F63" w:rsidRDefault="006536E7">
      <w:pPr>
        <w:pStyle w:val="afd"/>
        <w:ind w:left="0" w:firstLine="426"/>
        <w:rPr>
          <w:rFonts w:ascii="Verdana" w:hAnsi="Verdana"/>
          <w:color w:val="000000"/>
          <w:sz w:val="20"/>
          <w:szCs w:val="20"/>
        </w:rPr>
      </w:pPr>
      <w:r>
        <w:rPr>
          <w:rFonts w:ascii="Verdana" w:hAnsi="Verdana"/>
          <w:color w:val="000000"/>
          <w:sz w:val="20"/>
          <w:szCs w:val="20"/>
        </w:rPr>
        <w:t>The above-mentioned statement of Mizes on labor is somewhat intertwined with Schumacher's (1973) description of the labor function in the Buddhist economy. It is a triune statement:</w:t>
      </w:r>
    </w:p>
    <w:p w:rsidR="005C3F63" w:rsidRDefault="006536E7">
      <w:pPr>
        <w:pStyle w:val="afd"/>
        <w:ind w:left="0" w:firstLine="426"/>
        <w:rPr>
          <w:rFonts w:ascii="Verdana" w:hAnsi="Verdana"/>
          <w:color w:val="000000"/>
          <w:sz w:val="20"/>
          <w:szCs w:val="20"/>
        </w:rPr>
      </w:pPr>
      <w:r>
        <w:rPr>
          <w:rFonts w:ascii="Verdana" w:hAnsi="Verdana"/>
          <w:color w:val="000000"/>
          <w:sz w:val="20"/>
          <w:szCs w:val="20"/>
        </w:rPr>
        <w:t>1) to enable a person to use and develop their abilities;</w:t>
      </w:r>
    </w:p>
    <w:p w:rsidR="005C3F63" w:rsidRDefault="006536E7">
      <w:pPr>
        <w:pStyle w:val="afd"/>
        <w:ind w:left="0" w:firstLine="426"/>
        <w:rPr>
          <w:rFonts w:ascii="Verdana" w:hAnsi="Verdana"/>
          <w:color w:val="000000"/>
          <w:sz w:val="20"/>
          <w:szCs w:val="20"/>
        </w:rPr>
      </w:pPr>
      <w:r>
        <w:rPr>
          <w:rFonts w:ascii="Verdana" w:hAnsi="Verdana"/>
          <w:color w:val="000000"/>
          <w:sz w:val="20"/>
          <w:szCs w:val="20"/>
        </w:rPr>
        <w:t>2) to allow the individual to overcome self-centeredness by uniting with others in a common cause;</w:t>
      </w:r>
    </w:p>
    <w:p w:rsidR="005C3F63" w:rsidRDefault="006536E7">
      <w:pPr>
        <w:pStyle w:val="afd"/>
        <w:ind w:left="0" w:firstLine="426"/>
        <w:rPr>
          <w:rFonts w:ascii="Verdana" w:hAnsi="Verdana"/>
          <w:color w:val="000000"/>
          <w:sz w:val="20"/>
          <w:szCs w:val="20"/>
        </w:rPr>
      </w:pPr>
      <w:r>
        <w:rPr>
          <w:rFonts w:ascii="Verdana" w:hAnsi="Verdana"/>
          <w:color w:val="000000"/>
          <w:sz w:val="20"/>
          <w:szCs w:val="20"/>
        </w:rPr>
        <w:t>3) to develop the goods and services necessary for the formation of existence.</w:t>
      </w:r>
    </w:p>
    <w:p w:rsidR="005C3F63" w:rsidRDefault="006536E7">
      <w:pPr>
        <w:pStyle w:val="a"/>
        <w:ind w:firstLine="426"/>
        <w:rPr>
          <w:rFonts w:ascii="Verdana" w:hAnsi="Verdana"/>
          <w:sz w:val="20"/>
          <w:szCs w:val="20"/>
          <w:lang w:val="en-US"/>
        </w:rPr>
      </w:pPr>
      <w:r>
        <w:rPr>
          <w:rFonts w:ascii="Verdana" w:hAnsi="Verdana"/>
          <w:sz w:val="20"/>
          <w:szCs w:val="20"/>
          <w:lang w:val="en-US"/>
        </w:rPr>
        <w:t>Although, from the Buddhist point of view, the benefits of income (earnings) are out of the question. Everything is directed at the person, for the sake of the person.</w:t>
      </w:r>
    </w:p>
    <w:p w:rsidR="005C3F63" w:rsidRDefault="006536E7">
      <w:pPr>
        <w:pStyle w:val="a"/>
        <w:ind w:firstLine="426"/>
        <w:rPr>
          <w:rFonts w:ascii="Verdana" w:hAnsi="Verdana"/>
          <w:sz w:val="20"/>
          <w:szCs w:val="20"/>
          <w:lang w:val="en-US"/>
        </w:rPr>
      </w:pPr>
      <w:r>
        <w:rPr>
          <w:rFonts w:ascii="Verdana" w:hAnsi="Verdana"/>
          <w:sz w:val="20"/>
          <w:szCs w:val="20"/>
          <w:lang w:val="en-US"/>
        </w:rPr>
        <w:t>In the Muslim or Islamic economy, labor is also treated with respect. As is known, the life of a Muslim believer is based on observing the prescriptions of the Holy Quran.</w:t>
      </w:r>
    </w:p>
    <w:p w:rsidR="005C3F63" w:rsidRDefault="006536E7">
      <w:pPr>
        <w:pStyle w:val="a"/>
        <w:ind w:firstLine="426"/>
        <w:rPr>
          <w:rFonts w:ascii="Verdana" w:hAnsi="Verdana"/>
          <w:sz w:val="20"/>
          <w:szCs w:val="20"/>
          <w:lang w:val="en-US"/>
        </w:rPr>
      </w:pPr>
      <w:r>
        <w:rPr>
          <w:rFonts w:ascii="Verdana" w:hAnsi="Verdana"/>
          <w:sz w:val="20"/>
          <w:szCs w:val="20"/>
          <w:lang w:val="en-US"/>
        </w:rPr>
        <w:t xml:space="preserve">So, as Abdul Mayid et al. (2014) say about labor, it is considered the best if you earn your living. And also, Allah blesses the one who sells with kindness, buys with kindness, and makes decisions with kindness. The great Prophet Muhammad </w:t>
      </w:r>
      <w:r>
        <w:rPr>
          <w:rFonts w:ascii="Verdana" w:hAnsi="Verdana"/>
          <w:sz w:val="20"/>
          <w:szCs w:val="20"/>
          <w:lang w:val="en-US"/>
        </w:rPr>
        <w:lastRenderedPageBreak/>
        <w:t>believed that labor is an effort to bring man closer to God, as an activity of man for the sake of Allah, and also, of course, for livelihood.</w:t>
      </w:r>
    </w:p>
    <w:p w:rsidR="005C3F63" w:rsidRDefault="006536E7">
      <w:pPr>
        <w:pStyle w:val="afd"/>
        <w:ind w:left="0" w:firstLine="426"/>
        <w:rPr>
          <w:rFonts w:ascii="Verdana" w:hAnsi="Verdana"/>
          <w:sz w:val="20"/>
          <w:szCs w:val="20"/>
        </w:rPr>
      </w:pPr>
      <w:r>
        <w:rPr>
          <w:rFonts w:ascii="Verdana" w:hAnsi="Verdana"/>
          <w:sz w:val="20"/>
          <w:szCs w:val="20"/>
        </w:rPr>
        <w:t>Christian ethics of the Middle Ages defined labor as either punishment and atonement for original sin for the sake of necessary care of material well-being, or as an entirely reasonable and essential occupation of man for the education of self-discipline, diligence, etc. Moreover, it is in this period, as T. Abolina (2012) notes, different professions are recognized, the dignity of masters, professionals, as well as their social status and social responsibility are affirmed. But, based on the fact that the Lord created man in His image and invited him to work on earth (see Genesis 2: 5-6.15), for an individual honest and faithful work is a blessing, allows him to realize the Lord's plan of the world and the human being.</w:t>
      </w:r>
    </w:p>
    <w:p w:rsidR="005C3F63" w:rsidRDefault="006536E7">
      <w:pPr>
        <w:pStyle w:val="afd"/>
        <w:ind w:left="0" w:firstLine="426"/>
        <w:rPr>
          <w:rFonts w:ascii="Verdana" w:hAnsi="Verdana"/>
          <w:sz w:val="20"/>
          <w:szCs w:val="20"/>
        </w:rPr>
      </w:pPr>
      <w:r>
        <w:rPr>
          <w:rFonts w:ascii="Verdana" w:hAnsi="Verdana"/>
          <w:sz w:val="20"/>
          <w:szCs w:val="20"/>
        </w:rPr>
        <w:t>This triangle of values is closely intertwined with religious values systems. After all, the entrepreneur as a person is guided by specific spiritual and moral values, and also has certain high goals. They, in their turn, influence his professionalism as well, as love for his work and aspiration for perfection in it, ability to successfully compete with others. And the above-mentioned social values correspond to the basic golden rule of morality: "As you want people to do towards you, so do you towards them." The latter applies to the behavior of any person, regardless of their role in society, especially those who are guided by the values of Christianity, Islam, and Buddhism, as well as other religions.</w:t>
      </w:r>
    </w:p>
    <w:p w:rsidR="005C3F63" w:rsidRDefault="006536E7">
      <w:pPr>
        <w:ind w:firstLine="426"/>
        <w:rPr>
          <w:rFonts w:ascii="Verdana" w:hAnsi="Verdana"/>
          <w:sz w:val="20"/>
          <w:szCs w:val="20"/>
        </w:rPr>
      </w:pPr>
      <w:r>
        <w:rPr>
          <w:rFonts w:ascii="Verdana" w:hAnsi="Verdana"/>
          <w:sz w:val="20"/>
          <w:szCs w:val="20"/>
        </w:rPr>
        <w:t>In Christianity, the entrepreneur in his activities is guided by the Ten Commandments of God, as well as the Holy Scriptures and the Bible. All these sources do not have explicit references to entrepreneurship, but there is a lot of evidence that this activity is evaluated positively. After all, Christianity is not an opponent of income generation and business as such, but a</w:t>
      </w:r>
      <w:r>
        <w:rPr>
          <w:rFonts w:ascii="Verdana" w:hAnsi="Verdana"/>
          <w:sz w:val="20"/>
          <w:szCs w:val="20"/>
          <w:lang w:val="uk-UA"/>
        </w:rPr>
        <w:t xml:space="preserve">s </w:t>
      </w:r>
      <w:r>
        <w:rPr>
          <w:rFonts w:ascii="Verdana" w:hAnsi="Verdana" w:cs="Arial"/>
          <w:bCs/>
          <w:color w:val="000000"/>
          <w:sz w:val="20"/>
          <w:szCs w:val="20"/>
        </w:rPr>
        <w:t xml:space="preserve">R. </w:t>
      </w:r>
      <w:r>
        <w:rPr>
          <w:rFonts w:ascii="Verdana" w:hAnsi="Verdana"/>
          <w:sz w:val="20"/>
          <w:szCs w:val="20"/>
        </w:rPr>
        <w:t xml:space="preserve">Olexenko </w:t>
      </w:r>
      <w:r>
        <w:rPr>
          <w:rFonts w:ascii="Verdana" w:hAnsi="Verdana" w:cs="Arial"/>
          <w:bCs/>
          <w:color w:val="000000"/>
          <w:sz w:val="20"/>
          <w:szCs w:val="20"/>
        </w:rPr>
        <w:t>(2015) mentioned,</w:t>
      </w:r>
      <w:r>
        <w:rPr>
          <w:rFonts w:ascii="Verdana" w:hAnsi="Verdana"/>
          <w:sz w:val="20"/>
          <w:szCs w:val="20"/>
          <w:lang w:val="uk-UA"/>
        </w:rPr>
        <w:t xml:space="preserve"> </w:t>
      </w:r>
      <w:r>
        <w:rPr>
          <w:rFonts w:ascii="Verdana" w:hAnsi="Verdana"/>
          <w:sz w:val="20"/>
          <w:szCs w:val="20"/>
        </w:rPr>
        <w:t>"calls against the abuse of wealth, trade, forgetting the higher goals of life, except for earthly goods."</w:t>
      </w:r>
    </w:p>
    <w:p w:rsidR="005C3F63" w:rsidRDefault="006536E7">
      <w:pPr>
        <w:ind w:firstLine="426"/>
        <w:rPr>
          <w:rFonts w:ascii="Verdana" w:hAnsi="Verdana"/>
          <w:sz w:val="20"/>
          <w:szCs w:val="20"/>
        </w:rPr>
      </w:pPr>
      <w:r>
        <w:rPr>
          <w:rFonts w:ascii="Verdana" w:hAnsi="Verdana"/>
          <w:sz w:val="20"/>
          <w:szCs w:val="20"/>
        </w:rPr>
        <w:t>Islam differs from Christianity in less flexibility, because Muslim believers are mostly oriented towards the dogmas of the Koran, where there are many strict prohibitions against certain activities or labor. In particular, as L. Khaylova (2007) notes, apart from deception, fraud, bribery, alcohol production and sale, gambling business, usury falls under the strict ban. The latter, according to modern researchers, has no labor elements. Usury is also condemned as a process - a loan of money with growth to profit from the needs and suffering of others, and as a result - an empty accumulation of capital, property, does not bring income, not used for selfish purposes.</w:t>
      </w:r>
    </w:p>
    <w:p w:rsidR="005C3F63" w:rsidRDefault="006536E7">
      <w:pPr>
        <w:ind w:firstLine="426"/>
        <w:rPr>
          <w:rFonts w:ascii="Verdana" w:hAnsi="Verdana"/>
          <w:sz w:val="20"/>
          <w:szCs w:val="20"/>
        </w:rPr>
      </w:pPr>
      <w:r>
        <w:rPr>
          <w:rFonts w:ascii="Verdana" w:hAnsi="Verdana"/>
          <w:sz w:val="20"/>
          <w:szCs w:val="20"/>
        </w:rPr>
        <w:t>Therefore, Muslims at the state level have a ban on usury. At the same time, in Christianity, there is only moral condemnation of such actions. Therefore, this is reflected in the banking business, as well as the peculiarities of capitalist relations in Muslim countries.</w:t>
      </w:r>
    </w:p>
    <w:p w:rsidR="005C3F63" w:rsidRDefault="006536E7">
      <w:pPr>
        <w:ind w:firstLine="426"/>
        <w:rPr>
          <w:rFonts w:ascii="Verdana" w:hAnsi="Verdana"/>
          <w:sz w:val="20"/>
          <w:szCs w:val="20"/>
        </w:rPr>
      </w:pPr>
      <w:r>
        <w:rPr>
          <w:rFonts w:ascii="Verdana" w:hAnsi="Verdana"/>
          <w:sz w:val="20"/>
          <w:szCs w:val="20"/>
        </w:rPr>
        <w:t>Entrepreneurs who are adherents of Buddhism in their activities are guided by the principles of the so-called Middle Way (the Noble Eightfold Path) and the Four Noble Truths. The study by S. Ulanov (2016) provides examples of successful entrepreneurship based on Buddhist principles. In particular, the experience of Japanese companies that have applied the principles of Buddhist ethics and philosophy - "ideologist" of Sony Corporation Shigeru Kobayashi and its founder Akio Morita, founder of a large multinational corporation "Andin International Diamond Corporation" Michael Roach, founder of Apple Steve Jobs and others.</w:t>
      </w:r>
    </w:p>
    <w:p w:rsidR="005C3F63" w:rsidRDefault="006536E7">
      <w:pPr>
        <w:ind w:firstLine="426"/>
        <w:rPr>
          <w:rFonts w:ascii="Verdana" w:hAnsi="Verdana"/>
          <w:sz w:val="20"/>
          <w:szCs w:val="20"/>
        </w:rPr>
      </w:pPr>
      <w:r>
        <w:rPr>
          <w:rFonts w:ascii="Verdana" w:hAnsi="Verdana"/>
          <w:sz w:val="20"/>
          <w:szCs w:val="20"/>
        </w:rPr>
        <w:t>All of them, to varying degrees, were guided by the "noble Eightfold Path" - "right understanding, right determination, right speech, right actions, right livelihoods, right effort, right awareness, right concentration"(see Sanjutta Nicai 56.11).</w:t>
      </w:r>
    </w:p>
    <w:p w:rsidR="005C3F63" w:rsidRDefault="006536E7">
      <w:pPr>
        <w:ind w:firstLine="426"/>
        <w:rPr>
          <w:rFonts w:ascii="Verdana" w:hAnsi="Verdana"/>
          <w:sz w:val="20"/>
          <w:szCs w:val="20"/>
        </w:rPr>
      </w:pPr>
      <w:r>
        <w:rPr>
          <w:rFonts w:ascii="Verdana" w:hAnsi="Verdana"/>
          <w:sz w:val="20"/>
          <w:szCs w:val="20"/>
        </w:rPr>
        <w:t>Thus, the religious values system that an individual adheres to in relation to labor and entrepreneurship has specific differences depending on the religious belief.</w:t>
      </w:r>
    </w:p>
    <w:p w:rsidR="005C3F63" w:rsidRDefault="006536E7">
      <w:pPr>
        <w:ind w:firstLine="426"/>
        <w:contextualSpacing/>
        <w:rPr>
          <w:rFonts w:ascii="Verdana" w:hAnsi="Verdana"/>
          <w:sz w:val="20"/>
          <w:szCs w:val="20"/>
        </w:rPr>
      </w:pPr>
      <w:r>
        <w:rPr>
          <w:rFonts w:ascii="Verdana" w:hAnsi="Verdana"/>
          <w:sz w:val="20"/>
          <w:szCs w:val="20"/>
        </w:rPr>
        <w:t xml:space="preserve">At the next step of our research, we tried to find some statistical confirmation of differences existed between important social and economic indicators in countries adhered to diverse religious beliefs. We supposed that to have the right to claim that religious diversity caused some notable differences, we should consider countries in which one religion dominates. As a result, for the ratio of dominant religion adherents in the total population, the threshold meaning slightly less than 2/3, more specifically, 64%, </w:t>
      </w:r>
      <w:r>
        <w:rPr>
          <w:rFonts w:ascii="Verdana" w:hAnsi="Verdana"/>
          <w:sz w:val="20"/>
          <w:szCs w:val="20"/>
        </w:rPr>
        <w:lastRenderedPageBreak/>
        <w:t xml:space="preserve">was chosen. This way, we determined three groups of countries where Christianity (10 countries), Islam (10 countries), and Buddhism (7 countries) prevailed. The primary sources for the above-mentioned determinations were data from Worldbank, Pew Research Center, </w:t>
      </w:r>
      <w:r>
        <w:rPr>
          <w:rFonts w:ascii="Verdana" w:hAnsi="Verdana" w:cs="Helvetica"/>
          <w:iCs/>
          <w:sz w:val="20"/>
          <w:szCs w:val="20"/>
          <w:shd w:val="clear" w:color="auto" w:fill="FFFFFF"/>
        </w:rPr>
        <w:t xml:space="preserve">World Religion Database, papers of </w:t>
      </w:r>
      <w:r>
        <w:rPr>
          <w:rFonts w:ascii="Verdana" w:hAnsi="Verdana"/>
          <w:sz w:val="20"/>
          <w:szCs w:val="20"/>
          <w:lang w:val="sk-SK"/>
        </w:rPr>
        <w:t>Z</w:t>
      </w:r>
      <w:r>
        <w:rPr>
          <w:rFonts w:ascii="Verdana" w:hAnsi="Verdana"/>
          <w:sz w:val="20"/>
          <w:szCs w:val="20"/>
          <w:lang w:val="uk-UA"/>
        </w:rPr>
        <w:t>.</w:t>
      </w:r>
      <w:r>
        <w:rPr>
          <w:rFonts w:ascii="Verdana" w:hAnsi="Verdana"/>
          <w:sz w:val="20"/>
          <w:szCs w:val="20"/>
        </w:rPr>
        <w:t xml:space="preserve"> </w:t>
      </w:r>
      <w:r>
        <w:rPr>
          <w:rFonts w:ascii="Verdana" w:hAnsi="Verdana"/>
          <w:sz w:val="20"/>
          <w:szCs w:val="20"/>
          <w:lang w:val="sk-SK"/>
        </w:rPr>
        <w:t>Kubaščíková</w:t>
      </w:r>
      <w:r>
        <w:rPr>
          <w:rFonts w:ascii="Verdana" w:hAnsi="Verdana"/>
          <w:sz w:val="20"/>
          <w:szCs w:val="20"/>
          <w:lang w:val="uk-UA"/>
        </w:rPr>
        <w:t xml:space="preserve"> </w:t>
      </w:r>
      <w:r>
        <w:rPr>
          <w:rFonts w:ascii="Verdana" w:hAnsi="Verdana"/>
          <w:sz w:val="20"/>
          <w:szCs w:val="20"/>
        </w:rPr>
        <w:t>et al.</w:t>
      </w:r>
      <w:r>
        <w:rPr>
          <w:rFonts w:ascii="Verdana" w:hAnsi="Verdana"/>
          <w:sz w:val="20"/>
          <w:szCs w:val="20"/>
          <w:lang w:val="sk-SK"/>
        </w:rPr>
        <w:t xml:space="preserve"> (2019)</w:t>
      </w:r>
      <w:r>
        <w:rPr>
          <w:rFonts w:ascii="Verdana" w:hAnsi="Verdana" w:cs="Helvetica"/>
          <w:iCs/>
          <w:sz w:val="20"/>
          <w:szCs w:val="20"/>
          <w:shd w:val="clear" w:color="auto" w:fill="FFFFFF"/>
        </w:rPr>
        <w:t xml:space="preserve"> (particular links are in the references), and other trustworthy sources for 2018. </w:t>
      </w:r>
    </w:p>
    <w:p w:rsidR="005C3F63" w:rsidRDefault="006536E7">
      <w:pPr>
        <w:ind w:firstLine="426"/>
        <w:contextualSpacing/>
        <w:rPr>
          <w:rFonts w:ascii="Verdana" w:hAnsi="Verdana" w:cs="Helvetica"/>
          <w:iCs/>
          <w:sz w:val="20"/>
          <w:szCs w:val="20"/>
          <w:shd w:val="clear" w:color="auto" w:fill="FFFFFF"/>
          <w:lang w:val="uk-UA"/>
        </w:rPr>
      </w:pPr>
      <w:r>
        <w:rPr>
          <w:rFonts w:ascii="Verdana" w:hAnsi="Verdana" w:cs="Helvetica"/>
          <w:iCs/>
          <w:sz w:val="20"/>
          <w:szCs w:val="20"/>
          <w:shd w:val="clear" w:color="auto" w:fill="FFFFFF"/>
        </w:rPr>
        <w:t>Let us provide some clarifications on the data used on social and economic indicators.</w:t>
      </w:r>
      <w:r>
        <w:rPr>
          <w:rFonts w:ascii="Verdana" w:hAnsi="Verdana" w:cs="Helvetica"/>
          <w:iCs/>
          <w:sz w:val="20"/>
          <w:szCs w:val="20"/>
          <w:shd w:val="clear" w:color="auto" w:fill="FFFFFF"/>
          <w:lang w:val="uk-UA"/>
        </w:rPr>
        <w:t xml:space="preserve"> </w:t>
      </w:r>
      <w:r>
        <w:rPr>
          <w:rFonts w:ascii="Verdana" w:hAnsi="Verdana" w:cs="Helvetica"/>
          <w:iCs/>
          <w:sz w:val="20"/>
          <w:szCs w:val="20"/>
          <w:shd w:val="clear" w:color="auto" w:fill="FFFFFF"/>
        </w:rPr>
        <w:t>Thus, the indices of human development and capital were chosen to determine the quality of work and entrepreneurship</w:t>
      </w:r>
      <w:r>
        <w:rPr>
          <w:rFonts w:ascii="Verdana" w:hAnsi="Verdana" w:cs="Helvetica"/>
          <w:iCs/>
          <w:sz w:val="20"/>
          <w:szCs w:val="20"/>
          <w:shd w:val="clear" w:color="auto" w:fill="FFFFFF"/>
          <w:lang w:val="uk-UA"/>
        </w:rPr>
        <w:t>.</w:t>
      </w:r>
      <w:r>
        <w:rPr>
          <w:rFonts w:ascii="Verdana" w:hAnsi="Verdana" w:cs="Helvetica"/>
          <w:iCs/>
          <w:sz w:val="20"/>
          <w:szCs w:val="20"/>
          <w:shd w:val="clear" w:color="auto" w:fill="FFFFFF"/>
        </w:rPr>
        <w:t xml:space="preserve"> Because of changes in the calculation methodologies, in particular for the Human Development Index, as well as considerable difficulties in collecting data on the adherents of a specific religion in different years, we were forced to be limited only to data for years 2010, 2012, 2014, 2016 and 2018. Concerning the Human Capital Index and the Global Entrepreneurship Index, the former had only begun to be calculated in 2018, while data for the latter were not available for previous years. This fact has led to the presentation of social and economic indicators for the year 2018. </w:t>
      </w:r>
    </w:p>
    <w:p w:rsidR="005C3F63" w:rsidRDefault="006536E7">
      <w:pPr>
        <w:ind w:firstLine="426"/>
        <w:rPr>
          <w:rFonts w:ascii="Verdana" w:hAnsi="Verdana"/>
          <w:b/>
          <w:sz w:val="20"/>
          <w:szCs w:val="20"/>
        </w:rPr>
      </w:pPr>
      <w:r>
        <w:rPr>
          <w:rFonts w:ascii="Verdana" w:hAnsi="Verdana"/>
          <w:b/>
        </w:rPr>
        <w:t>3 Results and Discussion</w:t>
      </w:r>
    </w:p>
    <w:p w:rsidR="005C3F63" w:rsidRDefault="006536E7">
      <w:pPr>
        <w:ind w:firstLine="426"/>
        <w:contextualSpacing/>
        <w:rPr>
          <w:rFonts w:ascii="Verdana" w:hAnsi="Verdana"/>
          <w:sz w:val="20"/>
          <w:szCs w:val="20"/>
          <w:lang w:val="uk-UA"/>
        </w:rPr>
      </w:pPr>
      <w:r>
        <w:rPr>
          <w:rFonts w:ascii="Verdana" w:hAnsi="Verdana"/>
          <w:sz w:val="20"/>
          <w:szCs w:val="20"/>
        </w:rPr>
        <w:t xml:space="preserve">According to the next graphs, we can trace more or less substantial differences between the three groups of countries. Let's begin with gross national income per capita data (fig. 1). The mean for ten most Christian countries ($14244) is 3,59 times higher than for Islam countries ($3964) and 1,66 times higher than for Buddhist countries ($8586). And this even though most Christian countries include Democratic Republic Congo ($490) and Ethiopia ($790). Still, the differences in median GNP per capita are less impressive: $7630, $3465, and $970 appropriately, with Buddhist countries trailing behind in this case. The diversities noted can be explained by strong Islamic Shariat condemnations for some forms of labor and </w:t>
      </w:r>
      <w:r>
        <w:rPr>
          <w:rFonts w:ascii="Verdana" w:hAnsi="Verdana"/>
          <w:sz w:val="20"/>
          <w:szCs w:val="20"/>
          <w:lang w:val="uk-UA"/>
        </w:rPr>
        <w:t>entrepreneurship</w:t>
      </w:r>
      <w:r>
        <w:rPr>
          <w:rFonts w:ascii="Verdana" w:hAnsi="Verdana"/>
          <w:sz w:val="20"/>
          <w:szCs w:val="20"/>
        </w:rPr>
        <w:t xml:space="preserve"> and by a balanced attitude of Buddhism to every kind of activity.</w:t>
      </w:r>
    </w:p>
    <w:p w:rsidR="005C3F63" w:rsidRDefault="006536E7">
      <w:pPr>
        <w:contextualSpacing/>
        <w:jc w:val="center"/>
        <w:rPr>
          <w:rFonts w:ascii="Verdana" w:hAnsi="Verdana"/>
          <w:sz w:val="20"/>
          <w:szCs w:val="20"/>
        </w:rPr>
      </w:pPr>
      <w:r>
        <w:rPr>
          <w:rFonts w:ascii="Verdana" w:hAnsi="Verdana"/>
          <w:b/>
          <w:sz w:val="20"/>
          <w:szCs w:val="20"/>
        </w:rPr>
        <w:t>Graf 1</w:t>
      </w:r>
      <w:r>
        <w:rPr>
          <w:rFonts w:ascii="Verdana" w:hAnsi="Verdana"/>
          <w:sz w:val="20"/>
          <w:szCs w:val="20"/>
        </w:rPr>
        <w:t xml:space="preserve"> </w:t>
      </w:r>
      <w:r>
        <w:rPr>
          <w:rFonts w:ascii="Verdana" w:hAnsi="Verdana"/>
          <w:b/>
          <w:sz w:val="20"/>
          <w:szCs w:val="20"/>
        </w:rPr>
        <w:t>Gross national income per capita</w:t>
      </w:r>
      <w:r>
        <w:rPr>
          <w:rFonts w:ascii="Verdana" w:hAnsi="Verdana"/>
          <w:sz w:val="20"/>
          <w:szCs w:val="20"/>
        </w:rPr>
        <w:t xml:space="preserve">                </w:t>
      </w:r>
      <w:r>
        <w:rPr>
          <w:rFonts w:ascii="Verdana" w:hAnsi="Verdana"/>
          <w:b/>
          <w:sz w:val="20"/>
          <w:szCs w:val="20"/>
        </w:rPr>
        <w:t>Graf 2</w:t>
      </w:r>
      <w:r>
        <w:rPr>
          <w:rFonts w:ascii="Verdana" w:hAnsi="Verdana"/>
          <w:sz w:val="20"/>
          <w:szCs w:val="20"/>
        </w:rPr>
        <w:t xml:space="preserve"> </w:t>
      </w:r>
      <w:r>
        <w:rPr>
          <w:rFonts w:ascii="Verdana" w:hAnsi="Verdana"/>
          <w:b/>
          <w:sz w:val="20"/>
          <w:szCs w:val="20"/>
        </w:rPr>
        <w:t>Human Capital Index</w:t>
      </w:r>
    </w:p>
    <w:p w:rsidR="005C3F63" w:rsidRDefault="006536E7">
      <w:pPr>
        <w:contextualSpacing/>
        <w:rPr>
          <w:rFonts w:ascii="Verdana" w:hAnsi="Verdana"/>
          <w:sz w:val="20"/>
          <w:szCs w:val="20"/>
        </w:rPr>
      </w:pPr>
      <w:r>
        <w:rPr>
          <w:rFonts w:ascii="Verdana" w:hAnsi="Verdana"/>
          <w:sz w:val="20"/>
          <w:szCs w:val="20"/>
        </w:rPr>
        <w:lastRenderedPageBreak/>
        <w:t xml:space="preserve">              </w:t>
      </w:r>
      <w:r>
        <w:rPr>
          <w:rFonts w:ascii="Verdana" w:hAnsi="Verdana"/>
          <w:noProof/>
          <w:sz w:val="20"/>
          <w:szCs w:val="20"/>
          <w:lang w:val="uk-UA" w:eastAsia="uk-UA" w:bidi="ar-SA"/>
        </w:rPr>
        <w:drawing>
          <wp:inline distT="0" distB="0" distL="0" distR="0">
            <wp:extent cx="2190750" cy="2299335"/>
            <wp:effectExtent l="0" t="0" r="0" b="5715"/>
            <wp:docPr id="34" name="Obráze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Obrázek 34"/>
                    <pic:cNvPicPr>
                      <a:picLocks noChangeAspect="1" noChangeArrowheads="1"/>
                    </pic:cNvPicPr>
                  </pic:nvPicPr>
                  <pic:blipFill>
                    <a:blip r:embed="rId225">
                      <a:extLst>
                        <a:ext uri="{28A0092B-C50C-407E-A947-70E740481C1C}">
                          <a14:useLocalDpi xmlns:a14="http://schemas.microsoft.com/office/drawing/2010/main" val="0"/>
                        </a:ext>
                      </a:extLst>
                    </a:blip>
                    <a:srcRect/>
                    <a:stretch>
                      <a:fillRect/>
                    </a:stretch>
                  </pic:blipFill>
                  <pic:spPr>
                    <a:xfrm>
                      <a:off x="0" y="0"/>
                      <a:ext cx="2190750" cy="2299335"/>
                    </a:xfrm>
                    <a:prstGeom prst="rect">
                      <a:avLst/>
                    </a:prstGeom>
                    <a:noFill/>
                    <a:ln>
                      <a:noFill/>
                    </a:ln>
                  </pic:spPr>
                </pic:pic>
              </a:graphicData>
            </a:graphic>
          </wp:inline>
        </w:drawing>
      </w:r>
      <w:r>
        <w:rPr>
          <w:rFonts w:ascii="Verdana" w:hAnsi="Verdana"/>
          <w:sz w:val="20"/>
          <w:szCs w:val="20"/>
        </w:rPr>
        <w:t xml:space="preserve">                     </w:t>
      </w:r>
      <w:r>
        <w:rPr>
          <w:rFonts w:ascii="Verdana" w:hAnsi="Verdana"/>
          <w:noProof/>
          <w:sz w:val="20"/>
          <w:szCs w:val="20"/>
          <w:lang w:val="uk-UA" w:eastAsia="uk-UA" w:bidi="ar-SA"/>
        </w:rPr>
        <w:drawing>
          <wp:inline distT="0" distB="0" distL="0" distR="0">
            <wp:extent cx="2033270" cy="2408555"/>
            <wp:effectExtent l="0" t="0" r="5080" b="0"/>
            <wp:docPr id="30" name="Obráze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Obrázek 30"/>
                    <pic:cNvPicPr>
                      <a:picLocks noChangeAspect="1" noChangeArrowheads="1"/>
                    </pic:cNvPicPr>
                  </pic:nvPicPr>
                  <pic:blipFill>
                    <a:blip r:embed="rId226">
                      <a:extLst>
                        <a:ext uri="{28A0092B-C50C-407E-A947-70E740481C1C}">
                          <a14:useLocalDpi xmlns:a14="http://schemas.microsoft.com/office/drawing/2010/main" val="0"/>
                        </a:ext>
                      </a:extLst>
                    </a:blip>
                    <a:srcRect/>
                    <a:stretch>
                      <a:fillRect/>
                    </a:stretch>
                  </pic:blipFill>
                  <pic:spPr>
                    <a:xfrm>
                      <a:off x="0" y="0"/>
                      <a:ext cx="2033270" cy="2408555"/>
                    </a:xfrm>
                    <a:prstGeom prst="rect">
                      <a:avLst/>
                    </a:prstGeom>
                    <a:noFill/>
                    <a:ln>
                      <a:noFill/>
                    </a:ln>
                  </pic:spPr>
                </pic:pic>
              </a:graphicData>
            </a:graphic>
          </wp:inline>
        </w:drawing>
      </w:r>
    </w:p>
    <w:p w:rsidR="005C3F63" w:rsidRDefault="006536E7">
      <w:pPr>
        <w:jc w:val="center"/>
        <w:rPr>
          <w:rFonts w:ascii="Verdana" w:hAnsi="Verdana"/>
          <w:sz w:val="18"/>
          <w:szCs w:val="18"/>
        </w:rPr>
      </w:pPr>
      <w:r>
        <w:rPr>
          <w:rFonts w:ascii="Verdana" w:hAnsi="Verdana"/>
          <w:sz w:val="18"/>
          <w:szCs w:val="18"/>
        </w:rPr>
        <w:t>Sources: for Graf 1 Worldbank Retrieved from:https://data.worldbank.org/</w:t>
      </w:r>
    </w:p>
    <w:p w:rsidR="005C3F63" w:rsidRDefault="006536E7">
      <w:pPr>
        <w:jc w:val="center"/>
        <w:rPr>
          <w:rFonts w:ascii="Verdana" w:hAnsi="Verdana"/>
          <w:sz w:val="18"/>
          <w:szCs w:val="18"/>
        </w:rPr>
      </w:pPr>
      <w:r>
        <w:rPr>
          <w:rFonts w:ascii="Verdana" w:hAnsi="Verdana"/>
          <w:sz w:val="18"/>
          <w:szCs w:val="18"/>
        </w:rPr>
        <w:t>for Graf 2 Human Capital Project. Retrieved from:https://openknowledge.worldbank.org/bitstream/handle/10986/30498/33324RU.pdf?Sequence=13&amp;isallowed=y</w:t>
      </w:r>
    </w:p>
    <w:p w:rsidR="005C3F63" w:rsidRDefault="006536E7">
      <w:pPr>
        <w:ind w:firstLine="426"/>
        <w:contextualSpacing/>
        <w:rPr>
          <w:rFonts w:ascii="Verdana" w:hAnsi="Verdana"/>
          <w:sz w:val="20"/>
          <w:szCs w:val="20"/>
        </w:rPr>
      </w:pPr>
      <w:r>
        <w:rPr>
          <w:rFonts w:ascii="Verdana" w:hAnsi="Verdana"/>
          <w:sz w:val="20"/>
          <w:szCs w:val="20"/>
        </w:rPr>
        <w:t>Regarding the Human Capital and Human Development indexes, the differences between the three groups of countries are far less significant (fig. 2, 3). HCI mean data are precisely equal for Christian and Buddhist countries and slightly lower for Islamic ones; even more monotonous are HDI indicators. In Islamic countries, Shariat restricts women's activities in economic life while the other two groups of states do not have such restrictions. So it can be the reason of low indexes values for that group.</w:t>
      </w:r>
    </w:p>
    <w:p w:rsidR="005C3F63" w:rsidRDefault="006536E7">
      <w:pPr>
        <w:contextualSpacing/>
        <w:jc w:val="center"/>
        <w:rPr>
          <w:rFonts w:ascii="Verdana" w:hAnsi="Verdana"/>
          <w:sz w:val="20"/>
          <w:szCs w:val="20"/>
        </w:rPr>
      </w:pPr>
      <w:r>
        <w:rPr>
          <w:rFonts w:ascii="Verdana" w:hAnsi="Verdana"/>
          <w:b/>
          <w:sz w:val="20"/>
          <w:szCs w:val="20"/>
        </w:rPr>
        <w:t>Graf 3</w:t>
      </w:r>
      <w:r>
        <w:rPr>
          <w:rFonts w:ascii="Verdana" w:hAnsi="Verdana"/>
          <w:sz w:val="20"/>
          <w:szCs w:val="20"/>
        </w:rPr>
        <w:t xml:space="preserve"> </w:t>
      </w:r>
      <w:r>
        <w:rPr>
          <w:rFonts w:ascii="Verdana" w:hAnsi="Verdana"/>
          <w:b/>
          <w:sz w:val="20"/>
          <w:szCs w:val="20"/>
        </w:rPr>
        <w:t>Human Development Index</w:t>
      </w:r>
      <w:r>
        <w:rPr>
          <w:rFonts w:ascii="Verdana" w:hAnsi="Verdana"/>
          <w:sz w:val="20"/>
          <w:szCs w:val="20"/>
        </w:rPr>
        <w:t xml:space="preserve">         </w:t>
      </w:r>
      <w:r>
        <w:rPr>
          <w:rFonts w:ascii="Verdana" w:hAnsi="Verdana"/>
          <w:b/>
          <w:sz w:val="20"/>
          <w:szCs w:val="20"/>
        </w:rPr>
        <w:t>Graf 4</w:t>
      </w:r>
      <w:r>
        <w:rPr>
          <w:rFonts w:ascii="Verdana" w:hAnsi="Verdana"/>
          <w:sz w:val="20"/>
          <w:szCs w:val="20"/>
        </w:rPr>
        <w:t xml:space="preserve"> </w:t>
      </w:r>
      <w:r>
        <w:rPr>
          <w:rFonts w:ascii="Verdana" w:hAnsi="Verdana"/>
          <w:b/>
          <w:sz w:val="20"/>
          <w:szCs w:val="20"/>
        </w:rPr>
        <w:t>Global Entrepreneurship Index</w:t>
      </w:r>
    </w:p>
    <w:p w:rsidR="005C3F63" w:rsidRDefault="006536E7">
      <w:pPr>
        <w:contextualSpacing/>
        <w:jc w:val="right"/>
        <w:rPr>
          <w:rFonts w:ascii="Verdana" w:hAnsi="Verdana"/>
          <w:sz w:val="20"/>
          <w:szCs w:val="20"/>
        </w:rPr>
      </w:pPr>
      <w:r>
        <w:rPr>
          <w:rFonts w:ascii="Verdana" w:hAnsi="Verdana"/>
          <w:sz w:val="20"/>
          <w:szCs w:val="20"/>
          <w:lang w:eastAsia="uk-UA"/>
        </w:rPr>
        <w:t xml:space="preserve">    </w:t>
      </w:r>
      <w:r>
        <w:rPr>
          <w:rFonts w:ascii="Verdana" w:hAnsi="Verdana"/>
          <w:noProof/>
          <w:sz w:val="20"/>
          <w:szCs w:val="20"/>
          <w:lang w:val="uk-UA" w:eastAsia="uk-UA" w:bidi="ar-SA"/>
        </w:rPr>
        <w:drawing>
          <wp:inline distT="0" distB="0" distL="0" distR="0">
            <wp:extent cx="2183765" cy="2286000"/>
            <wp:effectExtent l="0" t="0" r="6985" b="0"/>
            <wp:docPr id="18" name="Obráze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Obrázek 18"/>
                    <pic:cNvPicPr>
                      <a:picLocks noChangeAspect="1" noChangeArrowheads="1"/>
                    </pic:cNvPicPr>
                  </pic:nvPicPr>
                  <pic:blipFill>
                    <a:blip r:embed="rId227">
                      <a:extLst>
                        <a:ext uri="{28A0092B-C50C-407E-A947-70E740481C1C}">
                          <a14:useLocalDpi xmlns:a14="http://schemas.microsoft.com/office/drawing/2010/main" val="0"/>
                        </a:ext>
                      </a:extLst>
                    </a:blip>
                    <a:srcRect/>
                    <a:stretch>
                      <a:fillRect/>
                    </a:stretch>
                  </pic:blipFill>
                  <pic:spPr>
                    <a:xfrm>
                      <a:off x="0" y="0"/>
                      <a:ext cx="2183765" cy="2286000"/>
                    </a:xfrm>
                    <a:prstGeom prst="rect">
                      <a:avLst/>
                    </a:prstGeom>
                    <a:noFill/>
                    <a:ln>
                      <a:noFill/>
                    </a:ln>
                  </pic:spPr>
                </pic:pic>
              </a:graphicData>
            </a:graphic>
          </wp:inline>
        </w:drawing>
      </w:r>
      <w:r>
        <w:rPr>
          <w:rFonts w:ascii="Verdana" w:hAnsi="Verdana"/>
          <w:sz w:val="20"/>
          <w:szCs w:val="20"/>
        </w:rPr>
        <w:t xml:space="preserve">                   </w:t>
      </w:r>
      <w:r>
        <w:rPr>
          <w:rFonts w:ascii="Verdana" w:hAnsi="Verdana"/>
          <w:noProof/>
          <w:sz w:val="20"/>
          <w:szCs w:val="20"/>
          <w:lang w:val="uk-UA" w:eastAsia="uk-UA" w:bidi="ar-SA"/>
        </w:rPr>
        <w:drawing>
          <wp:inline distT="0" distB="0" distL="0" distR="0">
            <wp:extent cx="2169795" cy="2292985"/>
            <wp:effectExtent l="0" t="0" r="1905" b="0"/>
            <wp:docPr id="17" name="Obráze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Obrázek 17"/>
                    <pic:cNvPicPr>
                      <a:picLocks noChangeAspect="1" noChangeArrowheads="1"/>
                    </pic:cNvPicPr>
                  </pic:nvPicPr>
                  <pic:blipFill>
                    <a:blip r:embed="rId228">
                      <a:extLst>
                        <a:ext uri="{28A0092B-C50C-407E-A947-70E740481C1C}">
                          <a14:useLocalDpi xmlns:a14="http://schemas.microsoft.com/office/drawing/2010/main" val="0"/>
                        </a:ext>
                      </a:extLst>
                    </a:blip>
                    <a:srcRect/>
                    <a:stretch>
                      <a:fillRect/>
                    </a:stretch>
                  </pic:blipFill>
                  <pic:spPr>
                    <a:xfrm>
                      <a:off x="0" y="0"/>
                      <a:ext cx="2169795" cy="2292985"/>
                    </a:xfrm>
                    <a:prstGeom prst="rect">
                      <a:avLst/>
                    </a:prstGeom>
                    <a:noFill/>
                    <a:ln>
                      <a:noFill/>
                    </a:ln>
                  </pic:spPr>
                </pic:pic>
              </a:graphicData>
            </a:graphic>
          </wp:inline>
        </w:drawing>
      </w:r>
    </w:p>
    <w:p w:rsidR="005C3F63" w:rsidRDefault="006536E7">
      <w:pPr>
        <w:contextualSpacing/>
        <w:jc w:val="center"/>
        <w:rPr>
          <w:rFonts w:ascii="Verdana" w:hAnsi="Verdana"/>
          <w:sz w:val="18"/>
          <w:szCs w:val="18"/>
        </w:rPr>
      </w:pPr>
      <w:r>
        <w:rPr>
          <w:rFonts w:ascii="Verdana" w:hAnsi="Verdana"/>
          <w:sz w:val="18"/>
          <w:szCs w:val="18"/>
        </w:rPr>
        <w:lastRenderedPageBreak/>
        <w:t xml:space="preserve">Sources: for Graf 3 United Nations Development Programme </w:t>
      </w:r>
      <w:hyperlink r:id="rId229" w:tooltip="Home" w:history="1">
        <w:r>
          <w:rPr>
            <w:rStyle w:val="af9"/>
            <w:bCs/>
            <w:sz w:val="18"/>
            <w:szCs w:val="18"/>
          </w:rPr>
          <w:t>Human Development Reports</w:t>
        </w:r>
      </w:hyperlink>
      <w:r>
        <w:rPr>
          <w:rFonts w:ascii="Verdana" w:hAnsi="Verdana"/>
          <w:sz w:val="18"/>
          <w:szCs w:val="18"/>
        </w:rPr>
        <w:t>.</w:t>
      </w:r>
      <w:hyperlink r:id="rId230" w:history="1">
        <w:r>
          <w:rPr>
            <w:rFonts w:ascii="Verdana" w:hAnsi="Verdana"/>
            <w:sz w:val="18"/>
            <w:szCs w:val="18"/>
          </w:rPr>
          <w:t xml:space="preserve"> Retrieved from: </w:t>
        </w:r>
        <w:r>
          <w:rPr>
            <w:rStyle w:val="af9"/>
            <w:sz w:val="18"/>
            <w:szCs w:val="18"/>
          </w:rPr>
          <w:t>http://hdr.undp.org/en/content/human-development-report-2019-readers-guide</w:t>
        </w:r>
      </w:hyperlink>
    </w:p>
    <w:p w:rsidR="005C3F63" w:rsidRDefault="006536E7">
      <w:pPr>
        <w:pStyle w:val="afd"/>
        <w:ind w:left="0"/>
        <w:jc w:val="center"/>
        <w:rPr>
          <w:rFonts w:ascii="Verdana" w:hAnsi="Verdana"/>
          <w:sz w:val="18"/>
          <w:szCs w:val="18"/>
        </w:rPr>
      </w:pPr>
      <w:r>
        <w:rPr>
          <w:rFonts w:ascii="Verdana" w:hAnsi="Verdana"/>
          <w:sz w:val="18"/>
          <w:szCs w:val="18"/>
        </w:rPr>
        <w:t xml:space="preserve">for Graf 4 </w:t>
      </w:r>
      <w:r>
        <w:rPr>
          <w:rStyle w:val="afa"/>
          <w:rFonts w:ascii="Verdana" w:hAnsi="Verdana"/>
          <w:b w:val="0"/>
          <w:sz w:val="18"/>
          <w:szCs w:val="18"/>
          <w:shd w:val="clear" w:color="auto" w:fill="FFFFFF"/>
        </w:rPr>
        <w:t xml:space="preserve">2018 Global Entrepreneurship Index rankings. </w:t>
      </w:r>
      <w:r>
        <w:rPr>
          <w:rFonts w:ascii="Verdana" w:hAnsi="Verdana"/>
          <w:sz w:val="18"/>
          <w:szCs w:val="18"/>
        </w:rPr>
        <w:t>Retrieved from: https://thegedi.org/tool/</w:t>
      </w:r>
    </w:p>
    <w:p w:rsidR="005C3F63" w:rsidRDefault="006536E7">
      <w:pPr>
        <w:ind w:firstLine="426"/>
        <w:contextualSpacing/>
        <w:rPr>
          <w:rFonts w:ascii="Verdana" w:hAnsi="Verdana"/>
          <w:sz w:val="20"/>
          <w:szCs w:val="20"/>
        </w:rPr>
      </w:pPr>
      <w:r>
        <w:rPr>
          <w:rFonts w:ascii="Verdana" w:hAnsi="Verdana"/>
          <w:sz w:val="20"/>
          <w:szCs w:val="20"/>
        </w:rPr>
        <w:t xml:space="preserve">Finally, the mean data for the Global Entrepreneurial Index reveal the apparent advantage for Christian countries: 34,5 against 24,9 and 25 for other groups. Interestingly, the median indicators demonstrate a completely different pattern – in this case, data for Christian and Islamic countries are very close, appropriately 26,4, and 25,3 versus 19,9 for Buddhist ones. </w:t>
      </w:r>
    </w:p>
    <w:p w:rsidR="005C3F63" w:rsidRDefault="006536E7">
      <w:pPr>
        <w:ind w:firstLine="426"/>
        <w:rPr>
          <w:rFonts w:ascii="Verdana" w:hAnsi="Verdana"/>
          <w:b/>
        </w:rPr>
      </w:pPr>
      <w:r>
        <w:rPr>
          <w:rFonts w:ascii="Verdana" w:hAnsi="Verdana"/>
          <w:b/>
        </w:rPr>
        <w:t>Conclusions</w:t>
      </w:r>
    </w:p>
    <w:p w:rsidR="005C3F63" w:rsidRDefault="006536E7">
      <w:pPr>
        <w:ind w:firstLine="426"/>
        <w:rPr>
          <w:rFonts w:ascii="Verdana" w:hAnsi="Verdana"/>
          <w:b/>
          <w:sz w:val="20"/>
          <w:szCs w:val="20"/>
        </w:rPr>
      </w:pPr>
      <w:r>
        <w:rPr>
          <w:rFonts w:ascii="Verdana" w:hAnsi="Verdana"/>
          <w:sz w:val="20"/>
          <w:szCs w:val="20"/>
        </w:rPr>
        <w:t>Thus, the study showed that each individual, in his attitude towards labor and entrepreneurship, is guided by the awareness that his activities are aimed not only at meeting his physical and material needs but also at realizing his abilities, creativity, caring for himself and his relatives and thus benefiting society. This consciousness of himself and his role in society depends on the set of religious values, which he follows. The systems of values of Christianity, Islam, and Buddhism as the most widespread have many significant differences. They reflect on the attitude towards both labor and entrepreneurship and influence the development of the countries where they are most prevalent. In Buddhism, labor must be conscious and contribute first and foremost to the spiritual growth of the individual. The same role is played by entrepreneurship. In Christianity, labor should contribute to self-education and self-discipline, in addition to obtaining means of livelihood, as well as being a means of helping God's work. As for entrepreneurship, it is supported by Christianity, but with fear of abuse of the wealth received, focusing on earthly goods. In Islam, if done with kindness, labor is a noble cause, and brings man closer to Allah and helps to secure his livelihood. However, Shariat law imposes restrictions and prohibitions both on labor itself and on entrepreneurship in certain activities. This fact also affects the social and economic indicators of the country where the system of values of a particular religion is most. In particular, the economic and social indicators of Christian countries are mostly higher compared to Buddhist and Muslim countries. The latter group of countries, on the contrary, demonstrates relatively lower indicators.</w:t>
      </w:r>
    </w:p>
    <w:p w:rsidR="005C3F63" w:rsidRDefault="006536E7">
      <w:pPr>
        <w:ind w:firstLine="426"/>
        <w:rPr>
          <w:rFonts w:ascii="Verdana" w:hAnsi="Verdana"/>
          <w:b/>
        </w:rPr>
      </w:pPr>
      <w:r>
        <w:rPr>
          <w:rFonts w:ascii="Verdana" w:hAnsi="Verdana"/>
          <w:b/>
        </w:rPr>
        <w:t>References</w:t>
      </w:r>
    </w:p>
    <w:p w:rsidR="005C3F63" w:rsidRDefault="006536E7">
      <w:pPr>
        <w:pStyle w:val="afd"/>
        <w:ind w:left="0"/>
        <w:rPr>
          <w:rFonts w:ascii="Verdana" w:hAnsi="Verdana"/>
          <w:color w:val="000000"/>
          <w:sz w:val="20"/>
          <w:szCs w:val="20"/>
          <w:shd w:val="clear" w:color="auto" w:fill="FFFFFF"/>
          <w:lang w:val="uk-UA"/>
        </w:rPr>
      </w:pPr>
      <w:r>
        <w:rPr>
          <w:rFonts w:ascii="Verdana" w:hAnsi="Verdana"/>
          <w:sz w:val="20"/>
          <w:szCs w:val="20"/>
        </w:rPr>
        <w:t>Abolina.</w:t>
      </w:r>
      <w:r>
        <w:rPr>
          <w:rFonts w:ascii="Verdana" w:hAnsi="Verdana"/>
          <w:color w:val="000000"/>
          <w:sz w:val="20"/>
          <w:szCs w:val="20"/>
          <w:lang w:val="uk-UA"/>
        </w:rPr>
        <w:t xml:space="preserve"> </w:t>
      </w:r>
      <w:r>
        <w:rPr>
          <w:rFonts w:ascii="Verdana" w:hAnsi="Verdana"/>
          <w:color w:val="000000"/>
          <w:sz w:val="20"/>
          <w:szCs w:val="20"/>
        </w:rPr>
        <w:t>T</w:t>
      </w:r>
      <w:r>
        <w:rPr>
          <w:rFonts w:ascii="Verdana" w:hAnsi="Verdana"/>
          <w:color w:val="000000"/>
          <w:sz w:val="20"/>
          <w:szCs w:val="20"/>
          <w:lang w:val="uk-UA"/>
        </w:rPr>
        <w:t>.</w:t>
      </w:r>
      <w:r>
        <w:rPr>
          <w:rFonts w:ascii="Verdana" w:hAnsi="Verdana"/>
          <w:color w:val="000000"/>
          <w:sz w:val="20"/>
          <w:szCs w:val="20"/>
        </w:rPr>
        <w:t>G</w:t>
      </w:r>
      <w:r>
        <w:rPr>
          <w:rFonts w:ascii="Verdana" w:hAnsi="Verdana"/>
          <w:color w:val="000000"/>
          <w:sz w:val="20"/>
          <w:szCs w:val="20"/>
          <w:lang w:val="uk-UA"/>
        </w:rPr>
        <w:t>.</w:t>
      </w:r>
      <w:r>
        <w:rPr>
          <w:rFonts w:ascii="Verdana" w:hAnsi="Verdana"/>
          <w:color w:val="000000"/>
          <w:sz w:val="20"/>
          <w:szCs w:val="20"/>
        </w:rPr>
        <w:t>, eds. (2012).</w:t>
      </w:r>
      <w:r>
        <w:rPr>
          <w:rFonts w:ascii="Verdana" w:hAnsi="Verdana"/>
          <w:color w:val="000000"/>
          <w:sz w:val="20"/>
          <w:szCs w:val="20"/>
          <w:lang w:val="uk-UA"/>
        </w:rPr>
        <w:t xml:space="preserve"> Applied ethics</w:t>
      </w:r>
      <w:r>
        <w:rPr>
          <w:rFonts w:ascii="Verdana" w:hAnsi="Verdana"/>
          <w:color w:val="000000"/>
          <w:sz w:val="20"/>
          <w:szCs w:val="20"/>
        </w:rPr>
        <w:t xml:space="preserve"> (in Ukrainian)</w:t>
      </w:r>
      <w:r>
        <w:rPr>
          <w:rFonts w:ascii="Verdana" w:hAnsi="Verdana"/>
          <w:color w:val="000000"/>
          <w:sz w:val="20"/>
          <w:szCs w:val="20"/>
          <w:lang w:val="uk-UA"/>
        </w:rPr>
        <w:t>.</w:t>
      </w:r>
      <w:r>
        <w:rPr>
          <w:rFonts w:ascii="Verdana" w:hAnsi="Verdana"/>
          <w:color w:val="000000"/>
          <w:sz w:val="20"/>
          <w:szCs w:val="20"/>
        </w:rPr>
        <w:t xml:space="preserve"> Kiyiv</w:t>
      </w:r>
      <w:r>
        <w:rPr>
          <w:rFonts w:ascii="Verdana" w:hAnsi="Verdana"/>
          <w:color w:val="000000"/>
          <w:sz w:val="20"/>
          <w:szCs w:val="20"/>
          <w:lang w:val="uk-UA"/>
        </w:rPr>
        <w:t xml:space="preserve">: Center for Educational Literature. </w:t>
      </w:r>
      <w:r>
        <w:rPr>
          <w:rFonts w:ascii="Verdana" w:hAnsi="Verdana"/>
          <w:color w:val="000000"/>
          <w:sz w:val="20"/>
          <w:szCs w:val="20"/>
          <w:shd w:val="clear" w:color="auto" w:fill="FFFFFF"/>
          <w:lang w:val="uk-UA"/>
        </w:rPr>
        <w:t xml:space="preserve"> </w:t>
      </w:r>
    </w:p>
    <w:p w:rsidR="005C3F63" w:rsidRDefault="006536E7">
      <w:pPr>
        <w:pStyle w:val="afd"/>
        <w:ind w:left="0"/>
        <w:rPr>
          <w:rFonts w:ascii="Verdana" w:hAnsi="Verdana"/>
          <w:color w:val="000000"/>
          <w:sz w:val="20"/>
          <w:szCs w:val="20"/>
          <w:shd w:val="clear" w:color="auto" w:fill="FFFFFF"/>
          <w:lang w:val="uk-UA"/>
        </w:rPr>
      </w:pPr>
      <w:r>
        <w:rPr>
          <w:rStyle w:val="afa"/>
          <w:rFonts w:ascii="Verdana" w:hAnsi="Verdana" w:cs="Segoe UI"/>
          <w:b w:val="0"/>
          <w:sz w:val="20"/>
          <w:szCs w:val="20"/>
          <w:shd w:val="clear" w:color="auto" w:fill="FFFFFF"/>
        </w:rPr>
        <w:t>Chyzhevska</w:t>
      </w:r>
      <w:r>
        <w:rPr>
          <w:rStyle w:val="afa"/>
          <w:rFonts w:ascii="Verdana" w:hAnsi="Verdana" w:cs="Segoe UI"/>
          <w:b w:val="0"/>
          <w:sz w:val="20"/>
          <w:szCs w:val="20"/>
          <w:shd w:val="clear" w:color="auto" w:fill="FFFFFF"/>
          <w:lang w:val="uk-UA"/>
        </w:rPr>
        <w:t xml:space="preserve">, </w:t>
      </w:r>
      <w:r>
        <w:rPr>
          <w:rStyle w:val="afa"/>
          <w:rFonts w:ascii="Verdana" w:hAnsi="Verdana" w:cs="Segoe UI"/>
          <w:b w:val="0"/>
          <w:sz w:val="20"/>
          <w:szCs w:val="20"/>
          <w:shd w:val="clear" w:color="auto" w:fill="FFFFFF"/>
        </w:rPr>
        <w:t>Lyudmyla</w:t>
      </w:r>
      <w:r>
        <w:rPr>
          <w:rStyle w:val="afa"/>
          <w:rFonts w:ascii="Verdana" w:hAnsi="Verdana" w:cs="Segoe UI"/>
          <w:b w:val="0"/>
          <w:sz w:val="20"/>
          <w:szCs w:val="20"/>
          <w:shd w:val="clear" w:color="auto" w:fill="FFFFFF"/>
          <w:lang w:val="uk-UA"/>
        </w:rPr>
        <w:t xml:space="preserve">, </w:t>
      </w:r>
      <w:r>
        <w:rPr>
          <w:rStyle w:val="afa"/>
          <w:rFonts w:ascii="Verdana" w:hAnsi="Verdana" w:cs="Segoe UI"/>
          <w:b w:val="0"/>
          <w:sz w:val="20"/>
          <w:szCs w:val="20"/>
          <w:shd w:val="clear" w:color="auto" w:fill="FFFFFF"/>
        </w:rPr>
        <w:t>Romanenko</w:t>
      </w:r>
      <w:r>
        <w:rPr>
          <w:rStyle w:val="afa"/>
          <w:rFonts w:ascii="Verdana" w:hAnsi="Verdana" w:cs="Segoe UI"/>
          <w:b w:val="0"/>
          <w:sz w:val="20"/>
          <w:szCs w:val="20"/>
          <w:shd w:val="clear" w:color="auto" w:fill="FFFFFF"/>
          <w:lang w:val="uk-UA"/>
        </w:rPr>
        <w:t xml:space="preserve">, </w:t>
      </w:r>
      <w:r>
        <w:rPr>
          <w:rStyle w:val="afa"/>
          <w:rFonts w:ascii="Verdana" w:hAnsi="Verdana" w:cs="Segoe UI"/>
          <w:b w:val="0"/>
          <w:sz w:val="20"/>
          <w:szCs w:val="20"/>
          <w:shd w:val="clear" w:color="auto" w:fill="FFFFFF"/>
        </w:rPr>
        <w:t>Svetlana</w:t>
      </w:r>
      <w:r>
        <w:rPr>
          <w:rStyle w:val="afa"/>
          <w:rFonts w:ascii="Verdana" w:hAnsi="Verdana" w:cs="Segoe UI"/>
          <w:b w:val="0"/>
          <w:sz w:val="20"/>
          <w:szCs w:val="20"/>
          <w:shd w:val="clear" w:color="auto" w:fill="FFFFFF"/>
          <w:lang w:val="uk-UA"/>
        </w:rPr>
        <w:t xml:space="preserve">, </w:t>
      </w:r>
      <w:r>
        <w:rPr>
          <w:rStyle w:val="afa"/>
          <w:rFonts w:ascii="Verdana" w:hAnsi="Verdana" w:cs="Segoe UI"/>
          <w:b w:val="0"/>
          <w:sz w:val="20"/>
          <w:szCs w:val="20"/>
          <w:shd w:val="clear" w:color="auto" w:fill="FFFFFF"/>
        </w:rPr>
        <w:t>Timrienko</w:t>
      </w:r>
      <w:r>
        <w:rPr>
          <w:rStyle w:val="afa"/>
          <w:rFonts w:ascii="Verdana" w:hAnsi="Verdana" w:cs="Segoe UI"/>
          <w:b w:val="0"/>
          <w:sz w:val="20"/>
          <w:szCs w:val="20"/>
          <w:shd w:val="clear" w:color="auto" w:fill="FFFFFF"/>
          <w:lang w:val="uk-UA"/>
        </w:rPr>
        <w:t xml:space="preserve">, </w:t>
      </w:r>
      <w:r>
        <w:rPr>
          <w:rStyle w:val="afa"/>
          <w:rFonts w:ascii="Verdana" w:hAnsi="Verdana" w:cs="Segoe UI"/>
          <w:b w:val="0"/>
          <w:sz w:val="20"/>
          <w:szCs w:val="20"/>
          <w:shd w:val="clear" w:color="auto" w:fill="FFFFFF"/>
        </w:rPr>
        <w:t>Irina</w:t>
      </w:r>
      <w:r>
        <w:rPr>
          <w:rStyle w:val="afa"/>
          <w:rFonts w:ascii="Verdana" w:hAnsi="Verdana" w:cs="Segoe UI"/>
          <w:b w:val="0"/>
          <w:sz w:val="20"/>
          <w:szCs w:val="20"/>
          <w:shd w:val="clear" w:color="auto" w:fill="FFFFFF"/>
          <w:lang w:val="uk-UA"/>
        </w:rPr>
        <w:t xml:space="preserve">, </w:t>
      </w:r>
      <w:r>
        <w:rPr>
          <w:rStyle w:val="afa"/>
          <w:rFonts w:ascii="Verdana" w:hAnsi="Verdana" w:cs="Segoe UI"/>
          <w:b w:val="0"/>
          <w:sz w:val="20"/>
          <w:szCs w:val="20"/>
          <w:shd w:val="clear" w:color="auto" w:fill="FFFFFF"/>
        </w:rPr>
        <w:t>Zatoka</w:t>
      </w:r>
      <w:r>
        <w:rPr>
          <w:rStyle w:val="afa"/>
          <w:rFonts w:ascii="Verdana" w:hAnsi="Verdana" w:cs="Segoe UI"/>
          <w:b w:val="0"/>
          <w:sz w:val="20"/>
          <w:szCs w:val="20"/>
          <w:shd w:val="clear" w:color="auto" w:fill="FFFFFF"/>
          <w:lang w:val="uk-UA"/>
        </w:rPr>
        <w:t xml:space="preserve">, </w:t>
      </w:r>
      <w:r>
        <w:rPr>
          <w:rStyle w:val="afa"/>
          <w:rFonts w:ascii="Verdana" w:hAnsi="Verdana" w:cs="Segoe UI"/>
          <w:b w:val="0"/>
          <w:sz w:val="20"/>
          <w:szCs w:val="20"/>
          <w:shd w:val="clear" w:color="auto" w:fill="FFFFFF"/>
        </w:rPr>
        <w:t>Tetiana</w:t>
      </w:r>
      <w:r>
        <w:rPr>
          <w:rStyle w:val="afa"/>
          <w:rFonts w:ascii="Verdana" w:hAnsi="Verdana" w:cs="Segoe UI"/>
          <w:b w:val="0"/>
          <w:sz w:val="20"/>
          <w:szCs w:val="20"/>
          <w:shd w:val="clear" w:color="auto" w:fill="FFFFFF"/>
          <w:lang w:val="uk-UA"/>
        </w:rPr>
        <w:t xml:space="preserve"> (2020). </w:t>
      </w:r>
      <w:r>
        <w:rPr>
          <w:rFonts w:ascii="Verdana" w:hAnsi="Verdana" w:cs="Segoe UI"/>
          <w:kern w:val="36"/>
          <w:sz w:val="20"/>
          <w:szCs w:val="20"/>
          <w:lang w:eastAsia="ru-RU"/>
        </w:rPr>
        <w:t xml:space="preserve">Taxation of Non-Profit Religious Organizations in Ukraine. </w:t>
      </w:r>
      <w:r>
        <w:rPr>
          <w:rFonts w:ascii="Verdana" w:hAnsi="Verdana" w:cs="Segoe UI"/>
          <w:i/>
          <w:sz w:val="20"/>
          <w:szCs w:val="20"/>
        </w:rPr>
        <w:t xml:space="preserve">Academy of Accounting and Financial Studies Journal </w:t>
      </w:r>
      <w:r>
        <w:rPr>
          <w:rFonts w:ascii="Verdana" w:hAnsi="Verdana" w:cs="Segoe UI"/>
          <w:i/>
          <w:sz w:val="20"/>
          <w:szCs w:val="20"/>
          <w:shd w:val="clear" w:color="auto" w:fill="FFFFFF"/>
        </w:rPr>
        <w:t xml:space="preserve">Research. </w:t>
      </w:r>
      <w:r>
        <w:rPr>
          <w:rFonts w:ascii="Verdana" w:hAnsi="Verdana" w:cs="Segoe UI"/>
          <w:sz w:val="20"/>
          <w:szCs w:val="20"/>
          <w:shd w:val="clear" w:color="auto" w:fill="FFFFFF"/>
        </w:rPr>
        <w:t xml:space="preserve">Vol: 24. Issue:2. </w:t>
      </w:r>
      <w:r>
        <w:rPr>
          <w:rFonts w:ascii="Verdana" w:hAnsi="Verdana"/>
          <w:sz w:val="20"/>
          <w:szCs w:val="20"/>
        </w:rPr>
        <w:t>Retrieved from: https</w:t>
      </w:r>
      <w:r>
        <w:rPr>
          <w:rFonts w:ascii="Verdana" w:hAnsi="Verdana"/>
          <w:sz w:val="20"/>
          <w:szCs w:val="20"/>
          <w:lang w:val="uk-UA"/>
        </w:rPr>
        <w:t>://</w:t>
      </w:r>
      <w:r>
        <w:rPr>
          <w:rFonts w:ascii="Verdana" w:hAnsi="Verdana"/>
          <w:sz w:val="20"/>
          <w:szCs w:val="20"/>
        </w:rPr>
        <w:t>www</w:t>
      </w:r>
      <w:r>
        <w:rPr>
          <w:rFonts w:ascii="Verdana" w:hAnsi="Verdana"/>
          <w:sz w:val="20"/>
          <w:szCs w:val="20"/>
          <w:lang w:val="uk-UA"/>
        </w:rPr>
        <w:t>.</w:t>
      </w:r>
      <w:r>
        <w:rPr>
          <w:rFonts w:ascii="Verdana" w:hAnsi="Verdana"/>
          <w:sz w:val="20"/>
          <w:szCs w:val="20"/>
        </w:rPr>
        <w:t>abacademies</w:t>
      </w:r>
      <w:r>
        <w:rPr>
          <w:rFonts w:ascii="Verdana" w:hAnsi="Verdana"/>
          <w:sz w:val="20"/>
          <w:szCs w:val="20"/>
          <w:lang w:val="uk-UA"/>
        </w:rPr>
        <w:t>.</w:t>
      </w:r>
      <w:r>
        <w:rPr>
          <w:rFonts w:ascii="Verdana" w:hAnsi="Verdana"/>
          <w:sz w:val="20"/>
          <w:szCs w:val="20"/>
        </w:rPr>
        <w:t>org</w:t>
      </w:r>
      <w:r>
        <w:rPr>
          <w:rFonts w:ascii="Verdana" w:hAnsi="Verdana"/>
          <w:sz w:val="20"/>
          <w:szCs w:val="20"/>
          <w:lang w:val="uk-UA"/>
        </w:rPr>
        <w:t>/</w:t>
      </w:r>
      <w:r>
        <w:rPr>
          <w:rFonts w:ascii="Verdana" w:hAnsi="Verdana"/>
          <w:sz w:val="20"/>
          <w:szCs w:val="20"/>
        </w:rPr>
        <w:t>articles</w:t>
      </w:r>
      <w:r>
        <w:rPr>
          <w:rFonts w:ascii="Verdana" w:hAnsi="Verdana"/>
          <w:sz w:val="20"/>
          <w:szCs w:val="20"/>
          <w:lang w:val="uk-UA"/>
        </w:rPr>
        <w:t>/</w:t>
      </w:r>
      <w:r>
        <w:rPr>
          <w:rFonts w:ascii="Verdana" w:hAnsi="Verdana"/>
          <w:sz w:val="20"/>
          <w:szCs w:val="20"/>
        </w:rPr>
        <w:t>taxation</w:t>
      </w:r>
      <w:r>
        <w:rPr>
          <w:rFonts w:ascii="Verdana" w:hAnsi="Verdana"/>
          <w:sz w:val="20"/>
          <w:szCs w:val="20"/>
          <w:lang w:val="uk-UA"/>
        </w:rPr>
        <w:t>-</w:t>
      </w:r>
      <w:r>
        <w:rPr>
          <w:rFonts w:ascii="Verdana" w:hAnsi="Verdana"/>
          <w:sz w:val="20"/>
          <w:szCs w:val="20"/>
        </w:rPr>
        <w:t>of</w:t>
      </w:r>
      <w:r>
        <w:rPr>
          <w:rFonts w:ascii="Verdana" w:hAnsi="Verdana"/>
          <w:sz w:val="20"/>
          <w:szCs w:val="20"/>
          <w:lang w:val="uk-UA"/>
        </w:rPr>
        <w:t>-</w:t>
      </w:r>
      <w:r>
        <w:rPr>
          <w:rFonts w:ascii="Verdana" w:hAnsi="Verdana"/>
          <w:sz w:val="20"/>
          <w:szCs w:val="20"/>
        </w:rPr>
        <w:t>nonprofit</w:t>
      </w:r>
      <w:r>
        <w:rPr>
          <w:rFonts w:ascii="Verdana" w:hAnsi="Verdana"/>
          <w:sz w:val="20"/>
          <w:szCs w:val="20"/>
          <w:lang w:val="uk-UA"/>
        </w:rPr>
        <w:t>-</w:t>
      </w:r>
      <w:r>
        <w:rPr>
          <w:rFonts w:ascii="Verdana" w:hAnsi="Verdana"/>
          <w:sz w:val="20"/>
          <w:szCs w:val="20"/>
        </w:rPr>
        <w:t>religious</w:t>
      </w:r>
      <w:r>
        <w:rPr>
          <w:rFonts w:ascii="Verdana" w:hAnsi="Verdana"/>
          <w:sz w:val="20"/>
          <w:szCs w:val="20"/>
          <w:lang w:val="uk-UA"/>
        </w:rPr>
        <w:t>-</w:t>
      </w:r>
      <w:r>
        <w:rPr>
          <w:rFonts w:ascii="Verdana" w:hAnsi="Verdana"/>
          <w:sz w:val="20"/>
          <w:szCs w:val="20"/>
        </w:rPr>
        <w:t>organizations</w:t>
      </w:r>
      <w:r>
        <w:rPr>
          <w:rFonts w:ascii="Verdana" w:hAnsi="Verdana"/>
          <w:sz w:val="20"/>
          <w:szCs w:val="20"/>
          <w:lang w:val="uk-UA"/>
        </w:rPr>
        <w:t>-</w:t>
      </w:r>
      <w:r>
        <w:rPr>
          <w:rFonts w:ascii="Verdana" w:hAnsi="Verdana"/>
          <w:sz w:val="20"/>
          <w:szCs w:val="20"/>
        </w:rPr>
        <w:t>in</w:t>
      </w:r>
      <w:r>
        <w:rPr>
          <w:rFonts w:ascii="Verdana" w:hAnsi="Verdana"/>
          <w:sz w:val="20"/>
          <w:szCs w:val="20"/>
          <w:lang w:val="uk-UA"/>
        </w:rPr>
        <w:t>-</w:t>
      </w:r>
      <w:r>
        <w:rPr>
          <w:rFonts w:ascii="Verdana" w:hAnsi="Verdana"/>
          <w:sz w:val="20"/>
          <w:szCs w:val="20"/>
        </w:rPr>
        <w:t>ukraine</w:t>
      </w:r>
      <w:r>
        <w:rPr>
          <w:rFonts w:ascii="Verdana" w:hAnsi="Verdana"/>
          <w:sz w:val="20"/>
          <w:szCs w:val="20"/>
          <w:lang w:val="uk-UA"/>
        </w:rPr>
        <w:t>-9210.</w:t>
      </w:r>
      <w:r>
        <w:rPr>
          <w:rFonts w:ascii="Verdana" w:hAnsi="Verdana"/>
          <w:sz w:val="20"/>
          <w:szCs w:val="20"/>
        </w:rPr>
        <w:t>html</w:t>
      </w:r>
    </w:p>
    <w:p w:rsidR="005C3F63" w:rsidRDefault="006536E7">
      <w:pPr>
        <w:pStyle w:val="afd"/>
        <w:ind w:left="0"/>
        <w:rPr>
          <w:rFonts w:ascii="Verdana" w:hAnsi="Verdana"/>
          <w:color w:val="000000"/>
          <w:sz w:val="20"/>
          <w:szCs w:val="20"/>
          <w:lang w:val="uk-UA"/>
        </w:rPr>
      </w:pPr>
      <w:r>
        <w:rPr>
          <w:rFonts w:ascii="Verdana" w:hAnsi="Verdana"/>
          <w:color w:val="000000"/>
          <w:sz w:val="20"/>
          <w:szCs w:val="20"/>
          <w:lang w:val="uk-UA"/>
        </w:rPr>
        <w:t>Didar</w:t>
      </w:r>
      <w:r>
        <w:rPr>
          <w:rFonts w:ascii="Verdana" w:hAnsi="Verdana"/>
          <w:color w:val="000000"/>
          <w:sz w:val="20"/>
          <w:szCs w:val="20"/>
        </w:rPr>
        <w:t>,</w:t>
      </w:r>
      <w:r>
        <w:rPr>
          <w:rFonts w:ascii="Verdana" w:hAnsi="Verdana"/>
          <w:color w:val="000000"/>
          <w:sz w:val="20"/>
          <w:szCs w:val="20"/>
          <w:lang w:val="uk-UA"/>
        </w:rPr>
        <w:t xml:space="preserve"> Ahmad Fahim</w:t>
      </w:r>
      <w:r>
        <w:rPr>
          <w:rFonts w:ascii="Verdana" w:hAnsi="Verdana"/>
          <w:color w:val="000000"/>
          <w:sz w:val="20"/>
          <w:szCs w:val="20"/>
        </w:rPr>
        <w:t xml:space="preserve"> (2019).</w:t>
      </w:r>
      <w:r>
        <w:rPr>
          <w:rFonts w:ascii="Verdana" w:hAnsi="Verdana"/>
          <w:color w:val="000000"/>
          <w:sz w:val="20"/>
          <w:szCs w:val="20"/>
          <w:lang w:val="uk-UA"/>
        </w:rPr>
        <w:t xml:space="preserve"> Entrepreneurship, A Triangle of Values! </w:t>
      </w:r>
      <w:r>
        <w:rPr>
          <w:rFonts w:ascii="Verdana" w:hAnsi="Verdana"/>
          <w:color w:val="000000"/>
          <w:sz w:val="20"/>
          <w:szCs w:val="20"/>
        </w:rPr>
        <w:t>Retrieved from: h</w:t>
      </w:r>
      <w:r>
        <w:rPr>
          <w:rFonts w:ascii="Verdana" w:hAnsi="Verdana"/>
          <w:color w:val="000000"/>
          <w:sz w:val="20"/>
          <w:szCs w:val="20"/>
          <w:lang w:val="uk-UA"/>
        </w:rPr>
        <w:t>ttps://www.startupgrind.com/blog/entrepreneurship-a-triangle-of-values-1/</w:t>
      </w:r>
    </w:p>
    <w:p w:rsidR="005C3F63" w:rsidRDefault="006536E7">
      <w:pPr>
        <w:pStyle w:val="afd"/>
        <w:ind w:left="0"/>
        <w:rPr>
          <w:rFonts w:ascii="Verdana" w:hAnsi="Verdana"/>
          <w:color w:val="000000"/>
          <w:sz w:val="20"/>
          <w:szCs w:val="20"/>
          <w:shd w:val="clear" w:color="auto" w:fill="FFFFFF"/>
          <w:lang w:val="uk-UA"/>
        </w:rPr>
      </w:pPr>
      <w:r>
        <w:rPr>
          <w:rFonts w:ascii="Verdana" w:hAnsi="Verdana"/>
          <w:color w:val="000000"/>
          <w:sz w:val="20"/>
          <w:szCs w:val="20"/>
          <w:shd w:val="clear" w:color="auto" w:fill="FFFFFF"/>
          <w:lang w:val="uk-UA"/>
        </w:rPr>
        <w:t>Genesis 2, 5-6.15</w:t>
      </w:r>
      <w:r>
        <w:rPr>
          <w:rFonts w:ascii="Verdana" w:hAnsi="Verdana"/>
          <w:color w:val="000000"/>
          <w:sz w:val="20"/>
          <w:szCs w:val="20"/>
          <w:shd w:val="clear" w:color="auto" w:fill="FFFFFF"/>
        </w:rPr>
        <w:t xml:space="preserve"> (in Ukrainian)</w:t>
      </w:r>
    </w:p>
    <w:p w:rsidR="005C3F63" w:rsidRDefault="006536E7">
      <w:pPr>
        <w:pStyle w:val="afd"/>
        <w:ind w:left="0"/>
        <w:rPr>
          <w:rFonts w:ascii="Verdana" w:hAnsi="Verdana"/>
          <w:color w:val="000000"/>
          <w:sz w:val="20"/>
          <w:szCs w:val="20"/>
        </w:rPr>
      </w:pPr>
      <w:r>
        <w:rPr>
          <w:rFonts w:ascii="Verdana" w:hAnsi="Verdana"/>
          <w:color w:val="000000"/>
          <w:sz w:val="20"/>
          <w:szCs w:val="20"/>
        </w:rPr>
        <w:t>Human</w:t>
      </w:r>
      <w:r>
        <w:rPr>
          <w:rFonts w:ascii="Verdana" w:hAnsi="Verdana"/>
          <w:color w:val="000000"/>
          <w:sz w:val="20"/>
          <w:szCs w:val="20"/>
          <w:lang w:val="uk-UA"/>
        </w:rPr>
        <w:t xml:space="preserve"> </w:t>
      </w:r>
      <w:r>
        <w:rPr>
          <w:rFonts w:ascii="Verdana" w:hAnsi="Verdana"/>
          <w:color w:val="000000"/>
          <w:sz w:val="20"/>
          <w:szCs w:val="20"/>
        </w:rPr>
        <w:t>Capital</w:t>
      </w:r>
      <w:r>
        <w:rPr>
          <w:rFonts w:ascii="Verdana" w:hAnsi="Verdana"/>
          <w:color w:val="000000"/>
          <w:sz w:val="20"/>
          <w:szCs w:val="20"/>
          <w:lang w:val="uk-UA"/>
        </w:rPr>
        <w:t xml:space="preserve"> </w:t>
      </w:r>
      <w:r>
        <w:rPr>
          <w:rFonts w:ascii="Verdana" w:hAnsi="Verdana"/>
          <w:color w:val="000000"/>
          <w:sz w:val="20"/>
          <w:szCs w:val="20"/>
        </w:rPr>
        <w:t>Project</w:t>
      </w:r>
      <w:r>
        <w:rPr>
          <w:rFonts w:ascii="Verdana" w:hAnsi="Verdana"/>
          <w:color w:val="000000"/>
          <w:sz w:val="20"/>
          <w:szCs w:val="20"/>
          <w:lang w:val="uk-UA"/>
        </w:rPr>
        <w:t xml:space="preserve">. </w:t>
      </w:r>
      <w:r>
        <w:rPr>
          <w:rFonts w:ascii="Verdana" w:hAnsi="Verdana"/>
          <w:color w:val="000000"/>
          <w:sz w:val="20"/>
          <w:szCs w:val="20"/>
          <w:lang w:val="cs-CZ"/>
        </w:rPr>
        <w:t>Retrieved from:</w:t>
      </w:r>
      <w:r>
        <w:rPr>
          <w:rFonts w:ascii="Verdana" w:hAnsi="Verdana"/>
          <w:color w:val="000000"/>
          <w:sz w:val="20"/>
          <w:szCs w:val="20"/>
          <w:lang w:val="uk-UA"/>
        </w:rPr>
        <w:t xml:space="preserve"> </w:t>
      </w:r>
      <w:r>
        <w:rPr>
          <w:rFonts w:ascii="Verdana" w:hAnsi="Verdana"/>
          <w:color w:val="000000"/>
          <w:sz w:val="20"/>
          <w:szCs w:val="20"/>
        </w:rPr>
        <w:t>https</w:t>
      </w:r>
      <w:r>
        <w:rPr>
          <w:rFonts w:ascii="Verdana" w:hAnsi="Verdana"/>
          <w:color w:val="000000"/>
          <w:sz w:val="20"/>
          <w:szCs w:val="20"/>
          <w:lang w:val="uk-UA"/>
        </w:rPr>
        <w:t>://</w:t>
      </w:r>
      <w:r>
        <w:rPr>
          <w:rFonts w:ascii="Verdana" w:hAnsi="Verdana"/>
          <w:color w:val="000000"/>
          <w:sz w:val="20"/>
          <w:szCs w:val="20"/>
        </w:rPr>
        <w:t>openknowledge</w:t>
      </w:r>
      <w:r>
        <w:rPr>
          <w:rFonts w:ascii="Verdana" w:hAnsi="Verdana"/>
          <w:color w:val="000000"/>
          <w:sz w:val="20"/>
          <w:szCs w:val="20"/>
          <w:lang w:val="uk-UA"/>
        </w:rPr>
        <w:t>.</w:t>
      </w:r>
      <w:r>
        <w:rPr>
          <w:rFonts w:ascii="Verdana" w:hAnsi="Verdana"/>
          <w:color w:val="000000"/>
          <w:sz w:val="20"/>
          <w:szCs w:val="20"/>
        </w:rPr>
        <w:t>worldbank</w:t>
      </w:r>
      <w:r>
        <w:rPr>
          <w:rFonts w:ascii="Verdana" w:hAnsi="Verdana"/>
          <w:color w:val="000000"/>
          <w:sz w:val="20"/>
          <w:szCs w:val="20"/>
          <w:lang w:val="uk-UA"/>
        </w:rPr>
        <w:t>.</w:t>
      </w:r>
      <w:r>
        <w:rPr>
          <w:rFonts w:ascii="Verdana" w:hAnsi="Verdana"/>
          <w:color w:val="000000"/>
          <w:sz w:val="20"/>
          <w:szCs w:val="20"/>
        </w:rPr>
        <w:t>org</w:t>
      </w:r>
      <w:r>
        <w:rPr>
          <w:rFonts w:ascii="Verdana" w:hAnsi="Verdana"/>
          <w:color w:val="000000"/>
          <w:sz w:val="20"/>
          <w:szCs w:val="20"/>
          <w:lang w:val="uk-UA"/>
        </w:rPr>
        <w:t>/</w:t>
      </w:r>
      <w:r>
        <w:rPr>
          <w:rFonts w:ascii="Verdana" w:hAnsi="Verdana"/>
          <w:color w:val="000000"/>
          <w:sz w:val="20"/>
          <w:szCs w:val="20"/>
        </w:rPr>
        <w:t>bitstream</w:t>
      </w:r>
      <w:r>
        <w:rPr>
          <w:rFonts w:ascii="Verdana" w:hAnsi="Verdana"/>
          <w:color w:val="000000"/>
          <w:sz w:val="20"/>
          <w:szCs w:val="20"/>
          <w:lang w:val="uk-UA"/>
        </w:rPr>
        <w:t>/</w:t>
      </w:r>
      <w:r>
        <w:rPr>
          <w:rFonts w:ascii="Verdana" w:hAnsi="Verdana"/>
          <w:color w:val="000000"/>
          <w:sz w:val="20"/>
          <w:szCs w:val="20"/>
        </w:rPr>
        <w:t>handle</w:t>
      </w:r>
      <w:r>
        <w:rPr>
          <w:rFonts w:ascii="Verdana" w:hAnsi="Verdana"/>
          <w:color w:val="000000"/>
          <w:sz w:val="20"/>
          <w:szCs w:val="20"/>
          <w:lang w:val="uk-UA"/>
        </w:rPr>
        <w:t>/10986/30498/33324</w:t>
      </w:r>
      <w:r>
        <w:rPr>
          <w:rFonts w:ascii="Verdana" w:hAnsi="Verdana"/>
          <w:color w:val="000000"/>
          <w:sz w:val="20"/>
          <w:szCs w:val="20"/>
        </w:rPr>
        <w:t>RU</w:t>
      </w:r>
      <w:r>
        <w:rPr>
          <w:rFonts w:ascii="Verdana" w:hAnsi="Verdana"/>
          <w:color w:val="000000"/>
          <w:sz w:val="20"/>
          <w:szCs w:val="20"/>
          <w:lang w:val="uk-UA"/>
        </w:rPr>
        <w:t>.</w:t>
      </w:r>
      <w:r>
        <w:rPr>
          <w:rFonts w:ascii="Verdana" w:hAnsi="Verdana"/>
          <w:color w:val="000000"/>
          <w:sz w:val="20"/>
          <w:szCs w:val="20"/>
        </w:rPr>
        <w:t>pdf</w:t>
      </w:r>
      <w:r>
        <w:rPr>
          <w:rFonts w:ascii="Verdana" w:hAnsi="Verdana"/>
          <w:color w:val="000000"/>
          <w:sz w:val="20"/>
          <w:szCs w:val="20"/>
          <w:lang w:val="uk-UA"/>
        </w:rPr>
        <w:t>?</w:t>
      </w:r>
      <w:r>
        <w:rPr>
          <w:rFonts w:ascii="Verdana" w:hAnsi="Verdana"/>
          <w:color w:val="000000"/>
          <w:sz w:val="20"/>
          <w:szCs w:val="20"/>
        </w:rPr>
        <w:t>Sequence</w:t>
      </w:r>
      <w:r>
        <w:rPr>
          <w:rFonts w:ascii="Verdana" w:hAnsi="Verdana"/>
          <w:color w:val="000000"/>
          <w:sz w:val="20"/>
          <w:szCs w:val="20"/>
          <w:lang w:val="uk-UA"/>
        </w:rPr>
        <w:t>=13&amp;</w:t>
      </w:r>
      <w:r>
        <w:rPr>
          <w:rFonts w:ascii="Verdana" w:hAnsi="Verdana"/>
          <w:color w:val="000000"/>
          <w:sz w:val="20"/>
          <w:szCs w:val="20"/>
        </w:rPr>
        <w:t>isallowed</w:t>
      </w:r>
      <w:r>
        <w:rPr>
          <w:rFonts w:ascii="Verdana" w:hAnsi="Verdana"/>
          <w:color w:val="000000"/>
          <w:sz w:val="20"/>
          <w:szCs w:val="20"/>
          <w:lang w:val="uk-UA"/>
        </w:rPr>
        <w:t>=</w:t>
      </w:r>
      <w:r>
        <w:rPr>
          <w:rFonts w:ascii="Verdana" w:hAnsi="Verdana"/>
          <w:color w:val="000000"/>
          <w:sz w:val="20"/>
          <w:szCs w:val="20"/>
        </w:rPr>
        <w:t>y</w:t>
      </w:r>
    </w:p>
    <w:p w:rsidR="005C3F63" w:rsidRDefault="006536E7">
      <w:pPr>
        <w:pStyle w:val="afd"/>
        <w:ind w:left="0"/>
        <w:rPr>
          <w:rFonts w:ascii="Verdana" w:hAnsi="Verdana"/>
          <w:color w:val="000000"/>
          <w:sz w:val="20"/>
          <w:szCs w:val="20"/>
          <w:lang w:val="uk-UA"/>
        </w:rPr>
      </w:pPr>
      <w:r>
        <w:rPr>
          <w:rFonts w:ascii="Verdana" w:hAnsi="Verdana"/>
          <w:color w:val="000000"/>
          <w:sz w:val="20"/>
          <w:szCs w:val="20"/>
        </w:rPr>
        <w:t>Johnson, Todd M. and Grim, Brian J., eds.(2014, 2015, 2016, 2017, 2018). Yearbook-of-international-religious-demography 2014, 2015, 2016, 2017, 2018. Retrieved from: https://worldreligiondatabase.org/#contact</w:t>
      </w:r>
    </w:p>
    <w:p w:rsidR="005C3F63" w:rsidRDefault="006536E7">
      <w:pPr>
        <w:pStyle w:val="afd"/>
        <w:ind w:left="0"/>
        <w:rPr>
          <w:rFonts w:ascii="Verdana" w:hAnsi="Verdana"/>
          <w:color w:val="000000"/>
          <w:sz w:val="20"/>
          <w:szCs w:val="20"/>
          <w:lang w:val="uk-UA"/>
        </w:rPr>
      </w:pPr>
      <w:r>
        <w:rPr>
          <w:rFonts w:ascii="Verdana" w:hAnsi="Verdana"/>
          <w:sz w:val="20"/>
          <w:szCs w:val="20"/>
        </w:rPr>
        <w:t xml:space="preserve">Khaylova, </w:t>
      </w:r>
      <w:r>
        <w:rPr>
          <w:rFonts w:ascii="Verdana" w:hAnsi="Verdana"/>
          <w:color w:val="000000"/>
          <w:sz w:val="20"/>
          <w:szCs w:val="20"/>
        </w:rPr>
        <w:t xml:space="preserve">L. А. (2007) The concept of labor in Islam (In Russian). </w:t>
      </w:r>
      <w:r>
        <w:rPr>
          <w:rFonts w:ascii="Verdana" w:hAnsi="Verdana"/>
          <w:i/>
          <w:color w:val="000000"/>
          <w:sz w:val="20"/>
          <w:szCs w:val="20"/>
        </w:rPr>
        <w:t>Social and Human Sciences</w:t>
      </w:r>
      <w:r>
        <w:rPr>
          <w:rFonts w:ascii="Verdana" w:hAnsi="Verdana"/>
          <w:color w:val="000000"/>
          <w:sz w:val="20"/>
          <w:szCs w:val="20"/>
        </w:rPr>
        <w:t>. Retrieved from: https://cyberleninka.ru/article/n/kontseptsiya-truda-v-islame/viewer</w:t>
      </w:r>
    </w:p>
    <w:p w:rsidR="005C3F63" w:rsidRDefault="006536E7">
      <w:pPr>
        <w:pStyle w:val="afd"/>
        <w:ind w:left="0"/>
        <w:rPr>
          <w:rStyle w:val="afa"/>
          <w:rFonts w:ascii="Verdana" w:hAnsi="Verdana"/>
          <w:b w:val="0"/>
          <w:bCs w:val="0"/>
          <w:color w:val="000000"/>
          <w:sz w:val="20"/>
          <w:szCs w:val="20"/>
          <w:lang w:val="uk-UA"/>
        </w:rPr>
      </w:pPr>
      <w:r>
        <w:rPr>
          <w:rFonts w:ascii="Verdana" w:hAnsi="Verdana"/>
          <w:sz w:val="20"/>
          <w:szCs w:val="20"/>
          <w:lang w:val="sk-SK"/>
        </w:rPr>
        <w:t xml:space="preserve">Kubaščíková, Zuzana, Tumpach, Miloš, Juhászová, Zuzana, Turebekova, Bazhan, Saparbayeva, Saule (2019). Contextual Non-financial Information Analysis of Annual Reports. - Registrovaný vo: Web of Science. In European Financial Systems 2019. International Scientific Conference. </w:t>
      </w:r>
      <w:r>
        <w:rPr>
          <w:rFonts w:ascii="Verdana" w:hAnsi="Verdana"/>
          <w:i/>
          <w:iCs/>
          <w:sz w:val="20"/>
          <w:szCs w:val="20"/>
          <w:lang w:val="sk-SK"/>
        </w:rPr>
        <w:t>European Financial Systems 2019 : Proceedings of the 16th International Conference, June 24-25, 2019, Brno, Czech Republic</w:t>
      </w:r>
      <w:r>
        <w:rPr>
          <w:rFonts w:ascii="Verdana" w:hAnsi="Verdana"/>
          <w:sz w:val="20"/>
          <w:szCs w:val="20"/>
          <w:lang w:val="sk-SK"/>
        </w:rPr>
        <w:t>. - Brno : Masaryk University.</w:t>
      </w:r>
      <w:r>
        <w:rPr>
          <w:rStyle w:val="afa"/>
          <w:rFonts w:ascii="Verdana" w:hAnsi="Verdana"/>
          <w:b w:val="0"/>
          <w:color w:val="000000"/>
          <w:sz w:val="20"/>
          <w:szCs w:val="20"/>
          <w:shd w:val="clear" w:color="auto" w:fill="FFFFFF"/>
        </w:rPr>
        <w:t xml:space="preserve"> </w:t>
      </w:r>
    </w:p>
    <w:p w:rsidR="005C3F63" w:rsidRDefault="006536E7">
      <w:pPr>
        <w:pStyle w:val="afd"/>
        <w:ind w:left="0"/>
        <w:rPr>
          <w:rFonts w:ascii="Verdana" w:hAnsi="Verdana"/>
          <w:color w:val="000000"/>
          <w:sz w:val="20"/>
          <w:szCs w:val="20"/>
          <w:lang w:val="uk-UA"/>
        </w:rPr>
      </w:pPr>
      <w:r>
        <w:rPr>
          <w:rFonts w:ascii="Verdana" w:hAnsi="Verdana"/>
          <w:color w:val="000000"/>
          <w:sz w:val="20"/>
          <w:szCs w:val="20"/>
          <w:lang w:val="uk-UA"/>
        </w:rPr>
        <w:lastRenderedPageBreak/>
        <w:t>Majid</w:t>
      </w:r>
      <w:r>
        <w:rPr>
          <w:rFonts w:ascii="Verdana" w:hAnsi="Verdana"/>
          <w:color w:val="000000"/>
          <w:sz w:val="20"/>
          <w:szCs w:val="20"/>
        </w:rPr>
        <w:t>,</w:t>
      </w:r>
      <w:r>
        <w:rPr>
          <w:rFonts w:ascii="Verdana" w:hAnsi="Verdana"/>
          <w:color w:val="000000"/>
          <w:sz w:val="20"/>
          <w:szCs w:val="20"/>
          <w:lang w:val="uk-UA"/>
        </w:rPr>
        <w:t xml:space="preserve"> Abdul, Rasheed</w:t>
      </w:r>
      <w:r>
        <w:rPr>
          <w:rFonts w:ascii="Verdana" w:hAnsi="Verdana"/>
          <w:color w:val="000000"/>
          <w:sz w:val="20"/>
          <w:szCs w:val="20"/>
        </w:rPr>
        <w:t>,</w:t>
      </w:r>
      <w:r>
        <w:rPr>
          <w:rFonts w:ascii="Verdana" w:hAnsi="Verdana"/>
          <w:color w:val="000000"/>
          <w:sz w:val="20"/>
          <w:szCs w:val="20"/>
          <w:lang w:val="uk-UA"/>
        </w:rPr>
        <w:t xml:space="preserve"> Hafiz Abdul and Khalid</w:t>
      </w:r>
      <w:r>
        <w:rPr>
          <w:rFonts w:ascii="Verdana" w:hAnsi="Verdana"/>
          <w:color w:val="000000"/>
          <w:sz w:val="20"/>
          <w:szCs w:val="20"/>
        </w:rPr>
        <w:t>,</w:t>
      </w:r>
      <w:r>
        <w:rPr>
          <w:rFonts w:ascii="Verdana" w:hAnsi="Verdana"/>
          <w:color w:val="000000"/>
          <w:sz w:val="20"/>
          <w:szCs w:val="20"/>
          <w:lang w:val="uk-UA"/>
        </w:rPr>
        <w:t xml:space="preserve"> Irfan</w:t>
      </w:r>
      <w:r>
        <w:rPr>
          <w:rFonts w:ascii="Verdana" w:hAnsi="Verdana"/>
          <w:color w:val="000000"/>
          <w:sz w:val="20"/>
          <w:szCs w:val="20"/>
        </w:rPr>
        <w:t xml:space="preserve"> (2014).</w:t>
      </w:r>
      <w:r>
        <w:rPr>
          <w:rFonts w:ascii="Verdana" w:hAnsi="Verdana"/>
          <w:color w:val="000000"/>
          <w:sz w:val="20"/>
          <w:szCs w:val="20"/>
          <w:lang w:val="uk-UA"/>
        </w:rPr>
        <w:t xml:space="preserve"> Moral Values of Islamic Economy</w:t>
      </w:r>
      <w:r>
        <w:rPr>
          <w:rFonts w:ascii="Verdana" w:hAnsi="Verdana"/>
          <w:color w:val="000000"/>
          <w:sz w:val="20"/>
          <w:szCs w:val="20"/>
        </w:rPr>
        <w:t xml:space="preserve">. </w:t>
      </w:r>
      <w:r>
        <w:rPr>
          <w:rFonts w:ascii="Verdana" w:hAnsi="Verdana"/>
          <w:i/>
          <w:color w:val="000000"/>
          <w:sz w:val="20"/>
          <w:szCs w:val="20"/>
          <w:lang w:val="uk-UA"/>
        </w:rPr>
        <w:t>Middle-East Journal of Scientific Research</w:t>
      </w:r>
      <w:r>
        <w:rPr>
          <w:rFonts w:ascii="Verdana" w:hAnsi="Verdana"/>
          <w:i/>
          <w:color w:val="000000"/>
          <w:sz w:val="20"/>
          <w:szCs w:val="20"/>
        </w:rPr>
        <w:t>.</w:t>
      </w:r>
      <w:r>
        <w:rPr>
          <w:rFonts w:ascii="Verdana" w:hAnsi="Verdana"/>
          <w:color w:val="000000"/>
          <w:sz w:val="20"/>
          <w:szCs w:val="20"/>
          <w:lang w:val="uk-UA"/>
        </w:rPr>
        <w:t xml:space="preserve"> </w:t>
      </w:r>
      <w:r>
        <w:rPr>
          <w:rFonts w:ascii="Verdana" w:hAnsi="Verdana"/>
          <w:color w:val="000000"/>
          <w:sz w:val="20"/>
          <w:szCs w:val="20"/>
        </w:rPr>
        <w:t xml:space="preserve">Issue </w:t>
      </w:r>
      <w:r>
        <w:rPr>
          <w:rFonts w:ascii="Verdana" w:hAnsi="Verdana"/>
          <w:color w:val="000000"/>
          <w:sz w:val="20"/>
          <w:szCs w:val="20"/>
          <w:lang w:val="uk-UA"/>
        </w:rPr>
        <w:t xml:space="preserve">22 (5): </w:t>
      </w:r>
      <w:r>
        <w:rPr>
          <w:rFonts w:ascii="Verdana" w:hAnsi="Verdana"/>
          <w:color w:val="000000"/>
          <w:sz w:val="20"/>
          <w:szCs w:val="20"/>
        </w:rPr>
        <w:t xml:space="preserve">pp. </w:t>
      </w:r>
      <w:r>
        <w:rPr>
          <w:rFonts w:ascii="Verdana" w:hAnsi="Verdana"/>
          <w:color w:val="000000"/>
          <w:sz w:val="20"/>
          <w:szCs w:val="20"/>
          <w:lang w:val="uk-UA"/>
        </w:rPr>
        <w:t>752-756</w:t>
      </w:r>
      <w:r>
        <w:rPr>
          <w:rFonts w:ascii="Verdana" w:hAnsi="Verdana"/>
          <w:color w:val="000000"/>
          <w:sz w:val="20"/>
          <w:szCs w:val="20"/>
        </w:rPr>
        <w:t xml:space="preserve">. </w:t>
      </w:r>
    </w:p>
    <w:p w:rsidR="005C3F63" w:rsidRDefault="006536E7">
      <w:pPr>
        <w:pStyle w:val="afd"/>
        <w:ind w:left="0"/>
        <w:rPr>
          <w:rFonts w:ascii="Verdana" w:hAnsi="Verdana"/>
          <w:color w:val="000000"/>
          <w:sz w:val="20"/>
          <w:szCs w:val="20"/>
          <w:lang w:val="uk-UA"/>
        </w:rPr>
      </w:pPr>
      <w:r>
        <w:rPr>
          <w:rFonts w:ascii="Verdana" w:hAnsi="Verdana"/>
          <w:sz w:val="20"/>
          <w:szCs w:val="20"/>
        </w:rPr>
        <w:t xml:space="preserve">Mizes, Ludvig von </w:t>
      </w:r>
      <w:r>
        <w:rPr>
          <w:rFonts w:ascii="Verdana" w:hAnsi="Verdana"/>
          <w:color w:val="000000"/>
          <w:sz w:val="20"/>
          <w:szCs w:val="20"/>
          <w:lang w:val="uk-UA"/>
        </w:rPr>
        <w:t>(2005)</w:t>
      </w:r>
      <w:r>
        <w:rPr>
          <w:rFonts w:ascii="Verdana" w:hAnsi="Verdana"/>
          <w:color w:val="000000"/>
          <w:sz w:val="20"/>
          <w:szCs w:val="20"/>
        </w:rPr>
        <w:t>.</w:t>
      </w:r>
      <w:r>
        <w:rPr>
          <w:rFonts w:ascii="Verdana" w:hAnsi="Verdana"/>
          <w:color w:val="000000"/>
          <w:sz w:val="20"/>
          <w:szCs w:val="20"/>
          <w:lang w:val="uk-UA"/>
        </w:rPr>
        <w:t xml:space="preserve"> Human Activity: A Treatise on Economic Theory</w:t>
      </w:r>
      <w:r>
        <w:rPr>
          <w:rFonts w:ascii="Verdana" w:hAnsi="Verdana"/>
          <w:color w:val="000000"/>
          <w:sz w:val="20"/>
          <w:szCs w:val="20"/>
        </w:rPr>
        <w:t xml:space="preserve"> (In Ukrainian).</w:t>
      </w:r>
      <w:r>
        <w:rPr>
          <w:rFonts w:ascii="Verdana" w:hAnsi="Verdana"/>
          <w:color w:val="000000"/>
          <w:sz w:val="20"/>
          <w:szCs w:val="20"/>
          <w:lang w:val="uk-UA"/>
        </w:rPr>
        <w:t xml:space="preserve"> </w:t>
      </w:r>
      <w:r>
        <w:rPr>
          <w:rFonts w:ascii="Verdana" w:hAnsi="Verdana"/>
          <w:color w:val="000000"/>
          <w:sz w:val="20"/>
          <w:szCs w:val="20"/>
          <w:lang w:val="cs-CZ"/>
        </w:rPr>
        <w:t>Retrieved</w:t>
      </w:r>
      <w:r>
        <w:rPr>
          <w:rFonts w:ascii="Verdana" w:hAnsi="Verdana"/>
          <w:color w:val="000000"/>
          <w:sz w:val="20"/>
          <w:szCs w:val="20"/>
          <w:lang w:val="uk-UA"/>
        </w:rPr>
        <w:t xml:space="preserve"> </w:t>
      </w:r>
      <w:r>
        <w:rPr>
          <w:rFonts w:ascii="Verdana" w:hAnsi="Verdana"/>
          <w:color w:val="000000"/>
          <w:sz w:val="20"/>
          <w:szCs w:val="20"/>
          <w:lang w:val="cs-CZ"/>
        </w:rPr>
        <w:t>from</w:t>
      </w:r>
      <w:r>
        <w:rPr>
          <w:rFonts w:ascii="Verdana" w:hAnsi="Verdana"/>
          <w:color w:val="000000"/>
          <w:sz w:val="20"/>
          <w:szCs w:val="20"/>
          <w:lang w:val="uk-UA"/>
        </w:rPr>
        <w:t xml:space="preserve">: </w:t>
      </w:r>
      <w:r>
        <w:rPr>
          <w:rFonts w:ascii="Verdana" w:hAnsi="Verdana"/>
          <w:color w:val="000000"/>
          <w:sz w:val="20"/>
          <w:szCs w:val="20"/>
          <w:lang w:val="cs-CZ"/>
        </w:rPr>
        <w:t>http</w:t>
      </w:r>
      <w:r>
        <w:rPr>
          <w:rFonts w:ascii="Verdana" w:hAnsi="Verdana"/>
          <w:color w:val="000000"/>
          <w:sz w:val="20"/>
          <w:szCs w:val="20"/>
          <w:lang w:val="uk-UA"/>
        </w:rPr>
        <w:t>://</w:t>
      </w:r>
      <w:r>
        <w:rPr>
          <w:rFonts w:ascii="Verdana" w:hAnsi="Verdana"/>
          <w:color w:val="000000"/>
          <w:sz w:val="20"/>
          <w:szCs w:val="20"/>
          <w:lang w:val="cs-CZ"/>
        </w:rPr>
        <w:t>epi</w:t>
      </w:r>
      <w:r>
        <w:rPr>
          <w:rFonts w:ascii="Verdana" w:hAnsi="Verdana"/>
          <w:color w:val="000000"/>
          <w:sz w:val="20"/>
          <w:szCs w:val="20"/>
          <w:lang w:val="uk-UA"/>
        </w:rPr>
        <w:t>.</w:t>
      </w:r>
      <w:r>
        <w:rPr>
          <w:rFonts w:ascii="Verdana" w:hAnsi="Verdana"/>
          <w:color w:val="000000"/>
          <w:sz w:val="20"/>
          <w:szCs w:val="20"/>
          <w:lang w:val="cs-CZ"/>
        </w:rPr>
        <w:t>cc</w:t>
      </w:r>
      <w:r>
        <w:rPr>
          <w:rFonts w:ascii="Verdana" w:hAnsi="Verdana"/>
          <w:color w:val="000000"/>
          <w:sz w:val="20"/>
          <w:szCs w:val="20"/>
          <w:lang w:val="uk-UA"/>
        </w:rPr>
        <w:t>.</w:t>
      </w:r>
      <w:r>
        <w:rPr>
          <w:rFonts w:ascii="Verdana" w:hAnsi="Verdana"/>
          <w:color w:val="000000"/>
          <w:sz w:val="20"/>
          <w:szCs w:val="20"/>
          <w:lang w:val="cs-CZ"/>
        </w:rPr>
        <w:t>ua</w:t>
      </w:r>
      <w:r>
        <w:rPr>
          <w:rFonts w:ascii="Verdana" w:hAnsi="Verdana"/>
          <w:color w:val="000000"/>
          <w:sz w:val="20"/>
          <w:szCs w:val="20"/>
          <w:lang w:val="uk-UA"/>
        </w:rPr>
        <w:t>/</w:t>
      </w:r>
      <w:r>
        <w:rPr>
          <w:rFonts w:ascii="Verdana" w:hAnsi="Verdana"/>
          <w:color w:val="000000"/>
          <w:sz w:val="20"/>
          <w:szCs w:val="20"/>
          <w:lang w:val="cs-CZ"/>
        </w:rPr>
        <w:t>introvertnyiy</w:t>
      </w:r>
      <w:r>
        <w:rPr>
          <w:rFonts w:ascii="Verdana" w:hAnsi="Verdana"/>
          <w:color w:val="000000"/>
          <w:sz w:val="20"/>
          <w:szCs w:val="20"/>
          <w:lang w:val="uk-UA"/>
        </w:rPr>
        <w:t>-</w:t>
      </w:r>
      <w:r>
        <w:rPr>
          <w:rFonts w:ascii="Verdana" w:hAnsi="Verdana"/>
          <w:color w:val="000000"/>
          <w:sz w:val="20"/>
          <w:szCs w:val="20"/>
          <w:lang w:val="cs-CZ"/>
        </w:rPr>
        <w:t>ekstrovertnyiy</w:t>
      </w:r>
      <w:r>
        <w:rPr>
          <w:rFonts w:ascii="Verdana" w:hAnsi="Verdana"/>
          <w:color w:val="000000"/>
          <w:sz w:val="20"/>
          <w:szCs w:val="20"/>
          <w:lang w:val="uk-UA"/>
        </w:rPr>
        <w:t>-</w:t>
      </w:r>
      <w:r>
        <w:rPr>
          <w:rFonts w:ascii="Verdana" w:hAnsi="Verdana"/>
          <w:color w:val="000000"/>
          <w:sz w:val="20"/>
          <w:szCs w:val="20"/>
          <w:lang w:val="cs-CZ"/>
        </w:rPr>
        <w:t>trud</w:t>
      </w:r>
      <w:r>
        <w:rPr>
          <w:rFonts w:ascii="Verdana" w:hAnsi="Verdana"/>
          <w:color w:val="000000"/>
          <w:sz w:val="20"/>
          <w:szCs w:val="20"/>
          <w:lang w:val="uk-UA"/>
        </w:rPr>
        <w:t>8222.</w:t>
      </w:r>
      <w:r>
        <w:rPr>
          <w:rFonts w:ascii="Verdana" w:hAnsi="Verdana"/>
          <w:color w:val="000000"/>
          <w:sz w:val="20"/>
          <w:szCs w:val="20"/>
          <w:lang w:val="cs-CZ"/>
        </w:rPr>
        <w:t>html</w:t>
      </w:r>
    </w:p>
    <w:p w:rsidR="005C3F63" w:rsidRDefault="006536E7">
      <w:pPr>
        <w:pStyle w:val="afd"/>
        <w:shd w:val="clear" w:color="auto" w:fill="FFFFFF"/>
        <w:ind w:left="0"/>
        <w:rPr>
          <w:rFonts w:ascii="Verdana" w:hAnsi="Verdana" w:cs="Arial"/>
          <w:sz w:val="20"/>
          <w:szCs w:val="20"/>
          <w:shd w:val="clear" w:color="auto" w:fill="F1F3F4"/>
          <w:lang w:val="uk-UA"/>
        </w:rPr>
      </w:pPr>
      <w:r>
        <w:rPr>
          <w:rFonts w:ascii="Verdana" w:hAnsi="Verdana" w:cs="Helvetica"/>
          <w:color w:val="000000"/>
          <w:sz w:val="20"/>
          <w:szCs w:val="20"/>
          <w:shd w:val="clear" w:color="auto" w:fill="F9F9F9"/>
          <w:lang w:val="uk-UA"/>
        </w:rPr>
        <w:t>Ole</w:t>
      </w:r>
      <w:r>
        <w:rPr>
          <w:rFonts w:ascii="Verdana" w:hAnsi="Verdana" w:cs="Helvetica"/>
          <w:color w:val="000000"/>
          <w:sz w:val="20"/>
          <w:szCs w:val="20"/>
          <w:shd w:val="clear" w:color="auto" w:fill="F9F9F9"/>
        </w:rPr>
        <w:t>x</w:t>
      </w:r>
      <w:r>
        <w:rPr>
          <w:rFonts w:ascii="Verdana" w:hAnsi="Verdana" w:cs="Helvetica"/>
          <w:color w:val="000000"/>
          <w:sz w:val="20"/>
          <w:szCs w:val="20"/>
          <w:shd w:val="clear" w:color="auto" w:fill="F9F9F9"/>
          <w:lang w:val="uk-UA"/>
        </w:rPr>
        <w:t>enko</w:t>
      </w:r>
      <w:r>
        <w:rPr>
          <w:rFonts w:ascii="Verdana" w:hAnsi="Verdana" w:cs="Helvetica"/>
          <w:color w:val="000000"/>
          <w:sz w:val="20"/>
          <w:szCs w:val="20"/>
          <w:shd w:val="clear" w:color="auto" w:fill="F9F9F9"/>
        </w:rPr>
        <w:t>,</w:t>
      </w:r>
      <w:r>
        <w:rPr>
          <w:rFonts w:ascii="Verdana" w:hAnsi="Verdana" w:cs="Helvetica"/>
          <w:color w:val="000000"/>
          <w:sz w:val="20"/>
          <w:szCs w:val="20"/>
          <w:shd w:val="clear" w:color="auto" w:fill="F9F9F9"/>
          <w:lang w:val="uk-UA"/>
        </w:rPr>
        <w:t xml:space="preserve"> R</w:t>
      </w:r>
      <w:r>
        <w:rPr>
          <w:rFonts w:ascii="Verdana" w:hAnsi="Verdana" w:cs="Helvetica"/>
          <w:color w:val="000000"/>
          <w:sz w:val="20"/>
          <w:szCs w:val="20"/>
          <w:shd w:val="clear" w:color="auto" w:fill="F9F9F9"/>
        </w:rPr>
        <w:t>.</w:t>
      </w:r>
      <w:r>
        <w:rPr>
          <w:rFonts w:ascii="Verdana" w:hAnsi="Verdana" w:cs="Helvetica"/>
          <w:color w:val="000000"/>
          <w:sz w:val="20"/>
          <w:szCs w:val="20"/>
          <w:shd w:val="clear" w:color="auto" w:fill="F9F9F9"/>
          <w:lang w:val="uk-UA"/>
        </w:rPr>
        <w:t>I</w:t>
      </w:r>
      <w:r>
        <w:rPr>
          <w:rFonts w:ascii="Verdana" w:hAnsi="Verdana" w:cs="Helvetica"/>
          <w:color w:val="000000"/>
          <w:sz w:val="20"/>
          <w:szCs w:val="20"/>
          <w:shd w:val="clear" w:color="auto" w:fill="F9F9F9"/>
        </w:rPr>
        <w:t>.</w:t>
      </w:r>
      <w:r>
        <w:rPr>
          <w:rFonts w:ascii="Verdana" w:hAnsi="Verdana" w:cs="Helvetica"/>
          <w:color w:val="000000"/>
          <w:sz w:val="20"/>
          <w:szCs w:val="20"/>
          <w:shd w:val="clear" w:color="auto" w:fill="F9F9F9"/>
          <w:lang w:val="uk-UA"/>
        </w:rPr>
        <w:t xml:space="preserve"> (2015) Religious socialization of the entrepreneur's personality</w:t>
      </w:r>
      <w:r>
        <w:rPr>
          <w:rFonts w:ascii="Verdana" w:hAnsi="Verdana" w:cs="Helvetica"/>
          <w:color w:val="000000"/>
          <w:sz w:val="20"/>
          <w:szCs w:val="20"/>
          <w:shd w:val="clear" w:color="auto" w:fill="F9F9F9"/>
        </w:rPr>
        <w:t xml:space="preserve"> (in Ukrainian). </w:t>
      </w:r>
      <w:r>
        <w:rPr>
          <w:rFonts w:ascii="Verdana" w:hAnsi="Verdana" w:cs="Helvetica"/>
          <w:i/>
          <w:color w:val="000000"/>
          <w:sz w:val="20"/>
          <w:szCs w:val="20"/>
          <w:shd w:val="clear" w:color="auto" w:fill="F9F9F9"/>
          <w:lang w:val="uk-UA"/>
        </w:rPr>
        <w:t>Gileya: scientific bulletin</w:t>
      </w:r>
      <w:r>
        <w:rPr>
          <w:rFonts w:ascii="Verdana" w:hAnsi="Verdana" w:cs="Helvetica"/>
          <w:color w:val="000000"/>
          <w:sz w:val="20"/>
          <w:szCs w:val="20"/>
          <w:shd w:val="clear" w:color="auto" w:fill="F9F9F9"/>
          <w:lang w:val="uk-UA"/>
        </w:rPr>
        <w:t>.</w:t>
      </w:r>
      <w:r>
        <w:rPr>
          <w:rFonts w:ascii="Verdana" w:hAnsi="Verdana" w:cs="Helvetica"/>
          <w:color w:val="000000"/>
          <w:sz w:val="20"/>
          <w:szCs w:val="20"/>
          <w:shd w:val="clear" w:color="auto" w:fill="F9F9F9"/>
        </w:rPr>
        <w:t xml:space="preserve"> Issue</w:t>
      </w:r>
      <w:r>
        <w:rPr>
          <w:rFonts w:ascii="Verdana" w:hAnsi="Verdana" w:cs="Helvetica"/>
          <w:color w:val="000000"/>
          <w:sz w:val="20"/>
          <w:szCs w:val="20"/>
          <w:shd w:val="clear" w:color="auto" w:fill="F9F9F9"/>
          <w:lang w:val="uk-UA"/>
        </w:rPr>
        <w:t xml:space="preserve"> 99</w:t>
      </w:r>
      <w:r>
        <w:rPr>
          <w:rFonts w:ascii="Verdana" w:hAnsi="Verdana" w:cs="Helvetica"/>
          <w:color w:val="000000"/>
          <w:sz w:val="20"/>
          <w:szCs w:val="20"/>
          <w:shd w:val="clear" w:color="auto" w:fill="F9F9F9"/>
        </w:rPr>
        <w:t>: pp</w:t>
      </w:r>
      <w:r>
        <w:rPr>
          <w:rFonts w:ascii="Verdana" w:hAnsi="Verdana" w:cs="Helvetica"/>
          <w:color w:val="000000"/>
          <w:sz w:val="20"/>
          <w:szCs w:val="20"/>
          <w:shd w:val="clear" w:color="auto" w:fill="F9F9F9"/>
          <w:lang w:val="uk-UA"/>
        </w:rPr>
        <w:t xml:space="preserve">. 230-233. </w:t>
      </w:r>
    </w:p>
    <w:p w:rsidR="005C3F63" w:rsidRDefault="006536E7">
      <w:pPr>
        <w:pStyle w:val="afd"/>
        <w:ind w:left="0"/>
        <w:rPr>
          <w:rFonts w:ascii="Verdana" w:hAnsi="Verdana"/>
          <w:color w:val="000000"/>
          <w:sz w:val="20"/>
          <w:szCs w:val="20"/>
          <w:lang w:val="uk-UA"/>
        </w:rPr>
      </w:pPr>
      <w:r>
        <w:rPr>
          <w:rFonts w:ascii="Verdana" w:hAnsi="Verdana"/>
          <w:color w:val="000000"/>
          <w:sz w:val="20"/>
          <w:szCs w:val="20"/>
        </w:rPr>
        <w:t>Pew Research Center Retrieved from:</w:t>
      </w:r>
      <w:r>
        <w:t xml:space="preserve"> https://www.pewforum.org/</w:t>
      </w:r>
    </w:p>
    <w:p w:rsidR="005C3F63" w:rsidRDefault="006536E7">
      <w:pPr>
        <w:pStyle w:val="afd"/>
        <w:ind w:left="0"/>
        <w:rPr>
          <w:rFonts w:ascii="Verdana" w:hAnsi="Verdana"/>
          <w:color w:val="000000"/>
          <w:sz w:val="20"/>
          <w:szCs w:val="20"/>
          <w:lang w:val="uk-UA"/>
        </w:rPr>
      </w:pPr>
      <w:r>
        <w:rPr>
          <w:rFonts w:ascii="Verdana" w:eastAsia="Arial Unicode MS" w:hAnsi="Verdana" w:cs="Arial Unicode MS"/>
          <w:bCs/>
          <w:color w:val="000000"/>
          <w:sz w:val="20"/>
          <w:szCs w:val="20"/>
        </w:rPr>
        <w:t>Sanyutta</w:t>
      </w:r>
      <w:r>
        <w:rPr>
          <w:rFonts w:ascii="Verdana" w:eastAsia="Arial Unicode MS" w:hAnsi="Verdana" w:cs="Arial Unicode MS"/>
          <w:bCs/>
          <w:color w:val="000000"/>
          <w:sz w:val="20"/>
          <w:szCs w:val="20"/>
          <w:lang w:val="uk-UA"/>
        </w:rPr>
        <w:t xml:space="preserve"> </w:t>
      </w:r>
      <w:r>
        <w:rPr>
          <w:rFonts w:ascii="Verdana" w:eastAsia="Arial Unicode MS" w:hAnsi="Verdana" w:cs="Arial Unicode MS"/>
          <w:bCs/>
          <w:color w:val="000000"/>
          <w:sz w:val="20"/>
          <w:szCs w:val="20"/>
        </w:rPr>
        <w:t>Nikaya</w:t>
      </w:r>
      <w:r>
        <w:rPr>
          <w:rFonts w:ascii="Verdana" w:eastAsia="Arial Unicode MS" w:hAnsi="Verdana" w:cs="Arial Unicode MS"/>
          <w:bCs/>
          <w:color w:val="000000"/>
          <w:sz w:val="20"/>
          <w:szCs w:val="20"/>
          <w:lang w:val="uk-UA"/>
        </w:rPr>
        <w:t xml:space="preserve"> 56.11. </w:t>
      </w:r>
      <w:r>
        <w:rPr>
          <w:rFonts w:ascii="Verdana" w:eastAsia="Arial Unicode MS" w:hAnsi="Verdana" w:cs="Arial Unicode MS"/>
          <w:bCs/>
          <w:color w:val="000000"/>
          <w:sz w:val="20"/>
          <w:szCs w:val="20"/>
        </w:rPr>
        <w:t>Dhamma</w:t>
      </w:r>
      <w:r>
        <w:rPr>
          <w:rFonts w:ascii="Verdana" w:eastAsia="Arial Unicode MS" w:hAnsi="Verdana" w:cs="Arial Unicode MS"/>
          <w:bCs/>
          <w:color w:val="000000"/>
          <w:sz w:val="20"/>
          <w:szCs w:val="20"/>
          <w:lang w:val="uk-UA"/>
        </w:rPr>
        <w:t>-</w:t>
      </w:r>
      <w:r>
        <w:rPr>
          <w:rFonts w:ascii="Verdana" w:eastAsia="Arial Unicode MS" w:hAnsi="Verdana" w:cs="Arial Unicode MS"/>
          <w:bCs/>
          <w:color w:val="000000"/>
          <w:sz w:val="20"/>
          <w:szCs w:val="20"/>
        </w:rPr>
        <w:t>chakka</w:t>
      </w:r>
      <w:r>
        <w:rPr>
          <w:rFonts w:ascii="Verdana" w:eastAsia="Arial Unicode MS" w:hAnsi="Verdana" w:cs="Arial Unicode MS"/>
          <w:bCs/>
          <w:color w:val="000000"/>
          <w:sz w:val="20"/>
          <w:szCs w:val="20"/>
          <w:lang w:val="uk-UA"/>
        </w:rPr>
        <w:t>-</w:t>
      </w:r>
      <w:r>
        <w:rPr>
          <w:rFonts w:ascii="Verdana" w:eastAsia="Arial Unicode MS" w:hAnsi="Verdana" w:cs="Arial Unicode MS"/>
          <w:bCs/>
          <w:color w:val="000000"/>
          <w:sz w:val="20"/>
          <w:szCs w:val="20"/>
        </w:rPr>
        <w:t>pavattana</w:t>
      </w:r>
      <w:r>
        <w:rPr>
          <w:rFonts w:ascii="Verdana" w:eastAsia="Arial Unicode MS" w:hAnsi="Verdana" w:cs="Arial Unicode MS"/>
          <w:bCs/>
          <w:color w:val="000000"/>
          <w:sz w:val="20"/>
          <w:szCs w:val="20"/>
          <w:lang w:val="uk-UA"/>
        </w:rPr>
        <w:t xml:space="preserve"> </w:t>
      </w:r>
      <w:r>
        <w:rPr>
          <w:rFonts w:ascii="Verdana" w:eastAsia="Arial Unicode MS" w:hAnsi="Verdana" w:cs="Arial Unicode MS"/>
          <w:bCs/>
          <w:color w:val="000000"/>
          <w:sz w:val="20"/>
          <w:szCs w:val="20"/>
        </w:rPr>
        <w:t>sutta</w:t>
      </w:r>
      <w:r>
        <w:rPr>
          <w:rFonts w:ascii="Verdana" w:eastAsia="Arial Unicode MS" w:hAnsi="Verdana" w:cs="Arial Unicode MS"/>
          <w:bCs/>
          <w:color w:val="000000"/>
          <w:sz w:val="20"/>
          <w:szCs w:val="20"/>
          <w:lang w:val="uk-UA"/>
        </w:rPr>
        <w:t xml:space="preserve">. </w:t>
      </w:r>
      <w:r>
        <w:rPr>
          <w:rFonts w:ascii="Verdana" w:eastAsia="Arial Unicode MS" w:hAnsi="Verdana" w:cs="Arial Unicode MS"/>
          <w:bCs/>
          <w:color w:val="000000"/>
          <w:sz w:val="20"/>
          <w:szCs w:val="20"/>
        </w:rPr>
        <w:t xml:space="preserve">The day of the launch of the wheel of the Dhamma. </w:t>
      </w:r>
      <w:r>
        <w:rPr>
          <w:rFonts w:ascii="Verdana" w:hAnsi="Verdana"/>
          <w:color w:val="000000"/>
          <w:sz w:val="20"/>
          <w:szCs w:val="20"/>
        </w:rPr>
        <w:t>Retrieved from: https://dhamma.ru/canon/sn/sn56-11.htm</w:t>
      </w:r>
    </w:p>
    <w:p w:rsidR="005C3F63" w:rsidRDefault="006536E7">
      <w:pPr>
        <w:pStyle w:val="afd"/>
        <w:ind w:left="0"/>
        <w:rPr>
          <w:rFonts w:ascii="Verdana" w:hAnsi="Verdana"/>
          <w:color w:val="000000"/>
          <w:sz w:val="20"/>
          <w:szCs w:val="20"/>
          <w:lang w:val="uk-UA"/>
        </w:rPr>
      </w:pPr>
      <w:r>
        <w:rPr>
          <w:rFonts w:ascii="Verdana" w:hAnsi="Verdana"/>
          <w:color w:val="000000"/>
          <w:sz w:val="20"/>
          <w:szCs w:val="20"/>
          <w:lang w:val="uk-UA"/>
        </w:rPr>
        <w:t>Schumacher</w:t>
      </w:r>
      <w:r>
        <w:rPr>
          <w:rFonts w:ascii="Verdana" w:hAnsi="Verdana"/>
          <w:color w:val="000000"/>
          <w:sz w:val="20"/>
          <w:szCs w:val="20"/>
        </w:rPr>
        <w:t>,</w:t>
      </w:r>
      <w:r>
        <w:rPr>
          <w:rFonts w:ascii="Verdana" w:hAnsi="Verdana"/>
          <w:color w:val="000000"/>
          <w:sz w:val="20"/>
          <w:szCs w:val="20"/>
          <w:lang w:val="uk-UA"/>
        </w:rPr>
        <w:t xml:space="preserve"> E. F.</w:t>
      </w:r>
      <w:r>
        <w:rPr>
          <w:rFonts w:ascii="Verdana" w:hAnsi="Verdana"/>
          <w:color w:val="000000"/>
          <w:sz w:val="20"/>
          <w:szCs w:val="20"/>
        </w:rPr>
        <w:t xml:space="preserve"> (1973).</w:t>
      </w:r>
      <w:r>
        <w:rPr>
          <w:rFonts w:ascii="Verdana" w:hAnsi="Verdana"/>
          <w:color w:val="000000"/>
          <w:sz w:val="20"/>
          <w:szCs w:val="20"/>
          <w:lang w:val="uk-UA"/>
        </w:rPr>
        <w:t xml:space="preserve"> </w:t>
      </w:r>
      <w:r>
        <w:rPr>
          <w:rFonts w:ascii="Verdana" w:hAnsi="Verdana"/>
          <w:color w:val="000000"/>
          <w:sz w:val="20"/>
          <w:szCs w:val="20"/>
        </w:rPr>
        <w:t>S</w:t>
      </w:r>
      <w:r>
        <w:rPr>
          <w:rFonts w:ascii="Verdana" w:hAnsi="Verdana"/>
          <w:color w:val="000000"/>
          <w:sz w:val="20"/>
          <w:szCs w:val="20"/>
          <w:lang w:val="uk-UA"/>
        </w:rPr>
        <w:t>mall is beautiful: Economics as If People Mattered. London: Blond &amp; Briggs</w:t>
      </w:r>
      <w:r>
        <w:rPr>
          <w:rFonts w:ascii="Verdana" w:hAnsi="Verdana"/>
          <w:color w:val="000000"/>
          <w:sz w:val="20"/>
          <w:szCs w:val="20"/>
        </w:rPr>
        <w:t xml:space="preserve"> </w:t>
      </w:r>
    </w:p>
    <w:p w:rsidR="005C3F63" w:rsidRDefault="006536E7">
      <w:pPr>
        <w:pStyle w:val="afd"/>
        <w:ind w:left="0"/>
        <w:rPr>
          <w:rFonts w:ascii="Verdana" w:hAnsi="Verdana"/>
          <w:color w:val="000000"/>
          <w:sz w:val="20"/>
          <w:szCs w:val="20"/>
          <w:lang w:val="uk-UA"/>
        </w:rPr>
      </w:pPr>
      <w:r>
        <w:rPr>
          <w:rFonts w:ascii="Verdana" w:hAnsi="Verdana"/>
          <w:sz w:val="20"/>
          <w:szCs w:val="20"/>
        </w:rPr>
        <w:t>Ulanov,</w:t>
      </w:r>
      <w:r>
        <w:rPr>
          <w:rFonts w:ascii="Verdana" w:hAnsi="Verdana"/>
          <w:color w:val="000000"/>
          <w:sz w:val="20"/>
          <w:szCs w:val="20"/>
          <w:lang w:val="uk-UA"/>
        </w:rPr>
        <w:t xml:space="preserve"> М.С.(2016)</w:t>
      </w:r>
      <w:r>
        <w:rPr>
          <w:rFonts w:ascii="Verdana" w:hAnsi="Verdana"/>
          <w:color w:val="000000"/>
          <w:sz w:val="20"/>
          <w:szCs w:val="20"/>
        </w:rPr>
        <w:t>.</w:t>
      </w:r>
      <w:r>
        <w:rPr>
          <w:rFonts w:ascii="Verdana" w:hAnsi="Verdana"/>
          <w:color w:val="000000"/>
          <w:sz w:val="20"/>
          <w:szCs w:val="20"/>
          <w:lang w:val="uk-UA"/>
        </w:rPr>
        <w:t xml:space="preserve"> Buddhism and modern business</w:t>
      </w:r>
      <w:r>
        <w:rPr>
          <w:rFonts w:ascii="Verdana" w:hAnsi="Verdana"/>
          <w:color w:val="000000"/>
          <w:sz w:val="20"/>
          <w:szCs w:val="20"/>
        </w:rPr>
        <w:t xml:space="preserve"> (In Russian)</w:t>
      </w:r>
      <w:r>
        <w:rPr>
          <w:rFonts w:ascii="Verdana" w:hAnsi="Verdana"/>
          <w:color w:val="000000"/>
          <w:sz w:val="20"/>
          <w:szCs w:val="20"/>
          <w:lang w:val="uk-UA"/>
        </w:rPr>
        <w:t xml:space="preserve">. </w:t>
      </w:r>
      <w:r>
        <w:rPr>
          <w:rFonts w:ascii="Verdana" w:hAnsi="Verdana"/>
          <w:i/>
          <w:color w:val="000000"/>
          <w:sz w:val="20"/>
          <w:szCs w:val="20"/>
          <w:lang w:val="uk-UA"/>
        </w:rPr>
        <w:t>Kalmyk University Bulletin</w:t>
      </w:r>
      <w:r>
        <w:rPr>
          <w:rFonts w:ascii="Verdana" w:hAnsi="Verdana"/>
          <w:color w:val="000000"/>
          <w:sz w:val="20"/>
          <w:szCs w:val="20"/>
          <w:lang w:val="uk-UA"/>
        </w:rPr>
        <w:t>.</w:t>
      </w:r>
      <w:r>
        <w:rPr>
          <w:rFonts w:ascii="Verdana" w:hAnsi="Verdana"/>
          <w:color w:val="000000"/>
          <w:sz w:val="20"/>
          <w:szCs w:val="20"/>
        </w:rPr>
        <w:t xml:space="preserve"> </w:t>
      </w:r>
      <w:r>
        <w:rPr>
          <w:rFonts w:ascii="Verdana" w:hAnsi="Verdana"/>
          <w:color w:val="000000"/>
          <w:sz w:val="20"/>
          <w:szCs w:val="20"/>
          <w:lang w:val="uk-UA"/>
        </w:rPr>
        <w:t>№2(30)</w:t>
      </w:r>
      <w:r>
        <w:rPr>
          <w:rFonts w:ascii="Verdana" w:hAnsi="Verdana"/>
          <w:color w:val="000000"/>
          <w:sz w:val="20"/>
          <w:szCs w:val="20"/>
        </w:rPr>
        <w:t>.</w:t>
      </w:r>
      <w:r>
        <w:rPr>
          <w:rFonts w:ascii="Verdana" w:hAnsi="Verdana"/>
          <w:color w:val="000000"/>
          <w:sz w:val="20"/>
          <w:szCs w:val="20"/>
          <w:lang w:val="uk-UA"/>
        </w:rPr>
        <w:t xml:space="preserve"> </w:t>
      </w:r>
    </w:p>
    <w:p w:rsidR="005C3F63" w:rsidRDefault="006536E7">
      <w:pPr>
        <w:pStyle w:val="afd"/>
        <w:ind w:left="0"/>
        <w:rPr>
          <w:rFonts w:ascii="Verdana" w:hAnsi="Verdana"/>
          <w:color w:val="000000"/>
          <w:sz w:val="20"/>
          <w:szCs w:val="20"/>
        </w:rPr>
      </w:pPr>
      <w:r>
        <w:rPr>
          <w:rFonts w:ascii="Verdana" w:hAnsi="Verdana"/>
          <w:color w:val="000000"/>
          <w:sz w:val="20"/>
          <w:szCs w:val="20"/>
        </w:rPr>
        <w:t xml:space="preserve">United Nations Development Programme </w:t>
      </w:r>
      <w:hyperlink r:id="rId231" w:tooltip="Home" w:history="1">
        <w:r>
          <w:rPr>
            <w:rStyle w:val="af9"/>
            <w:bCs/>
            <w:color w:val="000000"/>
            <w:sz w:val="20"/>
            <w:szCs w:val="20"/>
          </w:rPr>
          <w:t>Human Development Reports</w:t>
        </w:r>
      </w:hyperlink>
      <w:r>
        <w:rPr>
          <w:rFonts w:ascii="Verdana" w:hAnsi="Verdana"/>
          <w:color w:val="000000"/>
          <w:sz w:val="20"/>
          <w:szCs w:val="20"/>
        </w:rPr>
        <w:t>.</w:t>
      </w:r>
      <w:r>
        <w:rPr>
          <w:rFonts w:ascii="Verdana" w:hAnsi="Verdana"/>
          <w:color w:val="000000"/>
          <w:sz w:val="20"/>
          <w:szCs w:val="20"/>
          <w:lang w:val="cs-CZ"/>
        </w:rPr>
        <w:t xml:space="preserve"> Retrieved from: </w:t>
      </w:r>
      <w:r>
        <w:rPr>
          <w:rFonts w:ascii="Verdana" w:hAnsi="Verdana"/>
          <w:color w:val="000000"/>
          <w:sz w:val="20"/>
          <w:szCs w:val="20"/>
        </w:rPr>
        <w:t>http</w:t>
      </w:r>
      <w:r>
        <w:rPr>
          <w:rFonts w:ascii="Verdana" w:hAnsi="Verdana"/>
          <w:color w:val="000000"/>
          <w:sz w:val="20"/>
          <w:szCs w:val="20"/>
          <w:lang w:val="uk-UA"/>
        </w:rPr>
        <w:t>://</w:t>
      </w:r>
      <w:r>
        <w:rPr>
          <w:rFonts w:ascii="Verdana" w:hAnsi="Verdana"/>
          <w:color w:val="000000"/>
          <w:sz w:val="20"/>
          <w:szCs w:val="20"/>
        </w:rPr>
        <w:t>hdr</w:t>
      </w:r>
      <w:r>
        <w:rPr>
          <w:rFonts w:ascii="Verdana" w:hAnsi="Verdana"/>
          <w:color w:val="000000"/>
          <w:sz w:val="20"/>
          <w:szCs w:val="20"/>
          <w:lang w:val="uk-UA"/>
        </w:rPr>
        <w:t>.</w:t>
      </w:r>
      <w:r>
        <w:rPr>
          <w:rFonts w:ascii="Verdana" w:hAnsi="Verdana"/>
          <w:color w:val="000000"/>
          <w:sz w:val="20"/>
          <w:szCs w:val="20"/>
        </w:rPr>
        <w:t>undp</w:t>
      </w:r>
      <w:r>
        <w:rPr>
          <w:rFonts w:ascii="Verdana" w:hAnsi="Verdana"/>
          <w:color w:val="000000"/>
          <w:sz w:val="20"/>
          <w:szCs w:val="20"/>
          <w:lang w:val="uk-UA"/>
        </w:rPr>
        <w:t>.</w:t>
      </w:r>
      <w:r>
        <w:rPr>
          <w:rFonts w:ascii="Verdana" w:hAnsi="Verdana"/>
          <w:color w:val="000000"/>
          <w:sz w:val="20"/>
          <w:szCs w:val="20"/>
        </w:rPr>
        <w:t>org</w:t>
      </w:r>
      <w:r>
        <w:rPr>
          <w:rFonts w:ascii="Verdana" w:hAnsi="Verdana"/>
          <w:color w:val="000000"/>
          <w:sz w:val="20"/>
          <w:szCs w:val="20"/>
          <w:lang w:val="uk-UA"/>
        </w:rPr>
        <w:t>/</w:t>
      </w:r>
      <w:r>
        <w:rPr>
          <w:rFonts w:ascii="Verdana" w:hAnsi="Verdana"/>
          <w:color w:val="000000"/>
          <w:sz w:val="20"/>
          <w:szCs w:val="20"/>
        </w:rPr>
        <w:t>en</w:t>
      </w:r>
      <w:r>
        <w:rPr>
          <w:rFonts w:ascii="Verdana" w:hAnsi="Verdana"/>
          <w:color w:val="000000"/>
          <w:sz w:val="20"/>
          <w:szCs w:val="20"/>
          <w:lang w:val="uk-UA"/>
        </w:rPr>
        <w:t>/</w:t>
      </w:r>
      <w:r>
        <w:rPr>
          <w:rFonts w:ascii="Verdana" w:hAnsi="Verdana"/>
          <w:color w:val="000000"/>
          <w:sz w:val="20"/>
          <w:szCs w:val="20"/>
        </w:rPr>
        <w:t>content</w:t>
      </w:r>
      <w:r>
        <w:rPr>
          <w:rFonts w:ascii="Verdana" w:hAnsi="Verdana"/>
          <w:color w:val="000000"/>
          <w:sz w:val="20"/>
          <w:szCs w:val="20"/>
          <w:lang w:val="uk-UA"/>
        </w:rPr>
        <w:t>/</w:t>
      </w:r>
      <w:r>
        <w:rPr>
          <w:rFonts w:ascii="Verdana" w:hAnsi="Verdana"/>
          <w:color w:val="000000"/>
          <w:sz w:val="20"/>
          <w:szCs w:val="20"/>
        </w:rPr>
        <w:t>human</w:t>
      </w:r>
      <w:r>
        <w:rPr>
          <w:rFonts w:ascii="Verdana" w:hAnsi="Verdana"/>
          <w:color w:val="000000"/>
          <w:sz w:val="20"/>
          <w:szCs w:val="20"/>
          <w:lang w:val="uk-UA"/>
        </w:rPr>
        <w:t>-</w:t>
      </w:r>
      <w:r>
        <w:rPr>
          <w:rFonts w:ascii="Verdana" w:hAnsi="Verdana"/>
          <w:color w:val="000000"/>
          <w:sz w:val="20"/>
          <w:szCs w:val="20"/>
        </w:rPr>
        <w:t>development</w:t>
      </w:r>
      <w:r>
        <w:rPr>
          <w:rFonts w:ascii="Verdana" w:hAnsi="Verdana"/>
          <w:color w:val="000000"/>
          <w:sz w:val="20"/>
          <w:szCs w:val="20"/>
          <w:lang w:val="uk-UA"/>
        </w:rPr>
        <w:t>-</w:t>
      </w:r>
      <w:r>
        <w:rPr>
          <w:rFonts w:ascii="Verdana" w:hAnsi="Verdana"/>
          <w:color w:val="000000"/>
          <w:sz w:val="20"/>
          <w:szCs w:val="20"/>
        </w:rPr>
        <w:t>report</w:t>
      </w:r>
      <w:r>
        <w:rPr>
          <w:rFonts w:ascii="Verdana" w:hAnsi="Verdana"/>
          <w:color w:val="000000"/>
          <w:sz w:val="20"/>
          <w:szCs w:val="20"/>
          <w:lang w:val="uk-UA"/>
        </w:rPr>
        <w:t>-2019-</w:t>
      </w:r>
      <w:r>
        <w:rPr>
          <w:rFonts w:ascii="Verdana" w:hAnsi="Verdana"/>
          <w:color w:val="000000"/>
          <w:sz w:val="20"/>
          <w:szCs w:val="20"/>
        </w:rPr>
        <w:t>readers</w:t>
      </w:r>
      <w:r>
        <w:rPr>
          <w:rFonts w:ascii="Verdana" w:hAnsi="Verdana"/>
          <w:color w:val="000000"/>
          <w:sz w:val="20"/>
          <w:szCs w:val="20"/>
          <w:lang w:val="uk-UA"/>
        </w:rPr>
        <w:t>-</w:t>
      </w:r>
      <w:r>
        <w:rPr>
          <w:rFonts w:ascii="Verdana" w:hAnsi="Verdana"/>
          <w:color w:val="000000"/>
          <w:sz w:val="20"/>
          <w:szCs w:val="20"/>
        </w:rPr>
        <w:t>guide</w:t>
      </w:r>
    </w:p>
    <w:p w:rsidR="005C3F63" w:rsidRDefault="006536E7">
      <w:pPr>
        <w:pStyle w:val="afd"/>
        <w:ind w:left="0"/>
        <w:rPr>
          <w:rFonts w:ascii="Verdana" w:hAnsi="Verdana"/>
          <w:color w:val="000000"/>
          <w:sz w:val="20"/>
          <w:szCs w:val="20"/>
          <w:lang w:val="uk-UA"/>
        </w:rPr>
      </w:pPr>
      <w:r>
        <w:rPr>
          <w:rFonts w:ascii="Verdana" w:hAnsi="Verdana"/>
          <w:color w:val="000000"/>
          <w:sz w:val="20"/>
          <w:szCs w:val="20"/>
        </w:rPr>
        <w:t>Worldbank.</w:t>
      </w:r>
      <w:r>
        <w:rPr>
          <w:rFonts w:ascii="Verdana" w:hAnsi="Verdana"/>
          <w:color w:val="000000"/>
          <w:sz w:val="20"/>
          <w:szCs w:val="20"/>
          <w:lang w:val="uk-UA"/>
        </w:rPr>
        <w:t xml:space="preserve"> </w:t>
      </w:r>
      <w:r>
        <w:rPr>
          <w:rFonts w:ascii="Verdana" w:hAnsi="Verdana"/>
          <w:color w:val="000000"/>
          <w:sz w:val="20"/>
          <w:szCs w:val="20"/>
          <w:lang w:val="cs-CZ"/>
        </w:rPr>
        <w:t>Retrieved from:</w:t>
      </w:r>
      <w:r>
        <w:rPr>
          <w:rFonts w:ascii="Verdana" w:hAnsi="Verdana"/>
          <w:color w:val="000000"/>
          <w:sz w:val="20"/>
          <w:szCs w:val="20"/>
        </w:rPr>
        <w:t>https</w:t>
      </w:r>
      <w:r>
        <w:rPr>
          <w:rFonts w:ascii="Verdana" w:hAnsi="Verdana"/>
          <w:color w:val="000000"/>
          <w:sz w:val="20"/>
          <w:szCs w:val="20"/>
          <w:lang w:val="uk-UA"/>
        </w:rPr>
        <w:t>://</w:t>
      </w:r>
      <w:r>
        <w:rPr>
          <w:rFonts w:ascii="Verdana" w:hAnsi="Verdana"/>
          <w:color w:val="000000"/>
          <w:sz w:val="20"/>
          <w:szCs w:val="20"/>
        </w:rPr>
        <w:t>data</w:t>
      </w:r>
      <w:r>
        <w:rPr>
          <w:rFonts w:ascii="Verdana" w:hAnsi="Verdana"/>
          <w:color w:val="000000"/>
          <w:sz w:val="20"/>
          <w:szCs w:val="20"/>
          <w:lang w:val="uk-UA"/>
        </w:rPr>
        <w:t>.</w:t>
      </w:r>
      <w:r>
        <w:rPr>
          <w:rFonts w:ascii="Verdana" w:hAnsi="Verdana"/>
          <w:color w:val="000000"/>
          <w:sz w:val="20"/>
          <w:szCs w:val="20"/>
        </w:rPr>
        <w:t>worldbank</w:t>
      </w:r>
      <w:r>
        <w:rPr>
          <w:rFonts w:ascii="Verdana" w:hAnsi="Verdana"/>
          <w:color w:val="000000"/>
          <w:sz w:val="20"/>
          <w:szCs w:val="20"/>
          <w:lang w:val="uk-UA"/>
        </w:rPr>
        <w:t>.</w:t>
      </w:r>
      <w:r>
        <w:rPr>
          <w:rFonts w:ascii="Verdana" w:hAnsi="Verdana"/>
          <w:color w:val="000000"/>
          <w:sz w:val="20"/>
          <w:szCs w:val="20"/>
        </w:rPr>
        <w:t>org</w:t>
      </w:r>
      <w:r>
        <w:rPr>
          <w:rFonts w:ascii="Verdana" w:hAnsi="Verdana"/>
          <w:color w:val="000000"/>
          <w:sz w:val="20"/>
          <w:szCs w:val="20"/>
          <w:lang w:val="uk-UA"/>
        </w:rPr>
        <w:t>/</w:t>
      </w:r>
    </w:p>
    <w:p w:rsidR="005C3F63" w:rsidRDefault="006536E7">
      <w:pPr>
        <w:pStyle w:val="afd"/>
        <w:shd w:val="clear" w:color="auto" w:fill="FFFFFF"/>
        <w:ind w:left="0"/>
        <w:rPr>
          <w:rFonts w:ascii="Verdana" w:hAnsi="Verdana"/>
          <w:sz w:val="20"/>
          <w:szCs w:val="20"/>
          <w:lang w:val="uk-UA"/>
        </w:rPr>
      </w:pPr>
      <w:r>
        <w:rPr>
          <w:rStyle w:val="afa"/>
          <w:rFonts w:ascii="Verdana" w:hAnsi="Verdana"/>
          <w:b w:val="0"/>
          <w:color w:val="000000"/>
          <w:sz w:val="20"/>
          <w:szCs w:val="20"/>
          <w:shd w:val="clear" w:color="auto" w:fill="FFFFFF"/>
        </w:rPr>
        <w:t xml:space="preserve">2018 Global Entrepreneurship Index rankings. </w:t>
      </w:r>
      <w:r>
        <w:rPr>
          <w:rFonts w:ascii="Verdana" w:hAnsi="Verdana"/>
          <w:color w:val="000000"/>
          <w:sz w:val="20"/>
          <w:szCs w:val="20"/>
        </w:rPr>
        <w:t>Retrieved from: https://thegedi.org/tool/</w:t>
      </w:r>
    </w:p>
    <w:p w:rsidR="005C3F63" w:rsidRDefault="005C3F63">
      <w:pPr>
        <w:spacing w:after="120"/>
        <w:rPr>
          <w:rFonts w:ascii="Verdana" w:hAnsi="Verdana"/>
          <w:sz w:val="20"/>
          <w:szCs w:val="20"/>
          <w:lang w:val="en-GB"/>
        </w:rPr>
      </w:pPr>
    </w:p>
    <w:p w:rsidR="005C3F63" w:rsidRDefault="006536E7">
      <w:pPr>
        <w:jc w:val="left"/>
        <w:rPr>
          <w:rFonts w:ascii="Verdana" w:hAnsi="Verdana"/>
          <w:sz w:val="20"/>
          <w:szCs w:val="20"/>
          <w:lang w:val="en-GB"/>
        </w:rPr>
      </w:pPr>
      <w:r>
        <w:rPr>
          <w:rFonts w:ascii="Verdana" w:hAnsi="Verdana"/>
          <w:sz w:val="20"/>
          <w:szCs w:val="20"/>
          <w:lang w:val="en-GB"/>
        </w:rPr>
        <w:br w:type="page"/>
      </w:r>
    </w:p>
    <w:p w:rsidR="005C3F63" w:rsidRDefault="006536E7">
      <w:pPr>
        <w:pStyle w:val="Kapitola"/>
        <w:rPr>
          <w:lang w:val="cs-CZ"/>
        </w:rPr>
      </w:pPr>
      <w:r>
        <w:rPr>
          <w:lang w:val="cs-CZ"/>
        </w:rPr>
        <w:lastRenderedPageBreak/>
        <w:t>Poznámky:</w:t>
      </w:r>
    </w:p>
    <w:p w:rsidR="005C3F63" w:rsidRDefault="005C3F63">
      <w:pPr>
        <w:rPr>
          <w:rFonts w:ascii="Verdana" w:hAnsi="Verdana"/>
          <w:color w:val="000000"/>
          <w:sz w:val="20"/>
          <w:szCs w:val="20"/>
          <w:shd w:val="clear" w:color="auto" w:fill="FFFFFF"/>
          <w:lang w:val="cs-CZ"/>
        </w:rPr>
      </w:pPr>
    </w:p>
    <w:p w:rsidR="005C3F63" w:rsidRDefault="005C3F63">
      <w:pPr>
        <w:pStyle w:val="1"/>
        <w:rPr>
          <w:szCs w:val="24"/>
          <w:lang w:val="sk-SK"/>
        </w:rPr>
      </w:pPr>
    </w:p>
    <w:sectPr w:rsidR="005C3F6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5067" w:rsidRDefault="00085067">
      <w:r>
        <w:separator/>
      </w:r>
    </w:p>
  </w:endnote>
  <w:endnote w:type="continuationSeparator" w:id="0">
    <w:p w:rsidR="00085067" w:rsidRDefault="000850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A10006FF" w:usb1="4000205B" w:usb2="00000010" w:usb3="00000000" w:csb0="0000019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Times Roman">
    <w:altName w:val="Times New Roman"/>
    <w:charset w:val="00"/>
    <w:family w:val="auto"/>
    <w:pitch w:val="default"/>
    <w:sig w:usb0="00000000" w:usb1="00000000" w:usb2="00000000" w:usb3="00000000" w:csb0="00000001" w:csb1="00000000"/>
  </w:font>
  <w:font w:name="HelveticaNeueLT Pro 55 Roman">
    <w:altName w:val="Times New Roman"/>
    <w:charset w:val="00"/>
    <w:family w:val="auto"/>
    <w:pitch w:val="default"/>
    <w:sig w:usb0="00000000" w:usb1="00000000" w:usb2="00000000" w:usb3="00000000" w:csb0="00000001" w:csb1="00000000"/>
  </w:font>
  <w:font w:name="EUAlbertina">
    <w:altName w:val="Times New Roman"/>
    <w:charset w:val="00"/>
    <w:family w:val="roman"/>
    <w:pitch w:val="default"/>
    <w:sig w:usb0="00000000" w:usb1="00000000" w:usb2="00000000" w:usb3="00000000" w:csb0="00000001" w:csb1="00000000"/>
  </w:font>
  <w:font w:name="Arial Narrow">
    <w:panose1 w:val="020B0606020202030204"/>
    <w:charset w:val="CC"/>
    <w:family w:val="swiss"/>
    <w:pitch w:val="variable"/>
    <w:sig w:usb0="00000287" w:usb1="00000800" w:usb2="00000000" w:usb3="00000000" w:csb0="0000009F" w:csb1="00000000"/>
  </w:font>
  <w:font w:name="Arial Black">
    <w:panose1 w:val="020B0A04020102020204"/>
    <w:charset w:val="CC"/>
    <w:family w:val="swiss"/>
    <w:pitch w:val="variable"/>
    <w:sig w:usb0="A00002AF" w:usb1="400078F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TimesNewRomanPSMT">
    <w:altName w:val="Times New Roman"/>
    <w:charset w:val="00"/>
    <w:family w:val="swiss"/>
    <w:pitch w:val="default"/>
    <w:sig w:usb0="00000000" w:usb1="00000000" w:usb2="00000000" w:usb3="00000000" w:csb0="00000003" w:csb1="00000000"/>
  </w:font>
  <w:font w:name="New York">
    <w:panose1 w:val="02040503060506020304"/>
    <w:charset w:val="00"/>
    <w:family w:val="roman"/>
    <w:notTrueType/>
    <w:pitch w:val="variable"/>
    <w:sig w:usb0="00000003" w:usb1="00000000" w:usb2="00000000" w:usb3="00000000" w:csb0="00000001" w:csb1="00000000"/>
  </w:font>
  <w:font w:name="Segoe UI">
    <w:altName w:val="Calibri"/>
    <w:panose1 w:val="020B0502040204020203"/>
    <w:charset w:val="CC"/>
    <w:family w:val="swiss"/>
    <w:pitch w:val="variable"/>
    <w:sig w:usb0="E4002EFF" w:usb1="C000E47F" w:usb2="00000009" w:usb3="00000000" w:csb0="000001FF" w:csb1="00000000"/>
  </w:font>
  <w:font w:name="TimesNewRomanPS-ItalicMT">
    <w:altName w:val="Times New Roman"/>
    <w:charset w:val="00"/>
    <w:family w:val="swiss"/>
    <w:pitch w:val="default"/>
    <w:sig w:usb0="00000000"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9061344"/>
    </w:sdtPr>
    <w:sdtEndPr/>
    <w:sdtContent>
      <w:p w:rsidR="005C3F63" w:rsidRDefault="006536E7">
        <w:pPr>
          <w:pStyle w:val="ad"/>
          <w:jc w:val="center"/>
        </w:pPr>
        <w:r>
          <w:fldChar w:fldCharType="begin"/>
        </w:r>
        <w:r>
          <w:instrText>PAGE   \* MERGEFORMAT</w:instrText>
        </w:r>
        <w:r>
          <w:fldChar w:fldCharType="separate"/>
        </w:r>
        <w:r w:rsidR="007B68A1" w:rsidRPr="007B68A1">
          <w:rPr>
            <w:noProof/>
            <w:lang w:val="cs-CZ"/>
          </w:rPr>
          <w:t>7</w:t>
        </w:r>
        <w:r>
          <w:fldChar w:fldCharType="end"/>
        </w:r>
      </w:p>
    </w:sdtContent>
  </w:sdt>
  <w:p w:rsidR="005C3F63" w:rsidRDefault="005C3F63">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5067" w:rsidRDefault="00085067">
      <w:r>
        <w:separator/>
      </w:r>
    </w:p>
  </w:footnote>
  <w:footnote w:type="continuationSeparator" w:id="0">
    <w:p w:rsidR="00085067" w:rsidRDefault="00085067">
      <w:r>
        <w:continuationSeparator/>
      </w:r>
    </w:p>
  </w:footnote>
  <w:footnote w:id="1">
    <w:p w:rsidR="005C3F63" w:rsidRDefault="006536E7">
      <w:pPr>
        <w:pStyle w:val="af"/>
        <w:rPr>
          <w:lang w:val="cs-CZ"/>
        </w:rPr>
      </w:pPr>
      <w:r>
        <w:rPr>
          <w:rStyle w:val="af8"/>
        </w:rPr>
        <w:footnoteRef/>
      </w:r>
      <w:r>
        <w:t> </w:t>
      </w:r>
      <w:hyperlink r:id="rId1" w:history="1">
        <w:r>
          <w:rPr>
            <w:rStyle w:val="af9"/>
          </w:rPr>
          <w:t>https://www.esma.europa.eu/sites/default/files/library/esma32-61-417_public_statement_on_supervisory_action_on_accounting_for_covid-19_lease_modifications.pdf</w:t>
        </w:r>
      </w:hyperlink>
      <w:r>
        <w:t xml:space="preserve"> </w:t>
      </w:r>
    </w:p>
  </w:footnote>
  <w:footnote w:id="2">
    <w:p w:rsidR="005C3F63" w:rsidRDefault="006536E7">
      <w:pPr>
        <w:pStyle w:val="af"/>
        <w:rPr>
          <w:lang w:val="cs-CZ"/>
        </w:rPr>
      </w:pPr>
      <w:r>
        <w:rPr>
          <w:rStyle w:val="af8"/>
        </w:rPr>
        <w:footnoteRef/>
      </w:r>
      <w:r>
        <w:rPr>
          <w:lang w:val="cs-CZ"/>
        </w:rPr>
        <w:t xml:space="preserve"> Viz např. comment letter vypracovaný CFA Institute a zaslaný IASB v rámci připomínkového řízení k Dodatku k IFRS 16. Dostupné na:</w:t>
      </w:r>
    </w:p>
    <w:p w:rsidR="005C3F63" w:rsidRDefault="00085067">
      <w:pPr>
        <w:pStyle w:val="af"/>
        <w:rPr>
          <w:lang w:val="cs-CZ"/>
        </w:rPr>
      </w:pPr>
      <w:hyperlink r:id="rId2" w:history="1">
        <w:r w:rsidR="006536E7">
          <w:rPr>
            <w:rStyle w:val="af9"/>
            <w:lang w:val="cs-CZ"/>
          </w:rPr>
          <w:t>http://eifrs.ifrs.org/eifrs/comment_letters//563/563_26519_SandyPetersCFAInstitute_0_RentConcessionCLIASB_Final_London.pdf</w:t>
        </w:r>
      </w:hyperlink>
      <w:r w:rsidR="006536E7">
        <w:rPr>
          <w:lang w:val="cs-CZ"/>
        </w:rPr>
        <w:t xml:space="preserve"> </w:t>
      </w:r>
    </w:p>
  </w:footnote>
  <w:footnote w:id="3">
    <w:p w:rsidR="005C3F63" w:rsidRDefault="006536E7">
      <w:pPr>
        <w:pStyle w:val="af"/>
        <w:rPr>
          <w:lang w:val="cs-CZ"/>
        </w:rPr>
      </w:pPr>
      <w:r>
        <w:rPr>
          <w:rStyle w:val="af8"/>
        </w:rPr>
        <w:footnoteRef/>
      </w:r>
      <w:r>
        <w:rPr>
          <w:lang w:val="cs-CZ"/>
        </w:rPr>
        <w:t xml:space="preserve"> Nesrovnatelnost účetních závěrek bude mít dvě hlavní příčiny. Zaprvé se bude lišit účetní řešení smluv, které budou obsahovat koncesi do 30. 6. 2021, resp. až za tento horizont. Zadruhé se může lišit účetní řešení u smluv, které sice budou obsahovat koncesi do 30. 6. 2021, ale účetní jednotky si mohou zvolit, že praktickou úlevu nevyužijí a budou vycházet z obecné úpravy. Dle obecné úpravy dojde v důsledku koncese o souvztažné ponížení leasingového závazku a práva užití (tj. dopad bude pouze rozvahový). V případě úlevy se sníží výše leasingového závazku oproti zisku. Zobrazení bude tedy mít výsledkový dopad. Samostatnou otázkou potom je, jak budou účetní jednotky přistupovat k otázce promítnutí ztráty ze znehodnocení práva užití. </w:t>
      </w:r>
    </w:p>
  </w:footnote>
  <w:footnote w:id="4">
    <w:p w:rsidR="005C3F63" w:rsidRDefault="006536E7">
      <w:pPr>
        <w:pStyle w:val="af"/>
        <w:rPr>
          <w:lang w:val="cs-CZ"/>
        </w:rPr>
      </w:pPr>
      <w:r>
        <w:rPr>
          <w:rStyle w:val="af8"/>
        </w:rPr>
        <w:footnoteRef/>
      </w:r>
      <w:r>
        <w:rPr>
          <w:lang w:val="cs-CZ"/>
        </w:rPr>
        <w:t xml:space="preserve"> Zdržení u IBOR reformy by mohlo mít závažné negativní důsledky, neboť změna referenční úrokové sazby v důsledku IBOR reformy může u zajišťovacích nástrojů vést z důvodu aktuálních požadavků IFRS 9 (resp. IAS 39) k formálnímu ukončení zajišťovacího vztahu v účetnictví, přestože ekonomické charakteristiky aktualizovaného kontraktu se nemění Některé typy zajišťovacích vztahů by proto musely být v důsledku IBOR reformy během roku 2020 účetně ukončeny a následně zpětně zachyceny, proto je snaha vydat dodatky k IFRS 9 (resp. IAS 39) s účinností od 1. ledna 2021 s povolenou dřívější aplikací, aby se tomuto „umělému“ přerušení předešlo. </w:t>
      </w:r>
    </w:p>
  </w:footnote>
  <w:footnote w:id="5">
    <w:p w:rsidR="005C3F63" w:rsidRDefault="006536E7">
      <w:pPr>
        <w:pStyle w:val="af"/>
        <w:rPr>
          <w:lang w:val="cs-CZ"/>
        </w:rPr>
      </w:pPr>
      <w:r>
        <w:rPr>
          <w:rStyle w:val="af8"/>
        </w:rPr>
        <w:footnoteRef/>
      </w:r>
      <w:r>
        <w:rPr>
          <w:lang w:val="cs-CZ"/>
        </w:rPr>
        <w:t xml:space="preserve"> </w:t>
      </w:r>
      <w:hyperlink r:id="rId3" w:history="1">
        <w:r>
          <w:rPr>
            <w:rStyle w:val="af9"/>
            <w:lang w:val="cs-CZ"/>
          </w:rPr>
          <w:t>https://cdn.ifrs.org/-/media/feature/supporting-implementation/ifrs-9/ifrs-9-ecl-and-coronavirus.pdf?la=en</w:t>
        </w:r>
      </w:hyperlink>
      <w:r>
        <w:rPr>
          <w:lang w:val="cs-CZ"/>
        </w:rPr>
        <w:t xml:space="preserve"> </w:t>
      </w:r>
    </w:p>
  </w:footnote>
  <w:footnote w:id="6">
    <w:p w:rsidR="005C3F63" w:rsidRDefault="006536E7">
      <w:pPr>
        <w:pStyle w:val="af"/>
        <w:rPr>
          <w:lang w:val="cs-CZ"/>
        </w:rPr>
      </w:pPr>
      <w:r>
        <w:rPr>
          <w:rStyle w:val="af8"/>
        </w:rPr>
        <w:footnoteRef/>
      </w:r>
      <w:r>
        <w:rPr>
          <w:lang w:val="cs-CZ"/>
        </w:rPr>
        <w:t xml:space="preserve"> </w:t>
      </w:r>
      <w:hyperlink r:id="rId4" w:history="1">
        <w:r>
          <w:rPr>
            <w:rStyle w:val="af9"/>
            <w:lang w:val="cs-CZ"/>
          </w:rPr>
          <w:t>https://www.esma.europa.eu/node/90557</w:t>
        </w:r>
      </w:hyperlink>
    </w:p>
  </w:footnote>
  <w:footnote w:id="7">
    <w:p w:rsidR="005C3F63" w:rsidRDefault="006536E7">
      <w:pPr>
        <w:pStyle w:val="af"/>
        <w:rPr>
          <w:lang w:val="cs-CZ"/>
        </w:rPr>
      </w:pPr>
      <w:r>
        <w:rPr>
          <w:rStyle w:val="af8"/>
        </w:rPr>
        <w:footnoteRef/>
      </w:r>
      <w:r>
        <w:rPr>
          <w:lang w:val="cs-CZ"/>
        </w:rPr>
        <w:t xml:space="preserve"> European Banking Authority (EBA), tj. Evropská bankovní autorita, která zaštiťuje dohled nad bankovním sektorem. Dokument dostupný na: </w:t>
      </w:r>
      <w:hyperlink r:id="rId5" w:history="1">
        <w:r>
          <w:rPr>
            <w:rStyle w:val="af9"/>
            <w:lang w:val="cs-CZ"/>
          </w:rPr>
          <w:t>https://eba.europa.eu/eba-provides-clarity-banks-consumers-application-prudential-framework-light-covid-19-measures</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3F63" w:rsidRDefault="006536E7">
    <w:pPr>
      <w:pStyle w:val="af1"/>
    </w:pPr>
    <w:r>
      <w:rPr>
        <w:i/>
        <w:sz w:val="20"/>
        <w:szCs w:val="20"/>
        <w:lang w:val="sk-SK"/>
      </w:rPr>
      <w:t>Slapy 2020                                                                         Účetnictví a auditing v procesu světové harmonizace</w:t>
    </w:r>
  </w:p>
  <w:p w:rsidR="005C3F63" w:rsidRDefault="005C3F63">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37574"/>
    <w:multiLevelType w:val="multilevel"/>
    <w:tmpl w:val="0023757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nsid w:val="015C4DE9"/>
    <w:multiLevelType w:val="multilevel"/>
    <w:tmpl w:val="015C4DE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9AC3B59"/>
    <w:multiLevelType w:val="multilevel"/>
    <w:tmpl w:val="09AC3B5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nsid w:val="0EA75960"/>
    <w:multiLevelType w:val="multilevel"/>
    <w:tmpl w:val="0EA7596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11EA66F4"/>
    <w:multiLevelType w:val="multilevel"/>
    <w:tmpl w:val="11EA66F4"/>
    <w:lvl w:ilvl="0">
      <w:start w:val="3"/>
      <w:numFmt w:val="decimal"/>
      <w:lvlText w:val="%1"/>
      <w:lvlJc w:val="left"/>
      <w:pPr>
        <w:ind w:left="560" w:hanging="560"/>
      </w:pPr>
      <w:rPr>
        <w:rFonts w:hint="default"/>
        <w:i w:val="0"/>
      </w:rPr>
    </w:lvl>
    <w:lvl w:ilvl="1">
      <w:start w:val="1"/>
      <w:numFmt w:val="decimal"/>
      <w:lvlText w:val="%1.%2"/>
      <w:lvlJc w:val="left"/>
      <w:pPr>
        <w:ind w:left="720" w:hanging="72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i w:val="0"/>
      </w:rPr>
    </w:lvl>
    <w:lvl w:ilvl="4">
      <w:start w:val="1"/>
      <w:numFmt w:val="decimal"/>
      <w:lvlText w:val="%1.%2.%3.%4.%5"/>
      <w:lvlJc w:val="left"/>
      <w:pPr>
        <w:ind w:left="1440" w:hanging="1440"/>
      </w:pPr>
      <w:rPr>
        <w:rFonts w:hint="default"/>
        <w:i w:val="0"/>
      </w:rPr>
    </w:lvl>
    <w:lvl w:ilvl="5">
      <w:start w:val="1"/>
      <w:numFmt w:val="decimal"/>
      <w:lvlText w:val="%1.%2.%3.%4.%5.%6"/>
      <w:lvlJc w:val="left"/>
      <w:pPr>
        <w:ind w:left="1440" w:hanging="1440"/>
      </w:pPr>
      <w:rPr>
        <w:rFonts w:hint="default"/>
        <w:i w:val="0"/>
      </w:rPr>
    </w:lvl>
    <w:lvl w:ilvl="6">
      <w:start w:val="1"/>
      <w:numFmt w:val="decimal"/>
      <w:lvlText w:val="%1.%2.%3.%4.%5.%6.%7"/>
      <w:lvlJc w:val="left"/>
      <w:pPr>
        <w:ind w:left="1800" w:hanging="1800"/>
      </w:pPr>
      <w:rPr>
        <w:rFonts w:hint="default"/>
        <w:i w:val="0"/>
      </w:rPr>
    </w:lvl>
    <w:lvl w:ilvl="7">
      <w:start w:val="1"/>
      <w:numFmt w:val="decimal"/>
      <w:lvlText w:val="%1.%2.%3.%4.%5.%6.%7.%8"/>
      <w:lvlJc w:val="left"/>
      <w:pPr>
        <w:ind w:left="2160" w:hanging="2160"/>
      </w:pPr>
      <w:rPr>
        <w:rFonts w:hint="default"/>
        <w:i w:val="0"/>
      </w:rPr>
    </w:lvl>
    <w:lvl w:ilvl="8">
      <w:start w:val="1"/>
      <w:numFmt w:val="decimal"/>
      <w:lvlText w:val="%1.%2.%3.%4.%5.%6.%7.%8.%9"/>
      <w:lvlJc w:val="left"/>
      <w:pPr>
        <w:ind w:left="2160" w:hanging="2160"/>
      </w:pPr>
      <w:rPr>
        <w:rFonts w:hint="default"/>
        <w:i w:val="0"/>
      </w:rPr>
    </w:lvl>
  </w:abstractNum>
  <w:abstractNum w:abstractNumId="5">
    <w:nsid w:val="14900AB6"/>
    <w:multiLevelType w:val="multilevel"/>
    <w:tmpl w:val="14900AB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14E6617A"/>
    <w:multiLevelType w:val="multilevel"/>
    <w:tmpl w:val="14E6617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nsid w:val="179A1421"/>
    <w:multiLevelType w:val="multilevel"/>
    <w:tmpl w:val="179A1421"/>
    <w:lvl w:ilvl="0">
      <w:start w:val="1"/>
      <w:numFmt w:val="decimal"/>
      <w:pStyle w:val="BibItem"/>
      <w:lvlText w:val="[%1]"/>
      <w:lvlJc w:val="left"/>
      <w:pPr>
        <w:tabs>
          <w:tab w:val="left" w:pos="1222"/>
        </w:tabs>
        <w:ind w:left="862" w:hanging="360"/>
      </w:pPr>
      <w:rPr>
        <w:rFonts w:hint="default"/>
      </w:rPr>
    </w:lvl>
    <w:lvl w:ilvl="1">
      <w:start w:val="1"/>
      <w:numFmt w:val="lowerLetter"/>
      <w:lvlText w:val="%2."/>
      <w:lvlJc w:val="left"/>
      <w:pPr>
        <w:tabs>
          <w:tab w:val="left" w:pos="1582"/>
        </w:tabs>
        <w:ind w:left="1582" w:hanging="360"/>
      </w:pPr>
    </w:lvl>
    <w:lvl w:ilvl="2">
      <w:start w:val="1"/>
      <w:numFmt w:val="lowerRoman"/>
      <w:lvlText w:val="%3."/>
      <w:lvlJc w:val="right"/>
      <w:pPr>
        <w:tabs>
          <w:tab w:val="left" w:pos="2302"/>
        </w:tabs>
        <w:ind w:left="2302" w:hanging="180"/>
      </w:pPr>
    </w:lvl>
    <w:lvl w:ilvl="3">
      <w:start w:val="1"/>
      <w:numFmt w:val="decimal"/>
      <w:lvlText w:val="%4."/>
      <w:lvlJc w:val="left"/>
      <w:pPr>
        <w:tabs>
          <w:tab w:val="left" w:pos="3022"/>
        </w:tabs>
        <w:ind w:left="3022" w:hanging="360"/>
      </w:pPr>
    </w:lvl>
    <w:lvl w:ilvl="4">
      <w:start w:val="1"/>
      <w:numFmt w:val="lowerLetter"/>
      <w:lvlText w:val="%5."/>
      <w:lvlJc w:val="left"/>
      <w:pPr>
        <w:tabs>
          <w:tab w:val="left" w:pos="3742"/>
        </w:tabs>
        <w:ind w:left="3742" w:hanging="360"/>
      </w:pPr>
    </w:lvl>
    <w:lvl w:ilvl="5">
      <w:start w:val="1"/>
      <w:numFmt w:val="lowerRoman"/>
      <w:lvlText w:val="%6."/>
      <w:lvlJc w:val="right"/>
      <w:pPr>
        <w:tabs>
          <w:tab w:val="left" w:pos="4462"/>
        </w:tabs>
        <w:ind w:left="4462" w:hanging="180"/>
      </w:pPr>
    </w:lvl>
    <w:lvl w:ilvl="6">
      <w:start w:val="1"/>
      <w:numFmt w:val="decimal"/>
      <w:lvlText w:val="%7."/>
      <w:lvlJc w:val="left"/>
      <w:pPr>
        <w:tabs>
          <w:tab w:val="left" w:pos="5182"/>
        </w:tabs>
        <w:ind w:left="5182" w:hanging="360"/>
      </w:pPr>
    </w:lvl>
    <w:lvl w:ilvl="7">
      <w:start w:val="1"/>
      <w:numFmt w:val="lowerLetter"/>
      <w:lvlText w:val="%8."/>
      <w:lvlJc w:val="left"/>
      <w:pPr>
        <w:tabs>
          <w:tab w:val="left" w:pos="5902"/>
        </w:tabs>
        <w:ind w:left="5902" w:hanging="360"/>
      </w:pPr>
    </w:lvl>
    <w:lvl w:ilvl="8">
      <w:start w:val="1"/>
      <w:numFmt w:val="lowerRoman"/>
      <w:lvlText w:val="%9."/>
      <w:lvlJc w:val="right"/>
      <w:pPr>
        <w:tabs>
          <w:tab w:val="left" w:pos="6622"/>
        </w:tabs>
        <w:ind w:left="6622" w:hanging="180"/>
      </w:pPr>
    </w:lvl>
  </w:abstractNum>
  <w:abstractNum w:abstractNumId="8">
    <w:nsid w:val="19197AE9"/>
    <w:multiLevelType w:val="multilevel"/>
    <w:tmpl w:val="19197AE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nsid w:val="24CD1836"/>
    <w:multiLevelType w:val="multilevel"/>
    <w:tmpl w:val="24CD1836"/>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29393ABC"/>
    <w:multiLevelType w:val="multilevel"/>
    <w:tmpl w:val="29393ABC"/>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30D81C11"/>
    <w:multiLevelType w:val="multilevel"/>
    <w:tmpl w:val="30D81C1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31B11A26"/>
    <w:multiLevelType w:val="multilevel"/>
    <w:tmpl w:val="31B11A26"/>
    <w:lvl w:ilvl="0">
      <w:start w:val="1"/>
      <w:numFmt w:val="decimal"/>
      <w:pStyle w:val="a"/>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31D61B14"/>
    <w:multiLevelType w:val="multilevel"/>
    <w:tmpl w:val="31D61B14"/>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33AC10DE"/>
    <w:multiLevelType w:val="multilevel"/>
    <w:tmpl w:val="33AC10D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nsid w:val="39775CB0"/>
    <w:multiLevelType w:val="multilevel"/>
    <w:tmpl w:val="39775CB0"/>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6">
    <w:nsid w:val="43C1005F"/>
    <w:multiLevelType w:val="multilevel"/>
    <w:tmpl w:val="43C1005F"/>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48D90051"/>
    <w:multiLevelType w:val="multilevel"/>
    <w:tmpl w:val="48D9005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nsid w:val="4B3735A4"/>
    <w:multiLevelType w:val="multilevel"/>
    <w:tmpl w:val="4B3735A4"/>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5AF95483"/>
    <w:multiLevelType w:val="multilevel"/>
    <w:tmpl w:val="5AF95483"/>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5C9D3821"/>
    <w:multiLevelType w:val="multilevel"/>
    <w:tmpl w:val="5C9D382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1">
    <w:nsid w:val="6FA1420B"/>
    <w:multiLevelType w:val="multilevel"/>
    <w:tmpl w:val="6FA1420B"/>
    <w:lvl w:ilvl="0">
      <w:start w:val="1"/>
      <w:numFmt w:val="bullet"/>
      <w:lvlText w:val="-"/>
      <w:lvlJc w:val="left"/>
      <w:pPr>
        <w:ind w:left="1080" w:hanging="360"/>
      </w:pPr>
      <w:rPr>
        <w:rFonts w:ascii="Verdana" w:eastAsiaTheme="minorHAnsi" w:hAnsi="Verdana" w:cstheme="minorBidi"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22">
    <w:nsid w:val="77490DDE"/>
    <w:multiLevelType w:val="multilevel"/>
    <w:tmpl w:val="77490DDE"/>
    <w:lvl w:ilvl="0">
      <w:start w:val="1"/>
      <w:numFmt w:val="decimal"/>
      <w:lvlText w:val="%1."/>
      <w:lvlJc w:val="left"/>
      <w:pPr>
        <w:ind w:left="435" w:hanging="360"/>
      </w:pPr>
      <w:rPr>
        <w:rFonts w:hint="default"/>
      </w:rPr>
    </w:lvl>
    <w:lvl w:ilvl="1">
      <w:start w:val="1"/>
      <w:numFmt w:val="lowerLetter"/>
      <w:lvlText w:val="%2."/>
      <w:lvlJc w:val="left"/>
      <w:pPr>
        <w:ind w:left="1155" w:hanging="360"/>
      </w:pPr>
    </w:lvl>
    <w:lvl w:ilvl="2">
      <w:start w:val="1"/>
      <w:numFmt w:val="lowerRoman"/>
      <w:lvlText w:val="%3."/>
      <w:lvlJc w:val="right"/>
      <w:pPr>
        <w:ind w:left="1875" w:hanging="180"/>
      </w:pPr>
    </w:lvl>
    <w:lvl w:ilvl="3">
      <w:start w:val="1"/>
      <w:numFmt w:val="decimal"/>
      <w:lvlText w:val="%4."/>
      <w:lvlJc w:val="left"/>
      <w:pPr>
        <w:ind w:left="2595" w:hanging="360"/>
      </w:pPr>
    </w:lvl>
    <w:lvl w:ilvl="4">
      <w:start w:val="1"/>
      <w:numFmt w:val="lowerLetter"/>
      <w:lvlText w:val="%5."/>
      <w:lvlJc w:val="left"/>
      <w:pPr>
        <w:ind w:left="3315" w:hanging="360"/>
      </w:pPr>
    </w:lvl>
    <w:lvl w:ilvl="5">
      <w:start w:val="1"/>
      <w:numFmt w:val="lowerRoman"/>
      <w:lvlText w:val="%6."/>
      <w:lvlJc w:val="right"/>
      <w:pPr>
        <w:ind w:left="4035" w:hanging="180"/>
      </w:pPr>
    </w:lvl>
    <w:lvl w:ilvl="6">
      <w:start w:val="1"/>
      <w:numFmt w:val="decimal"/>
      <w:lvlText w:val="%7."/>
      <w:lvlJc w:val="left"/>
      <w:pPr>
        <w:ind w:left="4755" w:hanging="360"/>
      </w:pPr>
    </w:lvl>
    <w:lvl w:ilvl="7">
      <w:start w:val="1"/>
      <w:numFmt w:val="lowerLetter"/>
      <w:lvlText w:val="%8."/>
      <w:lvlJc w:val="left"/>
      <w:pPr>
        <w:ind w:left="5475" w:hanging="360"/>
      </w:pPr>
    </w:lvl>
    <w:lvl w:ilvl="8">
      <w:start w:val="1"/>
      <w:numFmt w:val="lowerRoman"/>
      <w:lvlText w:val="%9."/>
      <w:lvlJc w:val="right"/>
      <w:pPr>
        <w:ind w:left="6195" w:hanging="180"/>
      </w:pPr>
    </w:lvl>
  </w:abstractNum>
  <w:abstractNum w:abstractNumId="23">
    <w:nsid w:val="7A136B1B"/>
    <w:multiLevelType w:val="multilevel"/>
    <w:tmpl w:val="7A136B1B"/>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7C3839ED"/>
    <w:multiLevelType w:val="multilevel"/>
    <w:tmpl w:val="7C3839ED"/>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7DA73A16"/>
    <w:multiLevelType w:val="multilevel"/>
    <w:tmpl w:val="7DA73A16"/>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num w:numId="1">
    <w:abstractNumId w:val="12"/>
  </w:num>
  <w:num w:numId="2">
    <w:abstractNumId w:val="7"/>
  </w:num>
  <w:num w:numId="3">
    <w:abstractNumId w:val="15"/>
  </w:num>
  <w:num w:numId="4">
    <w:abstractNumId w:val="11"/>
  </w:num>
  <w:num w:numId="5">
    <w:abstractNumId w:val="9"/>
  </w:num>
  <w:num w:numId="6">
    <w:abstractNumId w:val="10"/>
  </w:num>
  <w:num w:numId="7">
    <w:abstractNumId w:val="18"/>
  </w:num>
  <w:num w:numId="8">
    <w:abstractNumId w:val="20"/>
  </w:num>
  <w:num w:numId="9">
    <w:abstractNumId w:val="8"/>
  </w:num>
  <w:num w:numId="10">
    <w:abstractNumId w:val="6"/>
  </w:num>
  <w:num w:numId="11">
    <w:abstractNumId w:val="23"/>
  </w:num>
  <w:num w:numId="12">
    <w:abstractNumId w:val="1"/>
  </w:num>
  <w:num w:numId="13">
    <w:abstractNumId w:val="22"/>
  </w:num>
  <w:num w:numId="14">
    <w:abstractNumId w:val="14"/>
  </w:num>
  <w:num w:numId="15">
    <w:abstractNumId w:val="4"/>
  </w:num>
  <w:num w:numId="16">
    <w:abstractNumId w:val="16"/>
  </w:num>
  <w:num w:numId="17">
    <w:abstractNumId w:val="0"/>
  </w:num>
  <w:num w:numId="18">
    <w:abstractNumId w:val="13"/>
  </w:num>
  <w:num w:numId="19">
    <w:abstractNumId w:val="5"/>
  </w:num>
  <w:num w:numId="20">
    <w:abstractNumId w:val="24"/>
  </w:num>
  <w:num w:numId="21">
    <w:abstractNumId w:val="21"/>
  </w:num>
  <w:num w:numId="22">
    <w:abstractNumId w:val="19"/>
  </w:num>
  <w:num w:numId="23">
    <w:abstractNumId w:val="2"/>
  </w:num>
  <w:num w:numId="24">
    <w:abstractNumId w:val="3"/>
  </w:num>
  <w:num w:numId="25">
    <w:abstractNumId w:val="25"/>
  </w:num>
  <w:num w:numId="2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3BC0"/>
    <w:rsid w:val="00000EDF"/>
    <w:rsid w:val="000062E6"/>
    <w:rsid w:val="00007BD4"/>
    <w:rsid w:val="00007D91"/>
    <w:rsid w:val="00011423"/>
    <w:rsid w:val="0001247B"/>
    <w:rsid w:val="00013A2D"/>
    <w:rsid w:val="000141B0"/>
    <w:rsid w:val="000203E8"/>
    <w:rsid w:val="00022C57"/>
    <w:rsid w:val="000343B5"/>
    <w:rsid w:val="00034444"/>
    <w:rsid w:val="00043B7B"/>
    <w:rsid w:val="0004693B"/>
    <w:rsid w:val="000476C7"/>
    <w:rsid w:val="00064FC0"/>
    <w:rsid w:val="00077A5C"/>
    <w:rsid w:val="000809BD"/>
    <w:rsid w:val="00085067"/>
    <w:rsid w:val="0008609F"/>
    <w:rsid w:val="00086329"/>
    <w:rsid w:val="00090D60"/>
    <w:rsid w:val="00097436"/>
    <w:rsid w:val="000A3962"/>
    <w:rsid w:val="000B3CFF"/>
    <w:rsid w:val="000B5C91"/>
    <w:rsid w:val="000B7DF7"/>
    <w:rsid w:val="000C0986"/>
    <w:rsid w:val="000D2392"/>
    <w:rsid w:val="000F6E62"/>
    <w:rsid w:val="000F7873"/>
    <w:rsid w:val="0010030B"/>
    <w:rsid w:val="0010163A"/>
    <w:rsid w:val="00101B08"/>
    <w:rsid w:val="00112943"/>
    <w:rsid w:val="00112DC7"/>
    <w:rsid w:val="00120B69"/>
    <w:rsid w:val="00142239"/>
    <w:rsid w:val="00163E29"/>
    <w:rsid w:val="001710CB"/>
    <w:rsid w:val="001802D4"/>
    <w:rsid w:val="00186F08"/>
    <w:rsid w:val="00191E68"/>
    <w:rsid w:val="0019201E"/>
    <w:rsid w:val="00197C03"/>
    <w:rsid w:val="001A05D3"/>
    <w:rsid w:val="001A356A"/>
    <w:rsid w:val="001A4A86"/>
    <w:rsid w:val="001A674C"/>
    <w:rsid w:val="001C06D9"/>
    <w:rsid w:val="001C78E0"/>
    <w:rsid w:val="001D12BD"/>
    <w:rsid w:val="001D2AAD"/>
    <w:rsid w:val="001D4BBD"/>
    <w:rsid w:val="001F007F"/>
    <w:rsid w:val="001F2453"/>
    <w:rsid w:val="001F43A4"/>
    <w:rsid w:val="001F5192"/>
    <w:rsid w:val="00201BDF"/>
    <w:rsid w:val="002020A9"/>
    <w:rsid w:val="0021018A"/>
    <w:rsid w:val="002109FD"/>
    <w:rsid w:val="00210E16"/>
    <w:rsid w:val="002174E3"/>
    <w:rsid w:val="00234F7F"/>
    <w:rsid w:val="00236588"/>
    <w:rsid w:val="00236CA5"/>
    <w:rsid w:val="00263EB6"/>
    <w:rsid w:val="0027490C"/>
    <w:rsid w:val="0028279D"/>
    <w:rsid w:val="002867DD"/>
    <w:rsid w:val="00286A38"/>
    <w:rsid w:val="0029055C"/>
    <w:rsid w:val="002973E2"/>
    <w:rsid w:val="002A73FA"/>
    <w:rsid w:val="002B017A"/>
    <w:rsid w:val="002B056E"/>
    <w:rsid w:val="002B236D"/>
    <w:rsid w:val="002B7E7B"/>
    <w:rsid w:val="002C2495"/>
    <w:rsid w:val="002C6575"/>
    <w:rsid w:val="002C660F"/>
    <w:rsid w:val="002D72BF"/>
    <w:rsid w:val="002E0203"/>
    <w:rsid w:val="002E02B3"/>
    <w:rsid w:val="002E074D"/>
    <w:rsid w:val="00303C21"/>
    <w:rsid w:val="00304CC5"/>
    <w:rsid w:val="00317829"/>
    <w:rsid w:val="00320810"/>
    <w:rsid w:val="003237BF"/>
    <w:rsid w:val="00326447"/>
    <w:rsid w:val="00327A0A"/>
    <w:rsid w:val="003364B3"/>
    <w:rsid w:val="00340031"/>
    <w:rsid w:val="003406E6"/>
    <w:rsid w:val="00341F97"/>
    <w:rsid w:val="00351A71"/>
    <w:rsid w:val="003535FF"/>
    <w:rsid w:val="00354233"/>
    <w:rsid w:val="003571DB"/>
    <w:rsid w:val="00364336"/>
    <w:rsid w:val="00370279"/>
    <w:rsid w:val="00383163"/>
    <w:rsid w:val="003834E7"/>
    <w:rsid w:val="00393571"/>
    <w:rsid w:val="003942D7"/>
    <w:rsid w:val="003B1F7D"/>
    <w:rsid w:val="003B33B6"/>
    <w:rsid w:val="003B44B9"/>
    <w:rsid w:val="003B4616"/>
    <w:rsid w:val="003C19A9"/>
    <w:rsid w:val="003C27D3"/>
    <w:rsid w:val="003C4C9E"/>
    <w:rsid w:val="003D4F14"/>
    <w:rsid w:val="003D575F"/>
    <w:rsid w:val="003D6580"/>
    <w:rsid w:val="003E231D"/>
    <w:rsid w:val="003E3FEA"/>
    <w:rsid w:val="003E6BAF"/>
    <w:rsid w:val="003E6E6B"/>
    <w:rsid w:val="003F7B66"/>
    <w:rsid w:val="00401C7D"/>
    <w:rsid w:val="004037C5"/>
    <w:rsid w:val="00412711"/>
    <w:rsid w:val="00421160"/>
    <w:rsid w:val="00421A1E"/>
    <w:rsid w:val="00445DB8"/>
    <w:rsid w:val="00450DAD"/>
    <w:rsid w:val="00452EE5"/>
    <w:rsid w:val="00460832"/>
    <w:rsid w:val="004629F7"/>
    <w:rsid w:val="004709CC"/>
    <w:rsid w:val="0047628E"/>
    <w:rsid w:val="00482070"/>
    <w:rsid w:val="00492CDA"/>
    <w:rsid w:val="00495BAF"/>
    <w:rsid w:val="004A6704"/>
    <w:rsid w:val="004B54E3"/>
    <w:rsid w:val="004C14A5"/>
    <w:rsid w:val="004D26DC"/>
    <w:rsid w:val="004D53FA"/>
    <w:rsid w:val="004D78C9"/>
    <w:rsid w:val="004E1039"/>
    <w:rsid w:val="004E7988"/>
    <w:rsid w:val="004E7D4E"/>
    <w:rsid w:val="004E7FD1"/>
    <w:rsid w:val="004F0D3A"/>
    <w:rsid w:val="004F4A5B"/>
    <w:rsid w:val="004F607E"/>
    <w:rsid w:val="00511D81"/>
    <w:rsid w:val="00513517"/>
    <w:rsid w:val="0051774C"/>
    <w:rsid w:val="00524E52"/>
    <w:rsid w:val="0052697A"/>
    <w:rsid w:val="00530C34"/>
    <w:rsid w:val="00535295"/>
    <w:rsid w:val="005365A0"/>
    <w:rsid w:val="005371F9"/>
    <w:rsid w:val="005461FB"/>
    <w:rsid w:val="00550CD6"/>
    <w:rsid w:val="005552BC"/>
    <w:rsid w:val="00565375"/>
    <w:rsid w:val="00570036"/>
    <w:rsid w:val="00571FFF"/>
    <w:rsid w:val="0057738C"/>
    <w:rsid w:val="0058383B"/>
    <w:rsid w:val="00585945"/>
    <w:rsid w:val="00587CF3"/>
    <w:rsid w:val="00591DC3"/>
    <w:rsid w:val="005948AD"/>
    <w:rsid w:val="00595320"/>
    <w:rsid w:val="0059547E"/>
    <w:rsid w:val="005A0415"/>
    <w:rsid w:val="005A33A4"/>
    <w:rsid w:val="005A3877"/>
    <w:rsid w:val="005A44E6"/>
    <w:rsid w:val="005C2F42"/>
    <w:rsid w:val="005C39DD"/>
    <w:rsid w:val="005C3F63"/>
    <w:rsid w:val="005C4341"/>
    <w:rsid w:val="005C7216"/>
    <w:rsid w:val="005D0A15"/>
    <w:rsid w:val="005D2E22"/>
    <w:rsid w:val="005D61F9"/>
    <w:rsid w:val="005E1922"/>
    <w:rsid w:val="005E1D72"/>
    <w:rsid w:val="005E53D1"/>
    <w:rsid w:val="005E57AB"/>
    <w:rsid w:val="005E6929"/>
    <w:rsid w:val="00603C84"/>
    <w:rsid w:val="0061597D"/>
    <w:rsid w:val="006178EA"/>
    <w:rsid w:val="0062209E"/>
    <w:rsid w:val="006304AB"/>
    <w:rsid w:val="006320AE"/>
    <w:rsid w:val="006343AE"/>
    <w:rsid w:val="0064254A"/>
    <w:rsid w:val="006461C8"/>
    <w:rsid w:val="006536E7"/>
    <w:rsid w:val="00657D34"/>
    <w:rsid w:val="006740ED"/>
    <w:rsid w:val="0067782B"/>
    <w:rsid w:val="00682F70"/>
    <w:rsid w:val="0068573B"/>
    <w:rsid w:val="006907A7"/>
    <w:rsid w:val="00690BF1"/>
    <w:rsid w:val="00692C90"/>
    <w:rsid w:val="006A0414"/>
    <w:rsid w:val="006A2C71"/>
    <w:rsid w:val="006A55E9"/>
    <w:rsid w:val="006B3AB1"/>
    <w:rsid w:val="006C29FD"/>
    <w:rsid w:val="006C2B36"/>
    <w:rsid w:val="006E3575"/>
    <w:rsid w:val="006E5F17"/>
    <w:rsid w:val="006E62E0"/>
    <w:rsid w:val="006F60C3"/>
    <w:rsid w:val="00700AFF"/>
    <w:rsid w:val="007037C6"/>
    <w:rsid w:val="00714B97"/>
    <w:rsid w:val="007174EA"/>
    <w:rsid w:val="00720A9D"/>
    <w:rsid w:val="007226D7"/>
    <w:rsid w:val="00725E8C"/>
    <w:rsid w:val="00726482"/>
    <w:rsid w:val="007271B1"/>
    <w:rsid w:val="00730882"/>
    <w:rsid w:val="007400A7"/>
    <w:rsid w:val="00745E3E"/>
    <w:rsid w:val="007577BE"/>
    <w:rsid w:val="0076146B"/>
    <w:rsid w:val="007657B3"/>
    <w:rsid w:val="00765B77"/>
    <w:rsid w:val="007702A2"/>
    <w:rsid w:val="00771BE6"/>
    <w:rsid w:val="0079432B"/>
    <w:rsid w:val="0079580F"/>
    <w:rsid w:val="007A16C6"/>
    <w:rsid w:val="007A5395"/>
    <w:rsid w:val="007B68A1"/>
    <w:rsid w:val="007C54AA"/>
    <w:rsid w:val="007E7D26"/>
    <w:rsid w:val="007F37D0"/>
    <w:rsid w:val="0080436C"/>
    <w:rsid w:val="00814037"/>
    <w:rsid w:val="00814FD3"/>
    <w:rsid w:val="0083238A"/>
    <w:rsid w:val="00843DC8"/>
    <w:rsid w:val="0085057D"/>
    <w:rsid w:val="00851619"/>
    <w:rsid w:val="00873BC0"/>
    <w:rsid w:val="0088019D"/>
    <w:rsid w:val="00880B9B"/>
    <w:rsid w:val="00881BEA"/>
    <w:rsid w:val="00883B63"/>
    <w:rsid w:val="00897F2F"/>
    <w:rsid w:val="008A3725"/>
    <w:rsid w:val="008A3DEE"/>
    <w:rsid w:val="008A498A"/>
    <w:rsid w:val="008B1592"/>
    <w:rsid w:val="008B5037"/>
    <w:rsid w:val="008C3A05"/>
    <w:rsid w:val="008C4C83"/>
    <w:rsid w:val="008C55C9"/>
    <w:rsid w:val="008C563F"/>
    <w:rsid w:val="008E4088"/>
    <w:rsid w:val="0090292A"/>
    <w:rsid w:val="009074C3"/>
    <w:rsid w:val="009110E0"/>
    <w:rsid w:val="009159FF"/>
    <w:rsid w:val="0091757F"/>
    <w:rsid w:val="0091779A"/>
    <w:rsid w:val="0092264D"/>
    <w:rsid w:val="009241DD"/>
    <w:rsid w:val="00925DF0"/>
    <w:rsid w:val="009304BB"/>
    <w:rsid w:val="00930E50"/>
    <w:rsid w:val="00931A67"/>
    <w:rsid w:val="009335A3"/>
    <w:rsid w:val="009340D7"/>
    <w:rsid w:val="00940B38"/>
    <w:rsid w:val="0094356B"/>
    <w:rsid w:val="00945909"/>
    <w:rsid w:val="00945DC2"/>
    <w:rsid w:val="00947EF1"/>
    <w:rsid w:val="00950E76"/>
    <w:rsid w:val="00952FCA"/>
    <w:rsid w:val="0096795B"/>
    <w:rsid w:val="00975BA4"/>
    <w:rsid w:val="009760B7"/>
    <w:rsid w:val="00977455"/>
    <w:rsid w:val="009920F4"/>
    <w:rsid w:val="009A1A65"/>
    <w:rsid w:val="009A3C68"/>
    <w:rsid w:val="009A5089"/>
    <w:rsid w:val="009A5F0A"/>
    <w:rsid w:val="009B3F64"/>
    <w:rsid w:val="009C1E04"/>
    <w:rsid w:val="009C44B6"/>
    <w:rsid w:val="009C768B"/>
    <w:rsid w:val="009C7EA3"/>
    <w:rsid w:val="009D0694"/>
    <w:rsid w:val="009D1763"/>
    <w:rsid w:val="009D25BC"/>
    <w:rsid w:val="009D4003"/>
    <w:rsid w:val="009E15D0"/>
    <w:rsid w:val="009E3F71"/>
    <w:rsid w:val="009F20FF"/>
    <w:rsid w:val="00A05145"/>
    <w:rsid w:val="00A14982"/>
    <w:rsid w:val="00A16393"/>
    <w:rsid w:val="00A21850"/>
    <w:rsid w:val="00A24DDC"/>
    <w:rsid w:val="00A25AED"/>
    <w:rsid w:val="00A33B37"/>
    <w:rsid w:val="00A34DEA"/>
    <w:rsid w:val="00A35866"/>
    <w:rsid w:val="00A36ED6"/>
    <w:rsid w:val="00A3754E"/>
    <w:rsid w:val="00A41227"/>
    <w:rsid w:val="00A47BAC"/>
    <w:rsid w:val="00A50270"/>
    <w:rsid w:val="00A560EC"/>
    <w:rsid w:val="00A56883"/>
    <w:rsid w:val="00A624C8"/>
    <w:rsid w:val="00A64D92"/>
    <w:rsid w:val="00A66FD1"/>
    <w:rsid w:val="00A67798"/>
    <w:rsid w:val="00A70154"/>
    <w:rsid w:val="00A72704"/>
    <w:rsid w:val="00A727E7"/>
    <w:rsid w:val="00A81A4E"/>
    <w:rsid w:val="00A84F0F"/>
    <w:rsid w:val="00A87DF8"/>
    <w:rsid w:val="00A92865"/>
    <w:rsid w:val="00A9385D"/>
    <w:rsid w:val="00A955B4"/>
    <w:rsid w:val="00AA602C"/>
    <w:rsid w:val="00AB0C77"/>
    <w:rsid w:val="00AB13BD"/>
    <w:rsid w:val="00AB13CE"/>
    <w:rsid w:val="00AC15AD"/>
    <w:rsid w:val="00AC5294"/>
    <w:rsid w:val="00AC72B7"/>
    <w:rsid w:val="00AD119D"/>
    <w:rsid w:val="00AD378B"/>
    <w:rsid w:val="00AD67B1"/>
    <w:rsid w:val="00AE23EE"/>
    <w:rsid w:val="00AF129A"/>
    <w:rsid w:val="00AF1FE4"/>
    <w:rsid w:val="00AF4D93"/>
    <w:rsid w:val="00B038CC"/>
    <w:rsid w:val="00B05B10"/>
    <w:rsid w:val="00B11D67"/>
    <w:rsid w:val="00B150A5"/>
    <w:rsid w:val="00B21721"/>
    <w:rsid w:val="00B31ED9"/>
    <w:rsid w:val="00B36137"/>
    <w:rsid w:val="00B41BF6"/>
    <w:rsid w:val="00B42421"/>
    <w:rsid w:val="00B47852"/>
    <w:rsid w:val="00B5160F"/>
    <w:rsid w:val="00B55215"/>
    <w:rsid w:val="00B65D74"/>
    <w:rsid w:val="00B75860"/>
    <w:rsid w:val="00B8334F"/>
    <w:rsid w:val="00B84FA3"/>
    <w:rsid w:val="00B863C8"/>
    <w:rsid w:val="00BA27EB"/>
    <w:rsid w:val="00BA4F96"/>
    <w:rsid w:val="00BA74C2"/>
    <w:rsid w:val="00BB5D4F"/>
    <w:rsid w:val="00BC0080"/>
    <w:rsid w:val="00BD5382"/>
    <w:rsid w:val="00BE7BED"/>
    <w:rsid w:val="00BF1E4F"/>
    <w:rsid w:val="00BF1ED9"/>
    <w:rsid w:val="00C12D6F"/>
    <w:rsid w:val="00C145E6"/>
    <w:rsid w:val="00C2148E"/>
    <w:rsid w:val="00C21E13"/>
    <w:rsid w:val="00C33CA7"/>
    <w:rsid w:val="00C4307C"/>
    <w:rsid w:val="00C47804"/>
    <w:rsid w:val="00C51E6B"/>
    <w:rsid w:val="00C527CB"/>
    <w:rsid w:val="00C52A66"/>
    <w:rsid w:val="00C732E9"/>
    <w:rsid w:val="00C844D8"/>
    <w:rsid w:val="00C903EB"/>
    <w:rsid w:val="00C95DF4"/>
    <w:rsid w:val="00CA05C5"/>
    <w:rsid w:val="00CA2D33"/>
    <w:rsid w:val="00CA4AC5"/>
    <w:rsid w:val="00CC3EA1"/>
    <w:rsid w:val="00CC45BA"/>
    <w:rsid w:val="00CD0D46"/>
    <w:rsid w:val="00CD6F5B"/>
    <w:rsid w:val="00CE303F"/>
    <w:rsid w:val="00CE3570"/>
    <w:rsid w:val="00CE3B24"/>
    <w:rsid w:val="00CE7531"/>
    <w:rsid w:val="00D00861"/>
    <w:rsid w:val="00D03FFA"/>
    <w:rsid w:val="00D06022"/>
    <w:rsid w:val="00D119A3"/>
    <w:rsid w:val="00D11D63"/>
    <w:rsid w:val="00D16C5C"/>
    <w:rsid w:val="00D22B8D"/>
    <w:rsid w:val="00D23BCE"/>
    <w:rsid w:val="00D3053F"/>
    <w:rsid w:val="00D3780A"/>
    <w:rsid w:val="00D43C8F"/>
    <w:rsid w:val="00D44FFD"/>
    <w:rsid w:val="00D53538"/>
    <w:rsid w:val="00D54450"/>
    <w:rsid w:val="00D63E05"/>
    <w:rsid w:val="00D678F8"/>
    <w:rsid w:val="00D722D6"/>
    <w:rsid w:val="00D77419"/>
    <w:rsid w:val="00D963FD"/>
    <w:rsid w:val="00DA71DF"/>
    <w:rsid w:val="00DB1DD2"/>
    <w:rsid w:val="00DB4673"/>
    <w:rsid w:val="00DB4D20"/>
    <w:rsid w:val="00DC2EBE"/>
    <w:rsid w:val="00DC3BA8"/>
    <w:rsid w:val="00DC5EB1"/>
    <w:rsid w:val="00DD09CE"/>
    <w:rsid w:val="00DD0DD7"/>
    <w:rsid w:val="00DD6480"/>
    <w:rsid w:val="00DE7FBA"/>
    <w:rsid w:val="00DF0040"/>
    <w:rsid w:val="00DF0757"/>
    <w:rsid w:val="00DF12F2"/>
    <w:rsid w:val="00DF1E9C"/>
    <w:rsid w:val="00DF5436"/>
    <w:rsid w:val="00E1001B"/>
    <w:rsid w:val="00E167CE"/>
    <w:rsid w:val="00E24535"/>
    <w:rsid w:val="00E2505F"/>
    <w:rsid w:val="00E261E6"/>
    <w:rsid w:val="00E4107B"/>
    <w:rsid w:val="00E42EB3"/>
    <w:rsid w:val="00E619F8"/>
    <w:rsid w:val="00E702D6"/>
    <w:rsid w:val="00E75C7B"/>
    <w:rsid w:val="00E8410D"/>
    <w:rsid w:val="00E91909"/>
    <w:rsid w:val="00E91FCA"/>
    <w:rsid w:val="00EA6477"/>
    <w:rsid w:val="00EB3639"/>
    <w:rsid w:val="00EB5376"/>
    <w:rsid w:val="00EC09B4"/>
    <w:rsid w:val="00EE0761"/>
    <w:rsid w:val="00F04CF8"/>
    <w:rsid w:val="00F053FA"/>
    <w:rsid w:val="00F07224"/>
    <w:rsid w:val="00F075C2"/>
    <w:rsid w:val="00F10673"/>
    <w:rsid w:val="00F10D1D"/>
    <w:rsid w:val="00F1148E"/>
    <w:rsid w:val="00F118BD"/>
    <w:rsid w:val="00F32289"/>
    <w:rsid w:val="00F33192"/>
    <w:rsid w:val="00F33D30"/>
    <w:rsid w:val="00F40DBE"/>
    <w:rsid w:val="00F60AB1"/>
    <w:rsid w:val="00F65BB9"/>
    <w:rsid w:val="00F675E0"/>
    <w:rsid w:val="00F7043F"/>
    <w:rsid w:val="00F723D6"/>
    <w:rsid w:val="00F76284"/>
    <w:rsid w:val="00F81379"/>
    <w:rsid w:val="00F846B4"/>
    <w:rsid w:val="00F8494E"/>
    <w:rsid w:val="00F93CE1"/>
    <w:rsid w:val="00FA7B59"/>
    <w:rsid w:val="00FC6C31"/>
    <w:rsid w:val="00FE0458"/>
    <w:rsid w:val="00FE4B27"/>
    <w:rsid w:val="00FE67BA"/>
    <w:rsid w:val="00FF3C3C"/>
    <w:rsid w:val="00FF6009"/>
    <w:rsid w:val="00FF65DD"/>
    <w:rsid w:val="05BD4BDB"/>
    <w:rsid w:val="156F3681"/>
    <w:rsid w:val="45B252BF"/>
    <w:rsid w:val="5A75517F"/>
    <w:rsid w:val="681C0967"/>
    <w:rsid w:val="69D5621E"/>
    <w:rsid w:val="772358E1"/>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uk-UA" w:eastAsia="uk-UA" w:bidi="ar-SA"/>
      </w:rPr>
    </w:rPrDefault>
    <w:pPrDefault/>
  </w:docDefaults>
  <w:latentStyles w:defLockedState="0" w:defUIPriority="99" w:defSemiHidden="0" w:defUnhideWhenUsed="1" w:defQFormat="0" w:count="267">
    <w:lsdException w:name="Normal" w:uiPriority="0" w:unhideWhenUsed="0" w:qFormat="1"/>
    <w:lsdException w:name="heading 1" w:uiPriority="0" w:unhideWhenUsed="0" w:qFormat="1"/>
    <w:lsdException w:name="heading 2" w:semiHidden="1" w:uiPriority="9" w:qFormat="1"/>
    <w:lsdException w:name="heading 3" w:uiPriority="9" w:qFormat="1"/>
    <w:lsdException w:name="heading 4" w:semiHidden="1" w:uiPriority="9" w:qFormat="1"/>
    <w:lsdException w:name="heading 5"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uiPriority="0" w:unhideWhenUsed="0"/>
    <w:lsdException w:name="index heading" w:semiHidden="1"/>
    <w:lsdException w:name="caption" w:semiHidden="1" w:uiPriority="35" w:qFormat="1"/>
    <w:lsdException w:name="table of figures" w:semiHidden="1"/>
    <w:lsdException w:name="envelope address" w:semiHidden="1"/>
    <w:lsdException w:name="envelope return" w:semiHidden="1"/>
    <w:lsdException w:name="annotation reference" w:semiHidden="1" w:uiPriority="0" w:unhideWhenUsed="0"/>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0" w:unhideWhenUsed="0" w:qFormat="1"/>
    <w:lsdException w:name="Closing" w:semiHidden="1"/>
    <w:lsdException w:name="Signature" w:semiHidden="1"/>
    <w:lsdException w:name="Default Paragraph Font" w:semiHidden="1" w:uiPriority="1"/>
    <w:lsdException w:name="Body Text" w:uiPriority="0" w:unhideWhenUsed="0"/>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unhideWhenUsed="0"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uiPriority="0" w:unhideWhenUsed="0"/>
    <w:lsdException w:name="Body Text 3" w:semiHidden="1"/>
    <w:lsdException w:name="Body Text Indent 2" w:semiHidden="1"/>
    <w:lsdException w:name="Body Text Indent 3" w:semiHidden="1"/>
    <w:lsdException w:name="Block Text" w:semiHidden="1"/>
    <w:lsdException w:name="Hyperlink" w:uiPriority="0" w:unhideWhenUsed="0"/>
    <w:lsdException w:name="FollowedHyperlink" w:semiHidden="1"/>
    <w:lsdException w:name="Strong" w:uiPriority="22" w:unhideWhenUsed="0" w:qFormat="1"/>
    <w:lsdException w:name="Emphasis" w:uiPriority="20" w:unhideWhenUsed="0" w:qFormat="1"/>
    <w:lsdException w:name="Document Map" w:semiHidden="1"/>
    <w:lsdException w:name="Plain Text" w:semiHidden="1"/>
    <w:lsdException w:name="E-mail Signature" w:semiHidden="1"/>
    <w:lsdException w:name="HTML Top of Form" w:semiHidden="1"/>
    <w:lsdException w:name="HTML Bottom of Form"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Sample" w:semiHidden="1"/>
    <w:lsdException w:name="HTML Typewriter" w:semiHidden="1"/>
    <w:lsdException w:name="HTML Variable" w:semiHidden="1"/>
    <w:lsdException w:name="Normal Table" w:semiHidden="1"/>
    <w:lsdException w:name="annotation subject" w:semiHidden="1" w:uiPriority="0" w:unhideWhenUsed="0"/>
    <w:lsdException w:name="No List" w:semiHidden="1"/>
    <w:lsdException w:name="Outline List 1" w:semiHidden="1"/>
    <w:lsdException w:name="Outline List 2" w:semiHidden="1"/>
    <w:lsdException w:name="Outline List 3" w:semiHidden="1"/>
    <w:lsdException w:name="Table Simple 1" w:semiHidden="1"/>
    <w:lsdException w:name="Table Simple 2" w:semiHidden="1"/>
    <w:lsdException w:name="Table Simple 3" w:semiHidden="1"/>
    <w:lsdException w:name="Table Classic 1" w:semiHidden="1"/>
    <w:lsdException w:name="Table Classic 2" w:semiHidden="1"/>
    <w:lsdException w:name="Table Classic 3" w:semiHidden="1"/>
    <w:lsdException w:name="Table Classic 4" w:semiHidden="1"/>
    <w:lsdException w:name="Table Colorful 1" w:semiHidden="1"/>
    <w:lsdException w:name="Table Colorful 2" w:semiHidden="1"/>
    <w:lsdException w:name="Table Colorful 3" w:semiHidden="1"/>
    <w:lsdException w:name="Table Columns 1" w:semiHidden="1"/>
    <w:lsdException w:name="Table Columns 2" w:semiHidden="1"/>
    <w:lsdException w:name="Table Columns 3" w:semiHidden="1"/>
    <w:lsdException w:name="Table Columns 4" w:semiHidden="1"/>
    <w:lsdException w:name="Table Columns 5" w:semiHidden="1"/>
    <w:lsdException w:name="Table Grid 1" w:semiHidden="1"/>
    <w:lsdException w:name="Table Grid 2" w:semiHidden="1"/>
    <w:lsdException w:name="Table Grid 3" w:semiHidden="1"/>
    <w:lsdException w:name="Table Grid 4" w:semiHidden="1"/>
    <w:lsdException w:name="Table Grid 5" w:semiHidden="1"/>
    <w:lsdException w:name="Table Grid 6" w:semiHidden="1"/>
    <w:lsdException w:name="Table Grid 7" w:semiHidden="1"/>
    <w:lsdException w:name="Table Grid 8" w:semiHidden="1"/>
    <w:lsdException w:name="Table List 1" w:semiHidden="1"/>
    <w:lsdException w:name="Table List 2" w:semiHidden="1"/>
    <w:lsdException w:name="Table List 3" w:semiHidden="1"/>
    <w:lsdException w:name="Table List 4" w:semiHidden="1"/>
    <w:lsdException w:name="Table List 5" w:semiHidden="1"/>
    <w:lsdException w:name="Table List 6" w:semiHidden="1"/>
    <w:lsdException w:name="Table List 7" w:semiHidden="1"/>
    <w:lsdException w:name="Table List 8" w:semiHidden="1"/>
    <w:lsdException w:name="Table 3D effects 1" w:semiHidden="1"/>
    <w:lsdException w:name="Table 3D effects 2" w:semiHidden="1"/>
    <w:lsdException w:name="Table 3D effects 3" w:semiHidden="1"/>
    <w:lsdException w:name="Table Contemporary" w:semiHidden="1"/>
    <w:lsdException w:name="Table Elegant" w:semiHidden="1"/>
    <w:lsdException w:name="Table Professional" w:semiHidden="1"/>
    <w:lsdException w:name="Table Subtle 1" w:semiHidden="1"/>
    <w:lsdException w:name="Table Subtle 2" w:semiHidden="1"/>
    <w:lsdException w:name="Table Web 1" w:semiHidden="1"/>
    <w:lsdException w:name="Table Web 2" w:semiHidden="1"/>
    <w:lsdException w:name="Table Web 3" w:semiHidden="1"/>
    <w:lsdException w:name="Balloon Text" w:semiHidden="1"/>
    <w:lsdException w:name="Table Grid" w:uiPriority="39" w:unhideWhenUsed="0"/>
    <w:lsdException w:name="Table Theme" w:semiHidden="1"/>
    <w:lsdException w:name="Placeholder Text" w:semiHidden="1" w:unhideWhenUsed="0"/>
    <w:lsdException w:name="No Spacing" w:uiPriority="1" w:unhideWhenUsed="0" w:qFormat="1"/>
    <w:lsdException w:name="Light Shading" w:uiPriority="60" w:unhideWhenUsed="0"/>
    <w:lsdException w:name="Light List" w:uiPriority="61" w:unhideWhenUsed="0"/>
    <w:lsdException w:name="Light Grid" w:uiPriority="62" w:unhideWhenUsed="0"/>
    <w:lsdException w:name="Medium Shading 1" w:uiPriority="63" w:unhideWhenUsed="0"/>
    <w:lsdException w:name="Medium Shading 2" w:uiPriority="64" w:unhideWhenUsed="0"/>
    <w:lsdException w:name="Medium List 1" w:uiPriority="65" w:unhideWhenUsed="0"/>
    <w:lsdException w:name="Medium List 2" w:uiPriority="66" w:unhideWhenUsed="0"/>
    <w:lsdException w:name="Medium Grid 1" w:uiPriority="67" w:unhideWhenUsed="0"/>
    <w:lsdException w:name="Medium Grid 2" w:uiPriority="68" w:unhideWhenUsed="0"/>
    <w:lsdException w:name="Medium Grid 3" w:uiPriority="69" w:unhideWhenUsed="0"/>
    <w:lsdException w:name="Dark List" w:uiPriority="70" w:unhideWhenUsed="0"/>
    <w:lsdException w:name="Colorful Shading" w:uiPriority="71" w:unhideWhenUsed="0"/>
    <w:lsdException w:name="Colorful List" w:uiPriority="72" w:unhideWhenUsed="0"/>
    <w:lsdException w:name="Colorful Grid" w:uiPriority="73" w:unhideWhenUsed="0"/>
    <w:lsdException w:name="Light Shading Accent 1" w:uiPriority="60" w:unhideWhenUsed="0"/>
    <w:lsdException w:name="Light List Accent 1" w:uiPriority="61" w:unhideWhenUsed="0"/>
    <w:lsdException w:name="Light Grid Accent 1" w:uiPriority="62" w:unhideWhenUsed="0"/>
    <w:lsdException w:name="Medium Shading 1 Accent 1" w:uiPriority="63" w:unhideWhenUsed="0"/>
    <w:lsdException w:name="Medium Shading 2 Accent 1" w:uiPriority="64" w:unhideWhenUsed="0"/>
    <w:lsdException w:name="Medium List 1 Accent 1" w:uiPriority="65" w:unhideWhenUsed="0"/>
    <w:lsdException w:name="Revision" w:semiHidden="1" w:unhideWhenUsed="0"/>
    <w:lsdException w:name="List Paragraph" w:uiPriority="34" w:unhideWhenUsed="0" w:qFormat="1"/>
    <w:lsdException w:name="Quote" w:unhideWhenUsed="0"/>
    <w:lsdException w:name="Intense Quote" w:unhideWhenUsed="0"/>
    <w:lsdException w:name="Medium List 2 Accent 1" w:uiPriority="66" w:unhideWhenUsed="0"/>
    <w:lsdException w:name="Medium Grid 1 Accent 1" w:uiPriority="67" w:unhideWhenUsed="0"/>
    <w:lsdException w:name="Medium Grid 2 Accent 1" w:uiPriority="68" w:unhideWhenUsed="0"/>
    <w:lsdException w:name="Medium Grid 3 Accent 1" w:uiPriority="69" w:unhideWhenUsed="0"/>
    <w:lsdException w:name="Dark List Accent 1" w:uiPriority="70" w:unhideWhenUsed="0"/>
    <w:lsdException w:name="Colorful Shading Accent 1" w:uiPriority="71" w:unhideWhenUsed="0"/>
    <w:lsdException w:name="Colorful List Accent 1" w:uiPriority="72" w:unhideWhenUsed="0"/>
    <w:lsdException w:name="Colorful Grid Accent 1" w:uiPriority="73" w:unhideWhenUsed="0"/>
    <w:lsdException w:name="Light Shading Accent 2" w:uiPriority="60" w:unhideWhenUsed="0"/>
    <w:lsdException w:name="Light List Accent 2" w:uiPriority="61" w:unhideWhenUsed="0"/>
    <w:lsdException w:name="Light Grid Accent 2" w:uiPriority="62" w:unhideWhenUsed="0"/>
    <w:lsdException w:name="Medium Shading 1 Accent 2" w:uiPriority="63" w:unhideWhenUsed="0"/>
    <w:lsdException w:name="Medium Shading 2 Accent 2" w:uiPriority="64" w:unhideWhenUsed="0"/>
    <w:lsdException w:name="Medium List 1 Accent 2" w:uiPriority="65" w:unhideWhenUsed="0"/>
    <w:lsdException w:name="Medium List 2 Accent 2" w:uiPriority="66" w:unhideWhenUsed="0"/>
    <w:lsdException w:name="Medium Grid 1 Accent 2" w:uiPriority="67" w:unhideWhenUsed="0"/>
    <w:lsdException w:name="Medium Grid 2 Accent 2" w:uiPriority="68" w:unhideWhenUsed="0"/>
    <w:lsdException w:name="Medium Grid 3 Accent 2" w:uiPriority="69" w:unhideWhenUsed="0"/>
    <w:lsdException w:name="Dark List Accent 2" w:uiPriority="70" w:unhideWhenUsed="0"/>
    <w:lsdException w:name="Colorful Shading Accent 2" w:uiPriority="71" w:unhideWhenUsed="0"/>
    <w:lsdException w:name="Colorful List Accent 2" w:uiPriority="72" w:unhideWhenUsed="0"/>
    <w:lsdException w:name="Colorful Grid Accent 2" w:uiPriority="73" w:unhideWhenUsed="0"/>
    <w:lsdException w:name="Light Shading Accent 3" w:uiPriority="60" w:unhideWhenUsed="0"/>
    <w:lsdException w:name="Light List Accent 3" w:uiPriority="61" w:unhideWhenUsed="0"/>
    <w:lsdException w:name="Light Grid Accent 3" w:uiPriority="62" w:unhideWhenUsed="0"/>
    <w:lsdException w:name="Medium Shading 1 Accent 3" w:uiPriority="63" w:unhideWhenUsed="0"/>
    <w:lsdException w:name="Medium Shading 2 Accent 3" w:uiPriority="64" w:unhideWhenUsed="0"/>
    <w:lsdException w:name="Medium List 1 Accent 3" w:uiPriority="65" w:unhideWhenUsed="0"/>
    <w:lsdException w:name="Medium List 2 Accent 3" w:uiPriority="66" w:unhideWhenUsed="0"/>
    <w:lsdException w:name="Medium Grid 1 Accent 3" w:uiPriority="67" w:unhideWhenUsed="0"/>
    <w:lsdException w:name="Medium Grid 2 Accent 3" w:uiPriority="68" w:unhideWhenUsed="0"/>
    <w:lsdException w:name="Medium Grid 3 Accent 3" w:uiPriority="69" w:unhideWhenUsed="0"/>
    <w:lsdException w:name="Dark List Accent 3" w:uiPriority="70" w:unhideWhenUsed="0"/>
    <w:lsdException w:name="Colorful Shading Accent 3" w:uiPriority="71" w:unhideWhenUsed="0"/>
    <w:lsdException w:name="Colorful List Accent 3" w:uiPriority="72" w:unhideWhenUsed="0"/>
    <w:lsdException w:name="Colorful Grid Accent 3" w:uiPriority="73" w:unhideWhenUsed="0"/>
    <w:lsdException w:name="Light Shading Accent 4" w:uiPriority="60" w:unhideWhenUsed="0"/>
    <w:lsdException w:name="Light List Accent 4" w:uiPriority="61" w:unhideWhenUsed="0"/>
    <w:lsdException w:name="Light Grid Accent 4" w:uiPriority="62" w:unhideWhenUsed="0"/>
    <w:lsdException w:name="Medium Shading 1 Accent 4" w:uiPriority="63" w:unhideWhenUsed="0"/>
    <w:lsdException w:name="Medium Shading 2 Accent 4" w:uiPriority="64" w:unhideWhenUsed="0"/>
    <w:lsdException w:name="Medium List 1 Accent 4" w:uiPriority="65" w:unhideWhenUsed="0"/>
    <w:lsdException w:name="Medium List 2 Accent 4" w:uiPriority="66" w:unhideWhenUsed="0"/>
    <w:lsdException w:name="Medium Grid 1 Accent 4" w:uiPriority="67" w:unhideWhenUsed="0"/>
    <w:lsdException w:name="Medium Grid 2 Accent 4" w:uiPriority="68" w:unhideWhenUsed="0"/>
    <w:lsdException w:name="Medium Grid 3 Accent 4" w:uiPriority="69" w:unhideWhenUsed="0"/>
    <w:lsdException w:name="Dark List Accent 4" w:uiPriority="70" w:unhideWhenUsed="0"/>
    <w:lsdException w:name="Colorful Shading Accent 4" w:uiPriority="71" w:unhideWhenUsed="0"/>
    <w:lsdException w:name="Colorful List Accent 4" w:uiPriority="72" w:unhideWhenUsed="0"/>
    <w:lsdException w:name="Colorful Grid Accent 4" w:uiPriority="73" w:unhideWhenUsed="0"/>
    <w:lsdException w:name="Light Shading Accent 5" w:uiPriority="60" w:unhideWhenUsed="0"/>
    <w:lsdException w:name="Light List Accent 5" w:uiPriority="61" w:unhideWhenUsed="0"/>
    <w:lsdException w:name="Light Grid Accent 5" w:uiPriority="62" w:unhideWhenUsed="0"/>
    <w:lsdException w:name="Medium Shading 1 Accent 5" w:uiPriority="63" w:unhideWhenUsed="0"/>
    <w:lsdException w:name="Medium Shading 2 Accent 5" w:uiPriority="64" w:unhideWhenUsed="0"/>
    <w:lsdException w:name="Medium List 1 Accent 5" w:uiPriority="65" w:unhideWhenUsed="0"/>
    <w:lsdException w:name="Medium List 2 Accent 5" w:uiPriority="66" w:unhideWhenUsed="0"/>
    <w:lsdException w:name="Medium Grid 1 Accent 5" w:uiPriority="67" w:unhideWhenUsed="0"/>
    <w:lsdException w:name="Medium Grid 2 Accent 5" w:uiPriority="68" w:unhideWhenUsed="0"/>
    <w:lsdException w:name="Medium Grid 3 Accent 5" w:uiPriority="69" w:unhideWhenUsed="0"/>
    <w:lsdException w:name="Dark List Accent 5" w:uiPriority="70" w:unhideWhenUsed="0"/>
    <w:lsdException w:name="Colorful Shading Accent 5" w:uiPriority="71" w:unhideWhenUsed="0"/>
    <w:lsdException w:name="Colorful List Accent 5" w:uiPriority="72" w:unhideWhenUsed="0"/>
    <w:lsdException w:name="Colorful Grid Accent 5" w:uiPriority="73" w:unhideWhenUsed="0"/>
    <w:lsdException w:name="Light Shading Accent 6" w:uiPriority="60" w:unhideWhenUsed="0"/>
    <w:lsdException w:name="Light List Accent 6" w:uiPriority="61" w:unhideWhenUsed="0"/>
    <w:lsdException w:name="Light Grid Accent 6" w:uiPriority="62" w:unhideWhenUsed="0"/>
    <w:lsdException w:name="Medium Shading 1 Accent 6" w:uiPriority="63" w:unhideWhenUsed="0"/>
    <w:lsdException w:name="Medium Shading 2 Accent 6" w:uiPriority="64" w:unhideWhenUsed="0"/>
    <w:lsdException w:name="Medium List 1 Accent 6" w:uiPriority="65" w:unhideWhenUsed="0"/>
    <w:lsdException w:name="Medium List 2 Accent 6" w:uiPriority="66" w:unhideWhenUsed="0"/>
    <w:lsdException w:name="Medium Grid 1 Accent 6" w:uiPriority="67" w:unhideWhenUsed="0"/>
    <w:lsdException w:name="Medium Grid 2 Accent 6" w:uiPriority="68" w:unhideWhenUsed="0"/>
    <w:lsdException w:name="Medium Grid 3 Accent 6" w:uiPriority="69" w:unhideWhenUsed="0"/>
    <w:lsdException w:name="Dark List Accent 6" w:uiPriority="70" w:unhideWhenUsed="0"/>
    <w:lsdException w:name="Colorful Shading Accent 6" w:uiPriority="71" w:unhideWhenUsed="0"/>
    <w:lsdException w:name="Colorful List Accent 6" w:uiPriority="72" w:unhideWhenUsed="0"/>
    <w:lsdException w:name="Colorful Grid Accent 6"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semiHidden="1" w:uiPriority="37"/>
    <w:lsdException w:name="TOC Heading" w:semiHidden="1" w:uiPriority="39" w:qFormat="1"/>
  </w:latentStyles>
  <w:style w:type="paragraph" w:default="1" w:styleId="a0">
    <w:name w:val="Normal"/>
    <w:qFormat/>
    <w:pPr>
      <w:jc w:val="both"/>
    </w:pPr>
    <w:rPr>
      <w:rFonts w:ascii="Times New Roman" w:eastAsia="Times New Roman" w:hAnsi="Times New Roman"/>
      <w:sz w:val="24"/>
      <w:szCs w:val="22"/>
      <w:lang w:val="en-US" w:eastAsia="en-US" w:bidi="en-US"/>
    </w:rPr>
  </w:style>
  <w:style w:type="paragraph" w:styleId="1">
    <w:name w:val="heading 1"/>
    <w:basedOn w:val="a0"/>
    <w:next w:val="a1"/>
    <w:link w:val="10"/>
    <w:qFormat/>
    <w:pPr>
      <w:keepNext/>
      <w:spacing w:before="240" w:after="120"/>
      <w:jc w:val="center"/>
      <w:outlineLvl w:val="0"/>
    </w:pPr>
    <w:rPr>
      <w:rFonts w:ascii="Verdana" w:hAnsi="Verdana" w:cs="Arial"/>
      <w:b/>
      <w:bCs/>
      <w:kern w:val="32"/>
      <w:szCs w:val="32"/>
      <w:lang w:eastAsia="cs-CZ" w:bidi="ar-SA"/>
    </w:rPr>
  </w:style>
  <w:style w:type="paragraph" w:styleId="2">
    <w:name w:val="heading 2"/>
    <w:basedOn w:val="a0"/>
    <w:next w:val="a0"/>
    <w:link w:val="20"/>
    <w:uiPriority w:val="9"/>
    <w:semiHidden/>
    <w:unhideWhenUsed/>
    <w:qFormat/>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0"/>
    <w:next w:val="a0"/>
    <w:link w:val="30"/>
    <w:uiPriority w:val="9"/>
    <w:unhideWhenUsed/>
    <w:qFormat/>
    <w:pPr>
      <w:keepNext/>
      <w:keepLines/>
      <w:spacing w:before="40"/>
      <w:outlineLvl w:val="2"/>
    </w:pPr>
    <w:rPr>
      <w:rFonts w:asciiTheme="majorHAnsi" w:eastAsiaTheme="majorEastAsia" w:hAnsiTheme="majorHAnsi" w:cstheme="majorBidi"/>
      <w:color w:val="244061" w:themeColor="accent1" w:themeShade="80"/>
      <w:szCs w:val="24"/>
    </w:rPr>
  </w:style>
  <w:style w:type="paragraph" w:styleId="5">
    <w:name w:val="heading 5"/>
    <w:basedOn w:val="a0"/>
    <w:next w:val="a0"/>
    <w:link w:val="50"/>
    <w:uiPriority w:val="9"/>
    <w:unhideWhenUsed/>
    <w:qFormat/>
    <w:pPr>
      <w:spacing w:before="240" w:after="60"/>
      <w:outlineLvl w:val="4"/>
    </w:pPr>
    <w:rPr>
      <w:rFonts w:ascii="Calibri" w:hAnsi="Calibri"/>
      <w:b/>
      <w:bCs/>
      <w:i/>
      <w:iCs/>
      <w:sz w:val="26"/>
      <w:szCs w:val="2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Body Text"/>
    <w:basedOn w:val="a0"/>
    <w:link w:val="a5"/>
    <w:pPr>
      <w:spacing w:after="120"/>
    </w:pPr>
  </w:style>
  <w:style w:type="paragraph" w:styleId="a6">
    <w:name w:val="Balloon Text"/>
    <w:basedOn w:val="a0"/>
    <w:link w:val="a7"/>
    <w:uiPriority w:val="99"/>
    <w:semiHidden/>
    <w:unhideWhenUsed/>
    <w:rPr>
      <w:rFonts w:ascii="Tahoma" w:hAnsi="Tahoma" w:cs="Tahoma"/>
      <w:sz w:val="16"/>
      <w:szCs w:val="16"/>
      <w:lang w:eastAsia="zh-CN"/>
    </w:rPr>
  </w:style>
  <w:style w:type="paragraph" w:styleId="21">
    <w:name w:val="Body Text 2"/>
    <w:basedOn w:val="a0"/>
    <w:link w:val="22"/>
    <w:pPr>
      <w:spacing w:after="120" w:line="480" w:lineRule="auto"/>
      <w:jc w:val="left"/>
    </w:pPr>
    <w:rPr>
      <w:szCs w:val="24"/>
      <w:lang w:val="cs-CZ" w:eastAsia="cs-CZ" w:bidi="ar-SA"/>
    </w:rPr>
  </w:style>
  <w:style w:type="paragraph" w:styleId="a8">
    <w:name w:val="Body Text First Indent"/>
    <w:basedOn w:val="a1"/>
    <w:link w:val="a9"/>
    <w:uiPriority w:val="99"/>
    <w:semiHidden/>
    <w:unhideWhenUsed/>
    <w:pPr>
      <w:spacing w:after="0"/>
      <w:ind w:firstLine="360"/>
    </w:pPr>
  </w:style>
  <w:style w:type="paragraph" w:styleId="aa">
    <w:name w:val="annotation text"/>
    <w:basedOn w:val="a0"/>
    <w:link w:val="ab"/>
    <w:semiHidden/>
    <w:rPr>
      <w:sz w:val="20"/>
      <w:szCs w:val="20"/>
    </w:rPr>
  </w:style>
  <w:style w:type="paragraph" w:styleId="ac">
    <w:name w:val="annotation subject"/>
    <w:basedOn w:val="aa"/>
    <w:next w:val="aa"/>
    <w:semiHidden/>
    <w:rPr>
      <w:b/>
      <w:bCs/>
    </w:rPr>
  </w:style>
  <w:style w:type="paragraph" w:styleId="ad">
    <w:name w:val="footer"/>
    <w:basedOn w:val="a0"/>
    <w:link w:val="ae"/>
    <w:uiPriority w:val="99"/>
    <w:unhideWhenUsed/>
    <w:pPr>
      <w:tabs>
        <w:tab w:val="center" w:pos="4536"/>
        <w:tab w:val="right" w:pos="9072"/>
      </w:tabs>
    </w:pPr>
  </w:style>
  <w:style w:type="paragraph" w:styleId="af">
    <w:name w:val="footnote text"/>
    <w:basedOn w:val="a0"/>
    <w:link w:val="af0"/>
    <w:uiPriority w:val="99"/>
    <w:unhideWhenUsed/>
    <w:rPr>
      <w:sz w:val="20"/>
      <w:szCs w:val="20"/>
    </w:rPr>
  </w:style>
  <w:style w:type="paragraph" w:styleId="af1">
    <w:name w:val="header"/>
    <w:basedOn w:val="a0"/>
    <w:link w:val="af2"/>
    <w:uiPriority w:val="99"/>
    <w:unhideWhenUsed/>
    <w:pPr>
      <w:tabs>
        <w:tab w:val="center" w:pos="4536"/>
        <w:tab w:val="right" w:pos="9072"/>
      </w:tabs>
    </w:pPr>
  </w:style>
  <w:style w:type="paragraph" w:styleId="HTML">
    <w:name w:val="HTML Preformatted"/>
    <w:basedOn w:val="a0"/>
    <w:link w:val="HTML0"/>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Calibri" w:hAnsi="Courier New" w:cs="Courier New"/>
      <w:sz w:val="20"/>
      <w:szCs w:val="20"/>
      <w:lang w:val="sk-SK" w:eastAsia="sk-SK" w:bidi="ar-SA"/>
    </w:rPr>
  </w:style>
  <w:style w:type="paragraph" w:styleId="af3">
    <w:name w:val="Normal (Web)"/>
    <w:basedOn w:val="a0"/>
    <w:uiPriority w:val="99"/>
    <w:unhideWhenUsed/>
    <w:pPr>
      <w:spacing w:before="100" w:beforeAutospacing="1" w:after="100" w:afterAutospacing="1"/>
      <w:jc w:val="left"/>
    </w:pPr>
    <w:rPr>
      <w:szCs w:val="24"/>
      <w:lang w:val="sk-SK" w:eastAsia="sk-SK" w:bidi="ar-SA"/>
    </w:rPr>
  </w:style>
  <w:style w:type="paragraph" w:styleId="af4">
    <w:name w:val="Title"/>
    <w:basedOn w:val="a0"/>
    <w:link w:val="af5"/>
    <w:qFormat/>
    <w:pPr>
      <w:jc w:val="center"/>
    </w:pPr>
    <w:rPr>
      <w:rFonts w:cs="Mangal"/>
      <w:b/>
      <w:bCs/>
      <w:szCs w:val="24"/>
      <w:lang w:val="ro-RO" w:bidi="sa-IN"/>
    </w:rPr>
  </w:style>
  <w:style w:type="paragraph" w:styleId="11">
    <w:name w:val="toc 1"/>
    <w:basedOn w:val="a0"/>
    <w:next w:val="a0"/>
    <w:uiPriority w:val="39"/>
    <w:unhideWhenUsed/>
    <w:qFormat/>
    <w:pPr>
      <w:spacing w:after="100"/>
      <w:jc w:val="left"/>
    </w:pPr>
    <w:rPr>
      <w:rFonts w:ascii="Verdana" w:hAnsi="Verdana"/>
      <w:sz w:val="22"/>
    </w:rPr>
  </w:style>
  <w:style w:type="paragraph" w:styleId="23">
    <w:name w:val="toc 2"/>
    <w:basedOn w:val="a0"/>
    <w:next w:val="a0"/>
    <w:uiPriority w:val="39"/>
    <w:unhideWhenUsed/>
    <w:pPr>
      <w:spacing w:after="100"/>
      <w:ind w:left="240"/>
    </w:pPr>
    <w:rPr>
      <w:rFonts w:ascii="Verdana" w:hAnsi="Verdana"/>
      <w:i/>
      <w:sz w:val="20"/>
    </w:rPr>
  </w:style>
  <w:style w:type="paragraph" w:styleId="31">
    <w:name w:val="toc 3"/>
    <w:basedOn w:val="a0"/>
    <w:next w:val="a0"/>
    <w:uiPriority w:val="39"/>
    <w:unhideWhenUsed/>
    <w:pPr>
      <w:spacing w:after="100"/>
      <w:ind w:left="480"/>
    </w:pPr>
  </w:style>
  <w:style w:type="paragraph" w:styleId="4">
    <w:name w:val="toc 4"/>
    <w:basedOn w:val="a0"/>
    <w:next w:val="a0"/>
    <w:uiPriority w:val="39"/>
    <w:unhideWhenUsed/>
    <w:pPr>
      <w:spacing w:after="100" w:line="259" w:lineRule="auto"/>
      <w:ind w:left="660"/>
      <w:jc w:val="left"/>
    </w:pPr>
    <w:rPr>
      <w:rFonts w:asciiTheme="minorHAnsi" w:eastAsiaTheme="minorEastAsia" w:hAnsiTheme="minorHAnsi" w:cstheme="minorBidi"/>
      <w:sz w:val="22"/>
      <w:lang w:val="sk-SK" w:eastAsia="sk-SK" w:bidi="ar-SA"/>
    </w:rPr>
  </w:style>
  <w:style w:type="paragraph" w:styleId="51">
    <w:name w:val="toc 5"/>
    <w:basedOn w:val="a0"/>
    <w:next w:val="a0"/>
    <w:uiPriority w:val="39"/>
    <w:unhideWhenUsed/>
    <w:pPr>
      <w:spacing w:after="100" w:line="259" w:lineRule="auto"/>
      <w:ind w:left="880"/>
      <w:jc w:val="left"/>
    </w:pPr>
    <w:rPr>
      <w:rFonts w:asciiTheme="minorHAnsi" w:eastAsiaTheme="minorEastAsia" w:hAnsiTheme="minorHAnsi" w:cstheme="minorBidi"/>
      <w:sz w:val="22"/>
      <w:lang w:val="sk-SK" w:eastAsia="sk-SK" w:bidi="ar-SA"/>
    </w:rPr>
  </w:style>
  <w:style w:type="paragraph" w:styleId="6">
    <w:name w:val="toc 6"/>
    <w:basedOn w:val="a0"/>
    <w:next w:val="a0"/>
    <w:uiPriority w:val="39"/>
    <w:unhideWhenUsed/>
    <w:pPr>
      <w:spacing w:after="100" w:line="259" w:lineRule="auto"/>
      <w:ind w:left="1100"/>
      <w:jc w:val="left"/>
    </w:pPr>
    <w:rPr>
      <w:rFonts w:asciiTheme="minorHAnsi" w:eastAsiaTheme="minorEastAsia" w:hAnsiTheme="minorHAnsi" w:cstheme="minorBidi"/>
      <w:sz w:val="22"/>
      <w:lang w:val="sk-SK" w:eastAsia="sk-SK" w:bidi="ar-SA"/>
    </w:rPr>
  </w:style>
  <w:style w:type="paragraph" w:styleId="7">
    <w:name w:val="toc 7"/>
    <w:basedOn w:val="a0"/>
    <w:next w:val="a0"/>
    <w:uiPriority w:val="39"/>
    <w:unhideWhenUsed/>
    <w:pPr>
      <w:spacing w:after="100" w:line="259" w:lineRule="auto"/>
      <w:ind w:left="1320"/>
      <w:jc w:val="left"/>
    </w:pPr>
    <w:rPr>
      <w:rFonts w:asciiTheme="minorHAnsi" w:eastAsiaTheme="minorEastAsia" w:hAnsiTheme="minorHAnsi" w:cstheme="minorBidi"/>
      <w:sz w:val="22"/>
      <w:lang w:val="sk-SK" w:eastAsia="sk-SK" w:bidi="ar-SA"/>
    </w:rPr>
  </w:style>
  <w:style w:type="paragraph" w:styleId="8">
    <w:name w:val="toc 8"/>
    <w:basedOn w:val="a0"/>
    <w:next w:val="a0"/>
    <w:uiPriority w:val="39"/>
    <w:unhideWhenUsed/>
    <w:pPr>
      <w:spacing w:after="100" w:line="259" w:lineRule="auto"/>
      <w:ind w:left="1540"/>
      <w:jc w:val="left"/>
    </w:pPr>
    <w:rPr>
      <w:rFonts w:asciiTheme="minorHAnsi" w:eastAsiaTheme="minorEastAsia" w:hAnsiTheme="minorHAnsi" w:cstheme="minorBidi"/>
      <w:sz w:val="22"/>
      <w:lang w:val="sk-SK" w:eastAsia="sk-SK" w:bidi="ar-SA"/>
    </w:rPr>
  </w:style>
  <w:style w:type="paragraph" w:styleId="9">
    <w:name w:val="toc 9"/>
    <w:basedOn w:val="a0"/>
    <w:next w:val="a0"/>
    <w:uiPriority w:val="39"/>
    <w:unhideWhenUsed/>
    <w:pPr>
      <w:spacing w:after="100" w:line="259" w:lineRule="auto"/>
      <w:ind w:left="1760"/>
      <w:jc w:val="left"/>
    </w:pPr>
    <w:rPr>
      <w:rFonts w:asciiTheme="minorHAnsi" w:eastAsiaTheme="minorEastAsia" w:hAnsiTheme="minorHAnsi" w:cstheme="minorBidi"/>
      <w:sz w:val="22"/>
      <w:lang w:val="sk-SK" w:eastAsia="sk-SK" w:bidi="ar-SA"/>
    </w:rPr>
  </w:style>
  <w:style w:type="character" w:styleId="af6">
    <w:name w:val="annotation reference"/>
    <w:semiHidden/>
    <w:rPr>
      <w:sz w:val="16"/>
      <w:szCs w:val="16"/>
    </w:rPr>
  </w:style>
  <w:style w:type="character" w:styleId="af7">
    <w:name w:val="Emphasis"/>
    <w:uiPriority w:val="20"/>
    <w:qFormat/>
    <w:rPr>
      <w:b/>
      <w:bCs/>
    </w:rPr>
  </w:style>
  <w:style w:type="character" w:styleId="af8">
    <w:name w:val="footnote reference"/>
    <w:uiPriority w:val="99"/>
    <w:unhideWhenUsed/>
    <w:rPr>
      <w:vertAlign w:val="superscript"/>
    </w:rPr>
  </w:style>
  <w:style w:type="character" w:styleId="HTML1">
    <w:name w:val="HTML Cite"/>
    <w:uiPriority w:val="99"/>
    <w:semiHidden/>
    <w:unhideWhenUsed/>
    <w:rPr>
      <w:i/>
      <w:iCs/>
    </w:rPr>
  </w:style>
  <w:style w:type="character" w:styleId="af9">
    <w:name w:val="Hyperlink"/>
    <w:basedOn w:val="a2"/>
    <w:rPr>
      <w:rFonts w:cs="Times New Roman"/>
      <w:color w:val="0000FF"/>
      <w:u w:val="single"/>
    </w:rPr>
  </w:style>
  <w:style w:type="character" w:styleId="afa">
    <w:name w:val="Strong"/>
    <w:uiPriority w:val="22"/>
    <w:qFormat/>
    <w:rPr>
      <w:b/>
      <w:bCs/>
    </w:rPr>
  </w:style>
  <w:style w:type="table" w:styleId="afb">
    <w:name w:val="Table Grid"/>
    <w:basedOn w:val="a3"/>
    <w:uiPriority w:val="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c">
    <w:name w:val="Light Shading"/>
    <w:basedOn w:val="a3"/>
    <w:uiPriority w:val="60"/>
    <w:rPr>
      <w:color w:val="000000"/>
    </w:rPr>
    <w:tblPr>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a5">
    <w:name w:val="Основной текст Знак"/>
    <w:basedOn w:val="a2"/>
    <w:link w:val="a1"/>
    <w:rPr>
      <w:rFonts w:ascii="Times New Roman" w:eastAsia="Times New Roman" w:hAnsi="Times New Roman"/>
      <w:sz w:val="24"/>
      <w:szCs w:val="22"/>
      <w:lang w:val="en-US" w:eastAsia="en-US" w:bidi="en-US"/>
    </w:rPr>
  </w:style>
  <w:style w:type="character" w:customStyle="1" w:styleId="10">
    <w:name w:val="Заголовок 1 Знак"/>
    <w:link w:val="1"/>
    <w:rPr>
      <w:rFonts w:ascii="Verdana" w:eastAsia="Times New Roman" w:hAnsi="Verdana" w:cs="Arial"/>
      <w:b/>
      <w:bCs/>
      <w:kern w:val="32"/>
      <w:sz w:val="24"/>
      <w:szCs w:val="32"/>
      <w:lang w:val="en-US" w:eastAsia="cs-CZ"/>
    </w:rPr>
  </w:style>
  <w:style w:type="character" w:customStyle="1" w:styleId="20">
    <w:name w:val="Заголовок 2 Знак"/>
    <w:basedOn w:val="a2"/>
    <w:link w:val="2"/>
    <w:uiPriority w:val="9"/>
    <w:semiHidden/>
    <w:rPr>
      <w:rFonts w:asciiTheme="majorHAnsi" w:eastAsiaTheme="majorEastAsia" w:hAnsiTheme="majorHAnsi" w:cstheme="majorBidi"/>
      <w:color w:val="365F91" w:themeColor="accent1" w:themeShade="BF"/>
      <w:sz w:val="26"/>
      <w:szCs w:val="26"/>
      <w:lang w:val="en-US" w:eastAsia="en-US" w:bidi="en-US"/>
    </w:rPr>
  </w:style>
  <w:style w:type="character" w:customStyle="1" w:styleId="30">
    <w:name w:val="Заголовок 3 Знак"/>
    <w:basedOn w:val="a2"/>
    <w:link w:val="3"/>
    <w:uiPriority w:val="9"/>
    <w:rPr>
      <w:rFonts w:asciiTheme="majorHAnsi" w:eastAsiaTheme="majorEastAsia" w:hAnsiTheme="majorHAnsi" w:cstheme="majorBidi"/>
      <w:color w:val="244061" w:themeColor="accent1" w:themeShade="80"/>
      <w:sz w:val="24"/>
      <w:szCs w:val="24"/>
      <w:lang w:val="en-US" w:eastAsia="en-US" w:bidi="en-US"/>
    </w:rPr>
  </w:style>
  <w:style w:type="character" w:customStyle="1" w:styleId="50">
    <w:name w:val="Заголовок 5 Знак"/>
    <w:basedOn w:val="a2"/>
    <w:link w:val="5"/>
    <w:uiPriority w:val="9"/>
    <w:rPr>
      <w:rFonts w:eastAsia="Times New Roman"/>
      <w:b/>
      <w:bCs/>
      <w:i/>
      <w:iCs/>
      <w:sz w:val="26"/>
      <w:szCs w:val="26"/>
      <w:lang w:val="en-US" w:eastAsia="en-US" w:bidi="en-US"/>
    </w:rPr>
  </w:style>
  <w:style w:type="character" w:customStyle="1" w:styleId="a7">
    <w:name w:val="Текст выноски Знак"/>
    <w:link w:val="a6"/>
    <w:uiPriority w:val="99"/>
    <w:semiHidden/>
    <w:rPr>
      <w:rFonts w:ascii="Tahoma" w:eastAsia="Times New Roman" w:hAnsi="Tahoma" w:cs="Tahoma"/>
      <w:sz w:val="16"/>
      <w:szCs w:val="16"/>
      <w:lang w:val="en-US" w:bidi="en-US"/>
    </w:rPr>
  </w:style>
  <w:style w:type="paragraph" w:customStyle="1" w:styleId="Text">
    <w:name w:val="Text"/>
    <w:basedOn w:val="a0"/>
    <w:link w:val="TextChar"/>
    <w:qFormat/>
    <w:pPr>
      <w:spacing w:before="120"/>
    </w:pPr>
    <w:rPr>
      <w:szCs w:val="24"/>
      <w:lang w:eastAsia="cs-CZ" w:bidi="ar-SA"/>
    </w:rPr>
  </w:style>
  <w:style w:type="character" w:customStyle="1" w:styleId="TextChar">
    <w:name w:val="Text Char"/>
    <w:link w:val="Text"/>
    <w:rPr>
      <w:rFonts w:ascii="Times New Roman" w:eastAsia="Times New Roman" w:hAnsi="Times New Roman"/>
      <w:sz w:val="24"/>
      <w:szCs w:val="24"/>
      <w:lang w:val="en-US" w:eastAsia="cs-CZ"/>
    </w:rPr>
  </w:style>
  <w:style w:type="paragraph" w:styleId="afd">
    <w:name w:val="List Paragraph"/>
    <w:basedOn w:val="a0"/>
    <w:link w:val="afe"/>
    <w:uiPriority w:val="34"/>
    <w:qFormat/>
    <w:pPr>
      <w:ind w:left="720"/>
      <w:contextualSpacing/>
    </w:pPr>
  </w:style>
  <w:style w:type="character" w:customStyle="1" w:styleId="afe">
    <w:name w:val="Абзац списка Знак"/>
    <w:link w:val="afd"/>
    <w:uiPriority w:val="34"/>
    <w:locked/>
    <w:rPr>
      <w:rFonts w:ascii="Times New Roman" w:eastAsia="Times New Roman" w:hAnsi="Times New Roman"/>
      <w:sz w:val="24"/>
      <w:szCs w:val="22"/>
      <w:lang w:val="en-US" w:eastAsia="en-US" w:bidi="en-US"/>
    </w:rPr>
  </w:style>
  <w:style w:type="paragraph" w:customStyle="1" w:styleId="04-Anotacijostekstas">
    <w:name w:val="04 - Anotacijos tekstas"/>
    <w:basedOn w:val="a0"/>
    <w:pPr>
      <w:spacing w:before="240"/>
      <w:ind w:left="425" w:right="425"/>
    </w:pPr>
    <w:rPr>
      <w:sz w:val="20"/>
      <w:szCs w:val="20"/>
      <w:lang w:eastAsia="lt-LT" w:bidi="ar-SA"/>
    </w:rPr>
  </w:style>
  <w:style w:type="paragraph" w:customStyle="1" w:styleId="aff">
    <w:name w:val="文献"/>
    <w:basedOn w:val="a0"/>
    <w:qFormat/>
    <w:pPr>
      <w:jc w:val="left"/>
    </w:pPr>
    <w:rPr>
      <w:rFonts w:eastAsia="MS Mincho"/>
      <w:kern w:val="2"/>
      <w:szCs w:val="24"/>
      <w:shd w:val="clear" w:color="auto" w:fill="FFFFFF"/>
      <w:lang w:eastAsia="ja-JP" w:bidi="ar-SA"/>
    </w:rPr>
  </w:style>
  <w:style w:type="paragraph" w:customStyle="1" w:styleId="Autor">
    <w:name w:val="Autor"/>
    <w:basedOn w:val="a0"/>
    <w:link w:val="AutorChar"/>
    <w:qFormat/>
    <w:pPr>
      <w:spacing w:after="120"/>
      <w:jc w:val="center"/>
    </w:pPr>
    <w:rPr>
      <w:rFonts w:ascii="Verdana" w:hAnsi="Verdana"/>
      <w:b/>
      <w:sz w:val="20"/>
      <w:szCs w:val="20"/>
    </w:rPr>
  </w:style>
  <w:style w:type="character" w:customStyle="1" w:styleId="AutorChar">
    <w:name w:val="Autor Char"/>
    <w:link w:val="Autor"/>
    <w:rPr>
      <w:rFonts w:ascii="Verdana" w:eastAsia="Times New Roman" w:hAnsi="Verdana"/>
      <w:b/>
      <w:lang w:val="en-US" w:eastAsia="en-US" w:bidi="en-US"/>
    </w:rPr>
  </w:style>
  <w:style w:type="paragraph" w:customStyle="1" w:styleId="Nadpis2">
    <w:name w:val="Nadpis2"/>
    <w:basedOn w:val="1"/>
    <w:link w:val="Nadpis2Char"/>
    <w:qFormat/>
    <w:rPr>
      <w:sz w:val="22"/>
      <w:szCs w:val="22"/>
      <w:lang w:val="sk-SK"/>
    </w:rPr>
  </w:style>
  <w:style w:type="character" w:customStyle="1" w:styleId="Nadpis2Char">
    <w:name w:val="Nadpis2 Char"/>
    <w:link w:val="Nadpis2"/>
    <w:rPr>
      <w:rFonts w:ascii="Verdana" w:eastAsia="Times New Roman" w:hAnsi="Verdana" w:cs="Arial"/>
      <w:b/>
      <w:bCs/>
      <w:kern w:val="32"/>
      <w:sz w:val="22"/>
      <w:szCs w:val="22"/>
      <w:lang w:val="en-US" w:eastAsia="cs-CZ"/>
    </w:rPr>
  </w:style>
  <w:style w:type="paragraph" w:customStyle="1" w:styleId="Kapitola">
    <w:name w:val="Kapitola"/>
    <w:basedOn w:val="1"/>
    <w:link w:val="KapitolaChar"/>
    <w:qFormat/>
    <w:pPr>
      <w:jc w:val="left"/>
    </w:pPr>
    <w:rPr>
      <w:sz w:val="22"/>
    </w:rPr>
  </w:style>
  <w:style w:type="character" w:customStyle="1" w:styleId="KapitolaChar">
    <w:name w:val="Kapitola Char"/>
    <w:link w:val="Kapitola"/>
    <w:rPr>
      <w:rFonts w:ascii="Verdana" w:eastAsia="Times New Roman" w:hAnsi="Verdana" w:cs="Arial"/>
      <w:b/>
      <w:bCs/>
      <w:kern w:val="32"/>
      <w:sz w:val="22"/>
      <w:szCs w:val="32"/>
      <w:lang w:val="en-US" w:eastAsia="cs-CZ"/>
    </w:rPr>
  </w:style>
  <w:style w:type="character" w:styleId="aff0">
    <w:name w:val="Placeholder Text"/>
    <w:basedOn w:val="a2"/>
    <w:uiPriority w:val="99"/>
    <w:semiHidden/>
    <w:rPr>
      <w:color w:val="808080"/>
    </w:rPr>
  </w:style>
  <w:style w:type="character" w:customStyle="1" w:styleId="af2">
    <w:name w:val="Верхний колонтитул Знак"/>
    <w:basedOn w:val="a2"/>
    <w:link w:val="af1"/>
    <w:uiPriority w:val="99"/>
    <w:rPr>
      <w:rFonts w:ascii="Times New Roman" w:eastAsia="Times New Roman" w:hAnsi="Times New Roman"/>
      <w:sz w:val="24"/>
      <w:szCs w:val="22"/>
      <w:lang w:val="en-US" w:eastAsia="en-US" w:bidi="en-US"/>
    </w:rPr>
  </w:style>
  <w:style w:type="character" w:customStyle="1" w:styleId="ae">
    <w:name w:val="Нижний колонтитул Знак"/>
    <w:basedOn w:val="a2"/>
    <w:link w:val="ad"/>
    <w:uiPriority w:val="99"/>
    <w:rPr>
      <w:rFonts w:ascii="Times New Roman" w:eastAsia="Times New Roman" w:hAnsi="Times New Roman"/>
      <w:sz w:val="24"/>
      <w:szCs w:val="22"/>
      <w:lang w:val="en-US" w:eastAsia="en-US" w:bidi="en-US"/>
    </w:rPr>
  </w:style>
  <w:style w:type="table" w:customStyle="1" w:styleId="Mriekatabuky1">
    <w:name w:val="Mriežka tabuľky1"/>
    <w:basedOn w:val="a3"/>
    <w:uiPriority w:val="3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0">
    <w:name w:val="Текст сноски Знак"/>
    <w:basedOn w:val="a2"/>
    <w:link w:val="af"/>
    <w:uiPriority w:val="99"/>
    <w:qFormat/>
    <w:rPr>
      <w:rFonts w:ascii="Times New Roman" w:eastAsia="Times New Roman" w:hAnsi="Times New Roman"/>
      <w:lang w:val="en-US" w:eastAsia="en-US" w:bidi="en-US"/>
    </w:rPr>
  </w:style>
  <w:style w:type="character" w:customStyle="1" w:styleId="a9">
    <w:name w:val="Красная строка Знак"/>
    <w:basedOn w:val="a5"/>
    <w:link w:val="a8"/>
    <w:uiPriority w:val="99"/>
    <w:semiHidden/>
    <w:rPr>
      <w:rFonts w:ascii="Times New Roman" w:eastAsia="Times New Roman" w:hAnsi="Times New Roman"/>
      <w:sz w:val="24"/>
      <w:szCs w:val="22"/>
      <w:lang w:val="en-US" w:eastAsia="en-US" w:bidi="en-US"/>
    </w:rPr>
  </w:style>
  <w:style w:type="character" w:customStyle="1" w:styleId="st1">
    <w:name w:val="st1"/>
  </w:style>
  <w:style w:type="paragraph" w:customStyle="1" w:styleId="12">
    <w:name w:val="Бібліографія1"/>
    <w:basedOn w:val="a0"/>
    <w:next w:val="a0"/>
    <w:uiPriority w:val="37"/>
    <w:semiHidden/>
    <w:unhideWhenUsed/>
  </w:style>
  <w:style w:type="table" w:customStyle="1" w:styleId="Mriekatabuky2">
    <w:name w:val="Mriežka tabuľky2"/>
    <w:basedOn w:val="a3"/>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Заголовок змісту1"/>
    <w:basedOn w:val="1"/>
    <w:next w:val="a0"/>
    <w:uiPriority w:val="39"/>
    <w:unhideWhenUsed/>
    <w:qFormat/>
    <w:pPr>
      <w:keepLines/>
      <w:spacing w:after="0" w:line="259" w:lineRule="auto"/>
      <w:jc w:val="left"/>
      <w:outlineLvl w:val="9"/>
    </w:pPr>
    <w:rPr>
      <w:rFonts w:asciiTheme="majorHAnsi" w:eastAsiaTheme="majorEastAsia" w:hAnsiTheme="majorHAnsi" w:cstheme="majorBidi"/>
      <w:b w:val="0"/>
      <w:bCs w:val="0"/>
      <w:color w:val="365F91" w:themeColor="accent1" w:themeShade="BF"/>
      <w:kern w:val="0"/>
      <w:sz w:val="32"/>
      <w:lang w:val="sk-SK" w:eastAsia="sk-SK"/>
    </w:rPr>
  </w:style>
  <w:style w:type="paragraph" w:customStyle="1" w:styleId="Normlny1">
    <w:name w:val="Normálny 1"/>
    <w:basedOn w:val="a0"/>
    <w:link w:val="Normlny1Char"/>
    <w:uiPriority w:val="99"/>
    <w:pPr>
      <w:spacing w:line="360" w:lineRule="auto"/>
    </w:pPr>
    <w:rPr>
      <w:rFonts w:eastAsia="Calibri"/>
      <w:lang w:val="sk-SK" w:bidi="ar-SA"/>
    </w:rPr>
  </w:style>
  <w:style w:type="character" w:customStyle="1" w:styleId="Normlny1Char">
    <w:name w:val="Normálny 1 Char"/>
    <w:link w:val="Normlny1"/>
    <w:uiPriority w:val="99"/>
    <w:locked/>
    <w:rPr>
      <w:rFonts w:ascii="Times New Roman" w:hAnsi="Times New Roman"/>
      <w:sz w:val="24"/>
      <w:szCs w:val="22"/>
      <w:lang w:eastAsia="en-US"/>
    </w:rPr>
  </w:style>
  <w:style w:type="character" w:customStyle="1" w:styleId="alt-edited1">
    <w:name w:val="alt-edited1"/>
    <w:rPr>
      <w:color w:val="4D90F0"/>
    </w:rPr>
  </w:style>
  <w:style w:type="character" w:customStyle="1" w:styleId="MTEquationSection">
    <w:name w:val="MTEquationSection"/>
    <w:rPr>
      <w:vanish/>
      <w:color w:val="FF0000"/>
    </w:rPr>
  </w:style>
  <w:style w:type="paragraph" w:customStyle="1" w:styleId="Default">
    <w:name w:val="Default"/>
    <w:pPr>
      <w:autoSpaceDE w:val="0"/>
      <w:autoSpaceDN w:val="0"/>
      <w:adjustRightInd w:val="0"/>
    </w:pPr>
    <w:rPr>
      <w:rFonts w:cs="Calibri"/>
      <w:color w:val="000000"/>
      <w:sz w:val="24"/>
      <w:szCs w:val="24"/>
      <w:lang w:val="sk-SK" w:eastAsia="sk-SK"/>
    </w:rPr>
  </w:style>
  <w:style w:type="character" w:customStyle="1" w:styleId="s9">
    <w:name w:val="s9"/>
  </w:style>
  <w:style w:type="paragraph" w:customStyle="1" w:styleId="Bezodstavcovhostylu">
    <w:name w:val="[Bez odstavcového stylu]"/>
    <w:pPr>
      <w:widowControl w:val="0"/>
      <w:autoSpaceDE w:val="0"/>
      <w:autoSpaceDN w:val="0"/>
      <w:adjustRightInd w:val="0"/>
      <w:spacing w:line="288" w:lineRule="auto"/>
      <w:textAlignment w:val="center"/>
    </w:pPr>
    <w:rPr>
      <w:rFonts w:ascii="Times Roman" w:eastAsia="Times New Roman" w:hAnsi="Times Roman" w:cs="Times Roman"/>
      <w:color w:val="000000"/>
      <w:sz w:val="24"/>
      <w:szCs w:val="24"/>
      <w:lang w:val="cs-CZ" w:eastAsia="cs-CZ"/>
    </w:rPr>
  </w:style>
  <w:style w:type="paragraph" w:customStyle="1" w:styleId="popisek">
    <w:name w:val="popisek"/>
    <w:basedOn w:val="a0"/>
    <w:uiPriority w:val="99"/>
    <w:pPr>
      <w:widowControl w:val="0"/>
      <w:tabs>
        <w:tab w:val="left" w:pos="283"/>
      </w:tabs>
      <w:autoSpaceDE w:val="0"/>
      <w:autoSpaceDN w:val="0"/>
      <w:adjustRightInd w:val="0"/>
      <w:spacing w:line="248" w:lineRule="atLeast"/>
      <w:ind w:firstLine="283"/>
      <w:jc w:val="center"/>
      <w:textAlignment w:val="center"/>
    </w:pPr>
    <w:rPr>
      <w:b/>
      <w:bCs/>
      <w:color w:val="000000"/>
      <w:sz w:val="22"/>
      <w:lang w:val="en-GB" w:eastAsia="cs-CZ" w:bidi="ar-SA"/>
    </w:rPr>
  </w:style>
  <w:style w:type="paragraph" w:customStyle="1" w:styleId="poznamkapodcarou">
    <w:name w:val="poznamka pod carou"/>
    <w:basedOn w:val="a0"/>
    <w:uiPriority w:val="99"/>
    <w:pPr>
      <w:widowControl w:val="0"/>
      <w:autoSpaceDE w:val="0"/>
      <w:autoSpaceDN w:val="0"/>
      <w:adjustRightInd w:val="0"/>
      <w:spacing w:line="180" w:lineRule="atLeast"/>
      <w:ind w:left="198" w:hanging="198"/>
      <w:textAlignment w:val="center"/>
    </w:pPr>
    <w:rPr>
      <w:color w:val="000000"/>
      <w:sz w:val="16"/>
      <w:szCs w:val="16"/>
      <w:lang w:val="cs-CZ" w:eastAsia="cs-CZ" w:bidi="ar-SA"/>
    </w:rPr>
  </w:style>
  <w:style w:type="character" w:customStyle="1" w:styleId="swiz91">
    <w:name w:val="swiz91"/>
    <w:uiPriority w:val="99"/>
    <w:rPr>
      <w:rFonts w:ascii="HelveticaNeueLT Pro 55 Roman" w:hAnsi="HelveticaNeueLT Pro 55 Roman"/>
      <w:color w:val="000000"/>
      <w:spacing w:val="0"/>
      <w:w w:val="100"/>
      <w:position w:val="0"/>
      <w:sz w:val="19"/>
      <w:u w:val="none"/>
      <w:vertAlign w:val="baseline"/>
      <w:lang w:val="en-US" w:eastAsia="zh-CN"/>
    </w:rPr>
  </w:style>
  <w:style w:type="paragraph" w:customStyle="1" w:styleId="NumberedParagraph-BulletelistLeft0Firstline0">
    <w:name w:val="Numbered Paragraph - Bullete list + Left:  0&quot; First line:  0&quot;"/>
    <w:basedOn w:val="a0"/>
    <w:pPr>
      <w:tabs>
        <w:tab w:val="left" w:pos="720"/>
      </w:tabs>
      <w:spacing w:before="120" w:line="240" w:lineRule="exact"/>
      <w:ind w:left="720" w:hanging="360"/>
    </w:pPr>
    <w:rPr>
      <w:snapToGrid w:val="0"/>
      <w:kern w:val="8"/>
      <w:sz w:val="20"/>
      <w:szCs w:val="20"/>
      <w:lang w:eastAsia="cs-CZ" w:bidi="ar-SA"/>
    </w:rPr>
  </w:style>
  <w:style w:type="paragraph" w:customStyle="1" w:styleId="Poznmkapodiarou">
    <w:name w:val="Poznámka_pod_čiarou"/>
    <w:basedOn w:val="af"/>
    <w:link w:val="PoznmkapodiarouChar"/>
    <w:pPr>
      <w:spacing w:after="60"/>
      <w:ind w:left="284" w:hanging="284"/>
    </w:pPr>
    <w:rPr>
      <w:lang w:val="sk-SK" w:eastAsia="sk-SK" w:bidi="ar-SA"/>
    </w:rPr>
  </w:style>
  <w:style w:type="character" w:customStyle="1" w:styleId="PoznmkapodiarouChar">
    <w:name w:val="Poznámka_pod_čiarou Char"/>
    <w:link w:val="Poznmkapodiarou"/>
    <w:locked/>
    <w:rPr>
      <w:rFonts w:ascii="Times New Roman" w:eastAsia="Times New Roman" w:hAnsi="Times New Roman"/>
    </w:rPr>
  </w:style>
  <w:style w:type="character" w:customStyle="1" w:styleId="il">
    <w:name w:val="il"/>
  </w:style>
  <w:style w:type="paragraph" w:customStyle="1" w:styleId="Referencetext">
    <w:name w:val="Reference text"/>
    <w:basedOn w:val="a0"/>
    <w:pPr>
      <w:overflowPunct w:val="0"/>
      <w:autoSpaceDE w:val="0"/>
      <w:autoSpaceDN w:val="0"/>
      <w:adjustRightInd w:val="0"/>
      <w:spacing w:line="220" w:lineRule="exact"/>
      <w:ind w:left="284" w:hanging="284"/>
      <w:textAlignment w:val="baseline"/>
    </w:pPr>
    <w:rPr>
      <w:sz w:val="20"/>
      <w:szCs w:val="20"/>
      <w:lang w:bidi="ar-SA"/>
    </w:rPr>
  </w:style>
  <w:style w:type="paragraph" w:customStyle="1" w:styleId="CM1">
    <w:name w:val="CM1"/>
    <w:basedOn w:val="Default"/>
    <w:next w:val="Default"/>
    <w:uiPriority w:val="99"/>
    <w:rPr>
      <w:rFonts w:ascii="EUAlbertina" w:hAnsi="EUAlbertina" w:cs="Times New Roman"/>
      <w:color w:val="auto"/>
    </w:rPr>
  </w:style>
  <w:style w:type="paragraph" w:customStyle="1" w:styleId="CM4">
    <w:name w:val="CM4"/>
    <w:basedOn w:val="Default"/>
    <w:next w:val="Default"/>
    <w:uiPriority w:val="99"/>
    <w:rPr>
      <w:rFonts w:ascii="EUAlbertina" w:hAnsi="EUAlbertina" w:cs="Times New Roman"/>
      <w:color w:val="auto"/>
    </w:rPr>
  </w:style>
  <w:style w:type="paragraph" w:styleId="a">
    <w:name w:val="No Spacing"/>
    <w:basedOn w:val="a0"/>
    <w:uiPriority w:val="1"/>
    <w:qFormat/>
    <w:pPr>
      <w:numPr>
        <w:numId w:val="1"/>
      </w:numPr>
      <w:spacing w:line="360" w:lineRule="auto"/>
    </w:pPr>
    <w:rPr>
      <w:rFonts w:eastAsiaTheme="minorHAnsi"/>
      <w:szCs w:val="24"/>
      <w:lang w:val="sk-SK" w:bidi="ar-SA"/>
    </w:rPr>
  </w:style>
  <w:style w:type="character" w:customStyle="1" w:styleId="22">
    <w:name w:val="Основной текст 2 Знак"/>
    <w:basedOn w:val="a2"/>
    <w:link w:val="21"/>
    <w:rPr>
      <w:rFonts w:ascii="Times New Roman" w:eastAsia="Times New Roman" w:hAnsi="Times New Roman"/>
      <w:sz w:val="24"/>
      <w:szCs w:val="24"/>
      <w:lang w:val="cs-CZ" w:eastAsia="cs-CZ"/>
    </w:rPr>
  </w:style>
  <w:style w:type="character" w:customStyle="1" w:styleId="hlfld-title">
    <w:name w:val="hlfld-title"/>
  </w:style>
  <w:style w:type="character" w:customStyle="1" w:styleId="HTML0">
    <w:name w:val="Стандартный HTML Знак"/>
    <w:basedOn w:val="a2"/>
    <w:link w:val="HTML"/>
    <w:uiPriority w:val="99"/>
    <w:rPr>
      <w:rFonts w:ascii="Courier New" w:hAnsi="Courier New" w:cs="Courier New"/>
    </w:rPr>
  </w:style>
  <w:style w:type="character" w:customStyle="1" w:styleId="post-meta-author">
    <w:name w:val="post-meta-author"/>
  </w:style>
  <w:style w:type="character" w:customStyle="1" w:styleId="post-meta-date">
    <w:name w:val="post-meta-date"/>
  </w:style>
  <w:style w:type="character" w:customStyle="1" w:styleId="apple-converted-space">
    <w:name w:val="apple-converted-space"/>
    <w:basedOn w:val="a2"/>
  </w:style>
  <w:style w:type="character" w:customStyle="1" w:styleId="intentdoilinktext">
    <w:name w:val="intent_doi_link_text"/>
    <w:basedOn w:val="a2"/>
  </w:style>
  <w:style w:type="character" w:customStyle="1" w:styleId="intentcopyrighttext">
    <w:name w:val="intent_copyright_text"/>
    <w:basedOn w:val="a2"/>
  </w:style>
  <w:style w:type="character" w:customStyle="1" w:styleId="label">
    <w:name w:val="label"/>
    <w:basedOn w:val="a2"/>
  </w:style>
  <w:style w:type="character" w:customStyle="1" w:styleId="databold">
    <w:name w:val="data_bold"/>
    <w:basedOn w:val="a2"/>
  </w:style>
  <w:style w:type="character" w:customStyle="1" w:styleId="tlid-translation">
    <w:name w:val="tlid-translation"/>
    <w:basedOn w:val="a2"/>
  </w:style>
  <w:style w:type="character" w:customStyle="1" w:styleId="ddmpubyr">
    <w:name w:val="ddmpubyr"/>
  </w:style>
  <w:style w:type="character" w:customStyle="1" w:styleId="volumeissue">
    <w:name w:val="volume_issue"/>
  </w:style>
  <w:style w:type="character" w:customStyle="1" w:styleId="pagerange">
    <w:name w:val="page_range"/>
  </w:style>
  <w:style w:type="character" w:customStyle="1" w:styleId="st">
    <w:name w:val="st"/>
  </w:style>
  <w:style w:type="paragraph" w:customStyle="1" w:styleId="BibItem">
    <w:name w:val="BibItem"/>
    <w:basedOn w:val="a1"/>
    <w:pPr>
      <w:keepLines/>
      <w:numPr>
        <w:numId w:val="2"/>
      </w:numPr>
      <w:tabs>
        <w:tab w:val="clear" w:pos="1222"/>
      </w:tabs>
      <w:autoSpaceDE w:val="0"/>
      <w:autoSpaceDN w:val="0"/>
      <w:spacing w:before="120" w:after="0"/>
      <w:ind w:left="454" w:hanging="454"/>
    </w:pPr>
    <w:rPr>
      <w:szCs w:val="24"/>
      <w:lang w:eastAsia="cs-CZ" w:bidi="ar-SA"/>
    </w:rPr>
  </w:style>
  <w:style w:type="character" w:customStyle="1" w:styleId="af5">
    <w:name w:val="Название Знак"/>
    <w:basedOn w:val="a2"/>
    <w:link w:val="af4"/>
    <w:rPr>
      <w:rFonts w:ascii="Times New Roman" w:eastAsia="Times New Roman" w:hAnsi="Times New Roman" w:cs="Mangal"/>
      <w:b/>
      <w:bCs/>
      <w:sz w:val="24"/>
      <w:szCs w:val="24"/>
      <w:lang w:val="ro-RO" w:eastAsia="en-US" w:bidi="sa-IN"/>
    </w:rPr>
  </w:style>
  <w:style w:type="paragraph" w:customStyle="1" w:styleId="Table">
    <w:name w:val="Table"/>
    <w:basedOn w:val="a0"/>
    <w:qFormat/>
    <w:pPr>
      <w:jc w:val="left"/>
    </w:pPr>
    <w:rPr>
      <w:rFonts w:ascii="Arial Narrow" w:eastAsia="Calibri" w:hAnsi="Arial Narrow" w:cs="Arial"/>
      <w:b/>
      <w:sz w:val="20"/>
      <w:szCs w:val="20"/>
      <w:lang w:bidi="ar-SA"/>
    </w:rPr>
  </w:style>
  <w:style w:type="paragraph" w:customStyle="1" w:styleId="TableContent">
    <w:name w:val="TableContent"/>
    <w:basedOn w:val="a0"/>
    <w:qFormat/>
    <w:pPr>
      <w:jc w:val="left"/>
    </w:pPr>
    <w:rPr>
      <w:rFonts w:ascii="Arial Narrow" w:eastAsia="Calibri" w:hAnsi="Arial Narrow" w:cs="Arial"/>
      <w:sz w:val="20"/>
      <w:szCs w:val="20"/>
      <w:lang w:bidi="ar-SA"/>
    </w:rPr>
  </w:style>
  <w:style w:type="character" w:customStyle="1" w:styleId="authorsname">
    <w:name w:val="authors__name"/>
    <w:basedOn w:val="a2"/>
  </w:style>
  <w:style w:type="character" w:customStyle="1" w:styleId="fs4">
    <w:name w:val="fs4"/>
    <w:basedOn w:val="a2"/>
  </w:style>
  <w:style w:type="character" w:customStyle="1" w:styleId="lsc">
    <w:name w:val="lsc"/>
    <w:basedOn w:val="a2"/>
  </w:style>
  <w:style w:type="character" w:customStyle="1" w:styleId="booktitle">
    <w:name w:val="booktitle"/>
    <w:basedOn w:val="a2"/>
    <w:qFormat/>
  </w:style>
  <w:style w:type="character" w:customStyle="1" w:styleId="page-numbers-info">
    <w:name w:val="page-numbers-info"/>
    <w:basedOn w:val="a2"/>
  </w:style>
  <w:style w:type="paragraph" w:customStyle="1" w:styleId="x--------------">
    <w:name w:val="x--------------"/>
    <w:basedOn w:val="a0"/>
    <w:pPr>
      <w:spacing w:before="100" w:beforeAutospacing="1" w:after="100" w:afterAutospacing="1"/>
      <w:jc w:val="left"/>
    </w:pPr>
    <w:rPr>
      <w:szCs w:val="24"/>
      <w:lang w:val="ru-RU" w:eastAsia="uk-UA" w:bidi="ar-SA"/>
    </w:rPr>
  </w:style>
  <w:style w:type="paragraph" w:customStyle="1" w:styleId="rvps2">
    <w:name w:val="rvps2"/>
    <w:basedOn w:val="a0"/>
    <w:uiPriority w:val="99"/>
    <w:pPr>
      <w:spacing w:before="100" w:beforeAutospacing="1" w:after="100" w:afterAutospacing="1"/>
      <w:jc w:val="left"/>
    </w:pPr>
    <w:rPr>
      <w:rFonts w:eastAsia="SimSun"/>
      <w:szCs w:val="24"/>
      <w:lang w:val="uk-UA" w:eastAsia="uk-UA" w:bidi="ar-SA"/>
    </w:rPr>
  </w:style>
  <w:style w:type="table" w:customStyle="1" w:styleId="14">
    <w:name w:val="Сетка таблицы1"/>
    <w:basedOn w:val="a3"/>
    <w:uiPriority w:val="59"/>
    <w:rPr>
      <w:rFonts w:asciiTheme="minorHAnsi" w:eastAsiaTheme="minorHAnsi" w:hAnsiTheme="minorHAnsi" w:cstheme="minorBidi"/>
      <w:sz w:val="22"/>
      <w:szCs w:val="22"/>
      <w:lang w:val="ru-RU"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field-content">
    <w:name w:val="field-content"/>
    <w:basedOn w:val="a2"/>
  </w:style>
  <w:style w:type="character" w:customStyle="1" w:styleId="ab">
    <w:name w:val="Текст примечания Знак"/>
    <w:basedOn w:val="a2"/>
    <w:link w:val="aa"/>
    <w:semiHidden/>
    <w:rPr>
      <w:rFonts w:ascii="Times New Roman" w:eastAsia="Times New Roman" w:hAnsi="Times New Roman"/>
      <w:lang w:val="en-US" w:eastAsia="en-US" w:bidi="en-US"/>
    </w:rPr>
  </w:style>
  <w:style w:type="paragraph" w:customStyle="1" w:styleId="x-wm-msonormal">
    <w:name w:val="x_-wm-msonormal"/>
    <w:basedOn w:val="a0"/>
    <w:pPr>
      <w:spacing w:before="100" w:beforeAutospacing="1" w:after="100" w:afterAutospacing="1"/>
      <w:jc w:val="left"/>
    </w:pPr>
    <w:rPr>
      <w:szCs w:val="24"/>
      <w:lang w:val="en-GB" w:eastAsia="cs-CZ"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uk-UA" w:eastAsia="uk-UA" w:bidi="ar-SA"/>
      </w:rPr>
    </w:rPrDefault>
    <w:pPrDefault/>
  </w:docDefaults>
  <w:latentStyles w:defLockedState="0" w:defUIPriority="99" w:defSemiHidden="0" w:defUnhideWhenUsed="1" w:defQFormat="0" w:count="267">
    <w:lsdException w:name="Normal" w:uiPriority="0" w:unhideWhenUsed="0" w:qFormat="1"/>
    <w:lsdException w:name="heading 1" w:uiPriority="0" w:unhideWhenUsed="0" w:qFormat="1"/>
    <w:lsdException w:name="heading 2" w:semiHidden="1" w:uiPriority="9" w:qFormat="1"/>
    <w:lsdException w:name="heading 3" w:uiPriority="9" w:qFormat="1"/>
    <w:lsdException w:name="heading 4" w:semiHidden="1" w:uiPriority="9" w:qFormat="1"/>
    <w:lsdException w:name="heading 5"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uiPriority="0" w:unhideWhenUsed="0"/>
    <w:lsdException w:name="index heading" w:semiHidden="1"/>
    <w:lsdException w:name="caption" w:semiHidden="1" w:uiPriority="35" w:qFormat="1"/>
    <w:lsdException w:name="table of figures" w:semiHidden="1"/>
    <w:lsdException w:name="envelope address" w:semiHidden="1"/>
    <w:lsdException w:name="envelope return" w:semiHidden="1"/>
    <w:lsdException w:name="annotation reference" w:semiHidden="1" w:uiPriority="0" w:unhideWhenUsed="0"/>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0" w:unhideWhenUsed="0" w:qFormat="1"/>
    <w:lsdException w:name="Closing" w:semiHidden="1"/>
    <w:lsdException w:name="Signature" w:semiHidden="1"/>
    <w:lsdException w:name="Default Paragraph Font" w:semiHidden="1" w:uiPriority="1"/>
    <w:lsdException w:name="Body Text" w:uiPriority="0" w:unhideWhenUsed="0"/>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unhideWhenUsed="0"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uiPriority="0" w:unhideWhenUsed="0"/>
    <w:lsdException w:name="Body Text 3" w:semiHidden="1"/>
    <w:lsdException w:name="Body Text Indent 2" w:semiHidden="1"/>
    <w:lsdException w:name="Body Text Indent 3" w:semiHidden="1"/>
    <w:lsdException w:name="Block Text" w:semiHidden="1"/>
    <w:lsdException w:name="Hyperlink" w:uiPriority="0" w:unhideWhenUsed="0"/>
    <w:lsdException w:name="FollowedHyperlink" w:semiHidden="1"/>
    <w:lsdException w:name="Strong" w:uiPriority="22" w:unhideWhenUsed="0" w:qFormat="1"/>
    <w:lsdException w:name="Emphasis" w:uiPriority="20" w:unhideWhenUsed="0" w:qFormat="1"/>
    <w:lsdException w:name="Document Map" w:semiHidden="1"/>
    <w:lsdException w:name="Plain Text" w:semiHidden="1"/>
    <w:lsdException w:name="E-mail Signature" w:semiHidden="1"/>
    <w:lsdException w:name="HTML Top of Form" w:semiHidden="1"/>
    <w:lsdException w:name="HTML Bottom of Form"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Sample" w:semiHidden="1"/>
    <w:lsdException w:name="HTML Typewriter" w:semiHidden="1"/>
    <w:lsdException w:name="HTML Variable" w:semiHidden="1"/>
    <w:lsdException w:name="Normal Table" w:semiHidden="1"/>
    <w:lsdException w:name="annotation subject" w:semiHidden="1" w:uiPriority="0" w:unhideWhenUsed="0"/>
    <w:lsdException w:name="No List" w:semiHidden="1"/>
    <w:lsdException w:name="Outline List 1" w:semiHidden="1"/>
    <w:lsdException w:name="Outline List 2" w:semiHidden="1"/>
    <w:lsdException w:name="Outline List 3" w:semiHidden="1"/>
    <w:lsdException w:name="Table Simple 1" w:semiHidden="1"/>
    <w:lsdException w:name="Table Simple 2" w:semiHidden="1"/>
    <w:lsdException w:name="Table Simple 3" w:semiHidden="1"/>
    <w:lsdException w:name="Table Classic 1" w:semiHidden="1"/>
    <w:lsdException w:name="Table Classic 2" w:semiHidden="1"/>
    <w:lsdException w:name="Table Classic 3" w:semiHidden="1"/>
    <w:lsdException w:name="Table Classic 4" w:semiHidden="1"/>
    <w:lsdException w:name="Table Colorful 1" w:semiHidden="1"/>
    <w:lsdException w:name="Table Colorful 2" w:semiHidden="1"/>
    <w:lsdException w:name="Table Colorful 3" w:semiHidden="1"/>
    <w:lsdException w:name="Table Columns 1" w:semiHidden="1"/>
    <w:lsdException w:name="Table Columns 2" w:semiHidden="1"/>
    <w:lsdException w:name="Table Columns 3" w:semiHidden="1"/>
    <w:lsdException w:name="Table Columns 4" w:semiHidden="1"/>
    <w:lsdException w:name="Table Columns 5" w:semiHidden="1"/>
    <w:lsdException w:name="Table Grid 1" w:semiHidden="1"/>
    <w:lsdException w:name="Table Grid 2" w:semiHidden="1"/>
    <w:lsdException w:name="Table Grid 3" w:semiHidden="1"/>
    <w:lsdException w:name="Table Grid 4" w:semiHidden="1"/>
    <w:lsdException w:name="Table Grid 5" w:semiHidden="1"/>
    <w:lsdException w:name="Table Grid 6" w:semiHidden="1"/>
    <w:lsdException w:name="Table Grid 7" w:semiHidden="1"/>
    <w:lsdException w:name="Table Grid 8" w:semiHidden="1"/>
    <w:lsdException w:name="Table List 1" w:semiHidden="1"/>
    <w:lsdException w:name="Table List 2" w:semiHidden="1"/>
    <w:lsdException w:name="Table List 3" w:semiHidden="1"/>
    <w:lsdException w:name="Table List 4" w:semiHidden="1"/>
    <w:lsdException w:name="Table List 5" w:semiHidden="1"/>
    <w:lsdException w:name="Table List 6" w:semiHidden="1"/>
    <w:lsdException w:name="Table List 7" w:semiHidden="1"/>
    <w:lsdException w:name="Table List 8" w:semiHidden="1"/>
    <w:lsdException w:name="Table 3D effects 1" w:semiHidden="1"/>
    <w:lsdException w:name="Table 3D effects 2" w:semiHidden="1"/>
    <w:lsdException w:name="Table 3D effects 3" w:semiHidden="1"/>
    <w:lsdException w:name="Table Contemporary" w:semiHidden="1"/>
    <w:lsdException w:name="Table Elegant" w:semiHidden="1"/>
    <w:lsdException w:name="Table Professional" w:semiHidden="1"/>
    <w:lsdException w:name="Table Subtle 1" w:semiHidden="1"/>
    <w:lsdException w:name="Table Subtle 2" w:semiHidden="1"/>
    <w:lsdException w:name="Table Web 1" w:semiHidden="1"/>
    <w:lsdException w:name="Table Web 2" w:semiHidden="1"/>
    <w:lsdException w:name="Table Web 3" w:semiHidden="1"/>
    <w:lsdException w:name="Balloon Text" w:semiHidden="1"/>
    <w:lsdException w:name="Table Grid" w:uiPriority="39" w:unhideWhenUsed="0"/>
    <w:lsdException w:name="Table Theme" w:semiHidden="1"/>
    <w:lsdException w:name="Placeholder Text" w:semiHidden="1" w:unhideWhenUsed="0"/>
    <w:lsdException w:name="No Spacing" w:uiPriority="1" w:unhideWhenUsed="0" w:qFormat="1"/>
    <w:lsdException w:name="Light Shading" w:uiPriority="60" w:unhideWhenUsed="0"/>
    <w:lsdException w:name="Light List" w:uiPriority="61" w:unhideWhenUsed="0"/>
    <w:lsdException w:name="Light Grid" w:uiPriority="62" w:unhideWhenUsed="0"/>
    <w:lsdException w:name="Medium Shading 1" w:uiPriority="63" w:unhideWhenUsed="0"/>
    <w:lsdException w:name="Medium Shading 2" w:uiPriority="64" w:unhideWhenUsed="0"/>
    <w:lsdException w:name="Medium List 1" w:uiPriority="65" w:unhideWhenUsed="0"/>
    <w:lsdException w:name="Medium List 2" w:uiPriority="66" w:unhideWhenUsed="0"/>
    <w:lsdException w:name="Medium Grid 1" w:uiPriority="67" w:unhideWhenUsed="0"/>
    <w:lsdException w:name="Medium Grid 2" w:uiPriority="68" w:unhideWhenUsed="0"/>
    <w:lsdException w:name="Medium Grid 3" w:uiPriority="69" w:unhideWhenUsed="0"/>
    <w:lsdException w:name="Dark List" w:uiPriority="70" w:unhideWhenUsed="0"/>
    <w:lsdException w:name="Colorful Shading" w:uiPriority="71" w:unhideWhenUsed="0"/>
    <w:lsdException w:name="Colorful List" w:uiPriority="72" w:unhideWhenUsed="0"/>
    <w:lsdException w:name="Colorful Grid" w:uiPriority="73" w:unhideWhenUsed="0"/>
    <w:lsdException w:name="Light Shading Accent 1" w:uiPriority="60" w:unhideWhenUsed="0"/>
    <w:lsdException w:name="Light List Accent 1" w:uiPriority="61" w:unhideWhenUsed="0"/>
    <w:lsdException w:name="Light Grid Accent 1" w:uiPriority="62" w:unhideWhenUsed="0"/>
    <w:lsdException w:name="Medium Shading 1 Accent 1" w:uiPriority="63" w:unhideWhenUsed="0"/>
    <w:lsdException w:name="Medium Shading 2 Accent 1" w:uiPriority="64" w:unhideWhenUsed="0"/>
    <w:lsdException w:name="Medium List 1 Accent 1" w:uiPriority="65" w:unhideWhenUsed="0"/>
    <w:lsdException w:name="Revision" w:semiHidden="1" w:unhideWhenUsed="0"/>
    <w:lsdException w:name="List Paragraph" w:uiPriority="34" w:unhideWhenUsed="0" w:qFormat="1"/>
    <w:lsdException w:name="Quote" w:unhideWhenUsed="0"/>
    <w:lsdException w:name="Intense Quote" w:unhideWhenUsed="0"/>
    <w:lsdException w:name="Medium List 2 Accent 1" w:uiPriority="66" w:unhideWhenUsed="0"/>
    <w:lsdException w:name="Medium Grid 1 Accent 1" w:uiPriority="67" w:unhideWhenUsed="0"/>
    <w:lsdException w:name="Medium Grid 2 Accent 1" w:uiPriority="68" w:unhideWhenUsed="0"/>
    <w:lsdException w:name="Medium Grid 3 Accent 1" w:uiPriority="69" w:unhideWhenUsed="0"/>
    <w:lsdException w:name="Dark List Accent 1" w:uiPriority="70" w:unhideWhenUsed="0"/>
    <w:lsdException w:name="Colorful Shading Accent 1" w:uiPriority="71" w:unhideWhenUsed="0"/>
    <w:lsdException w:name="Colorful List Accent 1" w:uiPriority="72" w:unhideWhenUsed="0"/>
    <w:lsdException w:name="Colorful Grid Accent 1" w:uiPriority="73" w:unhideWhenUsed="0"/>
    <w:lsdException w:name="Light Shading Accent 2" w:uiPriority="60" w:unhideWhenUsed="0"/>
    <w:lsdException w:name="Light List Accent 2" w:uiPriority="61" w:unhideWhenUsed="0"/>
    <w:lsdException w:name="Light Grid Accent 2" w:uiPriority="62" w:unhideWhenUsed="0"/>
    <w:lsdException w:name="Medium Shading 1 Accent 2" w:uiPriority="63" w:unhideWhenUsed="0"/>
    <w:lsdException w:name="Medium Shading 2 Accent 2" w:uiPriority="64" w:unhideWhenUsed="0"/>
    <w:lsdException w:name="Medium List 1 Accent 2" w:uiPriority="65" w:unhideWhenUsed="0"/>
    <w:lsdException w:name="Medium List 2 Accent 2" w:uiPriority="66" w:unhideWhenUsed="0"/>
    <w:lsdException w:name="Medium Grid 1 Accent 2" w:uiPriority="67" w:unhideWhenUsed="0"/>
    <w:lsdException w:name="Medium Grid 2 Accent 2" w:uiPriority="68" w:unhideWhenUsed="0"/>
    <w:lsdException w:name="Medium Grid 3 Accent 2" w:uiPriority="69" w:unhideWhenUsed="0"/>
    <w:lsdException w:name="Dark List Accent 2" w:uiPriority="70" w:unhideWhenUsed="0"/>
    <w:lsdException w:name="Colorful Shading Accent 2" w:uiPriority="71" w:unhideWhenUsed="0"/>
    <w:lsdException w:name="Colorful List Accent 2" w:uiPriority="72" w:unhideWhenUsed="0"/>
    <w:lsdException w:name="Colorful Grid Accent 2" w:uiPriority="73" w:unhideWhenUsed="0"/>
    <w:lsdException w:name="Light Shading Accent 3" w:uiPriority="60" w:unhideWhenUsed="0"/>
    <w:lsdException w:name="Light List Accent 3" w:uiPriority="61" w:unhideWhenUsed="0"/>
    <w:lsdException w:name="Light Grid Accent 3" w:uiPriority="62" w:unhideWhenUsed="0"/>
    <w:lsdException w:name="Medium Shading 1 Accent 3" w:uiPriority="63" w:unhideWhenUsed="0"/>
    <w:lsdException w:name="Medium Shading 2 Accent 3" w:uiPriority="64" w:unhideWhenUsed="0"/>
    <w:lsdException w:name="Medium List 1 Accent 3" w:uiPriority="65" w:unhideWhenUsed="0"/>
    <w:lsdException w:name="Medium List 2 Accent 3" w:uiPriority="66" w:unhideWhenUsed="0"/>
    <w:lsdException w:name="Medium Grid 1 Accent 3" w:uiPriority="67" w:unhideWhenUsed="0"/>
    <w:lsdException w:name="Medium Grid 2 Accent 3" w:uiPriority="68" w:unhideWhenUsed="0"/>
    <w:lsdException w:name="Medium Grid 3 Accent 3" w:uiPriority="69" w:unhideWhenUsed="0"/>
    <w:lsdException w:name="Dark List Accent 3" w:uiPriority="70" w:unhideWhenUsed="0"/>
    <w:lsdException w:name="Colorful Shading Accent 3" w:uiPriority="71" w:unhideWhenUsed="0"/>
    <w:lsdException w:name="Colorful List Accent 3" w:uiPriority="72" w:unhideWhenUsed="0"/>
    <w:lsdException w:name="Colorful Grid Accent 3" w:uiPriority="73" w:unhideWhenUsed="0"/>
    <w:lsdException w:name="Light Shading Accent 4" w:uiPriority="60" w:unhideWhenUsed="0"/>
    <w:lsdException w:name="Light List Accent 4" w:uiPriority="61" w:unhideWhenUsed="0"/>
    <w:lsdException w:name="Light Grid Accent 4" w:uiPriority="62" w:unhideWhenUsed="0"/>
    <w:lsdException w:name="Medium Shading 1 Accent 4" w:uiPriority="63" w:unhideWhenUsed="0"/>
    <w:lsdException w:name="Medium Shading 2 Accent 4" w:uiPriority="64" w:unhideWhenUsed="0"/>
    <w:lsdException w:name="Medium List 1 Accent 4" w:uiPriority="65" w:unhideWhenUsed="0"/>
    <w:lsdException w:name="Medium List 2 Accent 4" w:uiPriority="66" w:unhideWhenUsed="0"/>
    <w:lsdException w:name="Medium Grid 1 Accent 4" w:uiPriority="67" w:unhideWhenUsed="0"/>
    <w:lsdException w:name="Medium Grid 2 Accent 4" w:uiPriority="68" w:unhideWhenUsed="0"/>
    <w:lsdException w:name="Medium Grid 3 Accent 4" w:uiPriority="69" w:unhideWhenUsed="0"/>
    <w:lsdException w:name="Dark List Accent 4" w:uiPriority="70" w:unhideWhenUsed="0"/>
    <w:lsdException w:name="Colorful Shading Accent 4" w:uiPriority="71" w:unhideWhenUsed="0"/>
    <w:lsdException w:name="Colorful List Accent 4" w:uiPriority="72" w:unhideWhenUsed="0"/>
    <w:lsdException w:name="Colorful Grid Accent 4" w:uiPriority="73" w:unhideWhenUsed="0"/>
    <w:lsdException w:name="Light Shading Accent 5" w:uiPriority="60" w:unhideWhenUsed="0"/>
    <w:lsdException w:name="Light List Accent 5" w:uiPriority="61" w:unhideWhenUsed="0"/>
    <w:lsdException w:name="Light Grid Accent 5" w:uiPriority="62" w:unhideWhenUsed="0"/>
    <w:lsdException w:name="Medium Shading 1 Accent 5" w:uiPriority="63" w:unhideWhenUsed="0"/>
    <w:lsdException w:name="Medium Shading 2 Accent 5" w:uiPriority="64" w:unhideWhenUsed="0"/>
    <w:lsdException w:name="Medium List 1 Accent 5" w:uiPriority="65" w:unhideWhenUsed="0"/>
    <w:lsdException w:name="Medium List 2 Accent 5" w:uiPriority="66" w:unhideWhenUsed="0"/>
    <w:lsdException w:name="Medium Grid 1 Accent 5" w:uiPriority="67" w:unhideWhenUsed="0"/>
    <w:lsdException w:name="Medium Grid 2 Accent 5" w:uiPriority="68" w:unhideWhenUsed="0"/>
    <w:lsdException w:name="Medium Grid 3 Accent 5" w:uiPriority="69" w:unhideWhenUsed="0"/>
    <w:lsdException w:name="Dark List Accent 5" w:uiPriority="70" w:unhideWhenUsed="0"/>
    <w:lsdException w:name="Colorful Shading Accent 5" w:uiPriority="71" w:unhideWhenUsed="0"/>
    <w:lsdException w:name="Colorful List Accent 5" w:uiPriority="72" w:unhideWhenUsed="0"/>
    <w:lsdException w:name="Colorful Grid Accent 5" w:uiPriority="73" w:unhideWhenUsed="0"/>
    <w:lsdException w:name="Light Shading Accent 6" w:uiPriority="60" w:unhideWhenUsed="0"/>
    <w:lsdException w:name="Light List Accent 6" w:uiPriority="61" w:unhideWhenUsed="0"/>
    <w:lsdException w:name="Light Grid Accent 6" w:uiPriority="62" w:unhideWhenUsed="0"/>
    <w:lsdException w:name="Medium Shading 1 Accent 6" w:uiPriority="63" w:unhideWhenUsed="0"/>
    <w:lsdException w:name="Medium Shading 2 Accent 6" w:uiPriority="64" w:unhideWhenUsed="0"/>
    <w:lsdException w:name="Medium List 1 Accent 6" w:uiPriority="65" w:unhideWhenUsed="0"/>
    <w:lsdException w:name="Medium List 2 Accent 6" w:uiPriority="66" w:unhideWhenUsed="0"/>
    <w:lsdException w:name="Medium Grid 1 Accent 6" w:uiPriority="67" w:unhideWhenUsed="0"/>
    <w:lsdException w:name="Medium Grid 2 Accent 6" w:uiPriority="68" w:unhideWhenUsed="0"/>
    <w:lsdException w:name="Medium Grid 3 Accent 6" w:uiPriority="69" w:unhideWhenUsed="0"/>
    <w:lsdException w:name="Dark List Accent 6" w:uiPriority="70" w:unhideWhenUsed="0"/>
    <w:lsdException w:name="Colorful Shading Accent 6" w:uiPriority="71" w:unhideWhenUsed="0"/>
    <w:lsdException w:name="Colorful List Accent 6" w:uiPriority="72" w:unhideWhenUsed="0"/>
    <w:lsdException w:name="Colorful Grid Accent 6"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semiHidden="1" w:uiPriority="37"/>
    <w:lsdException w:name="TOC Heading" w:semiHidden="1" w:uiPriority="39" w:qFormat="1"/>
  </w:latentStyles>
  <w:style w:type="paragraph" w:default="1" w:styleId="a0">
    <w:name w:val="Normal"/>
    <w:qFormat/>
    <w:pPr>
      <w:jc w:val="both"/>
    </w:pPr>
    <w:rPr>
      <w:rFonts w:ascii="Times New Roman" w:eastAsia="Times New Roman" w:hAnsi="Times New Roman"/>
      <w:sz w:val="24"/>
      <w:szCs w:val="22"/>
      <w:lang w:val="en-US" w:eastAsia="en-US" w:bidi="en-US"/>
    </w:rPr>
  </w:style>
  <w:style w:type="paragraph" w:styleId="1">
    <w:name w:val="heading 1"/>
    <w:basedOn w:val="a0"/>
    <w:next w:val="a1"/>
    <w:link w:val="10"/>
    <w:qFormat/>
    <w:pPr>
      <w:keepNext/>
      <w:spacing w:before="240" w:after="120"/>
      <w:jc w:val="center"/>
      <w:outlineLvl w:val="0"/>
    </w:pPr>
    <w:rPr>
      <w:rFonts w:ascii="Verdana" w:hAnsi="Verdana" w:cs="Arial"/>
      <w:b/>
      <w:bCs/>
      <w:kern w:val="32"/>
      <w:szCs w:val="32"/>
      <w:lang w:eastAsia="cs-CZ" w:bidi="ar-SA"/>
    </w:rPr>
  </w:style>
  <w:style w:type="paragraph" w:styleId="2">
    <w:name w:val="heading 2"/>
    <w:basedOn w:val="a0"/>
    <w:next w:val="a0"/>
    <w:link w:val="20"/>
    <w:uiPriority w:val="9"/>
    <w:semiHidden/>
    <w:unhideWhenUsed/>
    <w:qFormat/>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0"/>
    <w:next w:val="a0"/>
    <w:link w:val="30"/>
    <w:uiPriority w:val="9"/>
    <w:unhideWhenUsed/>
    <w:qFormat/>
    <w:pPr>
      <w:keepNext/>
      <w:keepLines/>
      <w:spacing w:before="40"/>
      <w:outlineLvl w:val="2"/>
    </w:pPr>
    <w:rPr>
      <w:rFonts w:asciiTheme="majorHAnsi" w:eastAsiaTheme="majorEastAsia" w:hAnsiTheme="majorHAnsi" w:cstheme="majorBidi"/>
      <w:color w:val="244061" w:themeColor="accent1" w:themeShade="80"/>
      <w:szCs w:val="24"/>
    </w:rPr>
  </w:style>
  <w:style w:type="paragraph" w:styleId="5">
    <w:name w:val="heading 5"/>
    <w:basedOn w:val="a0"/>
    <w:next w:val="a0"/>
    <w:link w:val="50"/>
    <w:uiPriority w:val="9"/>
    <w:unhideWhenUsed/>
    <w:qFormat/>
    <w:pPr>
      <w:spacing w:before="240" w:after="60"/>
      <w:outlineLvl w:val="4"/>
    </w:pPr>
    <w:rPr>
      <w:rFonts w:ascii="Calibri" w:hAnsi="Calibri"/>
      <w:b/>
      <w:bCs/>
      <w:i/>
      <w:iCs/>
      <w:sz w:val="26"/>
      <w:szCs w:val="2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Body Text"/>
    <w:basedOn w:val="a0"/>
    <w:link w:val="a5"/>
    <w:pPr>
      <w:spacing w:after="120"/>
    </w:pPr>
  </w:style>
  <w:style w:type="paragraph" w:styleId="a6">
    <w:name w:val="Balloon Text"/>
    <w:basedOn w:val="a0"/>
    <w:link w:val="a7"/>
    <w:uiPriority w:val="99"/>
    <w:semiHidden/>
    <w:unhideWhenUsed/>
    <w:rPr>
      <w:rFonts w:ascii="Tahoma" w:hAnsi="Tahoma" w:cs="Tahoma"/>
      <w:sz w:val="16"/>
      <w:szCs w:val="16"/>
      <w:lang w:eastAsia="zh-CN"/>
    </w:rPr>
  </w:style>
  <w:style w:type="paragraph" w:styleId="21">
    <w:name w:val="Body Text 2"/>
    <w:basedOn w:val="a0"/>
    <w:link w:val="22"/>
    <w:pPr>
      <w:spacing w:after="120" w:line="480" w:lineRule="auto"/>
      <w:jc w:val="left"/>
    </w:pPr>
    <w:rPr>
      <w:szCs w:val="24"/>
      <w:lang w:val="cs-CZ" w:eastAsia="cs-CZ" w:bidi="ar-SA"/>
    </w:rPr>
  </w:style>
  <w:style w:type="paragraph" w:styleId="a8">
    <w:name w:val="Body Text First Indent"/>
    <w:basedOn w:val="a1"/>
    <w:link w:val="a9"/>
    <w:uiPriority w:val="99"/>
    <w:semiHidden/>
    <w:unhideWhenUsed/>
    <w:pPr>
      <w:spacing w:after="0"/>
      <w:ind w:firstLine="360"/>
    </w:pPr>
  </w:style>
  <w:style w:type="paragraph" w:styleId="aa">
    <w:name w:val="annotation text"/>
    <w:basedOn w:val="a0"/>
    <w:link w:val="ab"/>
    <w:semiHidden/>
    <w:rPr>
      <w:sz w:val="20"/>
      <w:szCs w:val="20"/>
    </w:rPr>
  </w:style>
  <w:style w:type="paragraph" w:styleId="ac">
    <w:name w:val="annotation subject"/>
    <w:basedOn w:val="aa"/>
    <w:next w:val="aa"/>
    <w:semiHidden/>
    <w:rPr>
      <w:b/>
      <w:bCs/>
    </w:rPr>
  </w:style>
  <w:style w:type="paragraph" w:styleId="ad">
    <w:name w:val="footer"/>
    <w:basedOn w:val="a0"/>
    <w:link w:val="ae"/>
    <w:uiPriority w:val="99"/>
    <w:unhideWhenUsed/>
    <w:pPr>
      <w:tabs>
        <w:tab w:val="center" w:pos="4536"/>
        <w:tab w:val="right" w:pos="9072"/>
      </w:tabs>
    </w:pPr>
  </w:style>
  <w:style w:type="paragraph" w:styleId="af">
    <w:name w:val="footnote text"/>
    <w:basedOn w:val="a0"/>
    <w:link w:val="af0"/>
    <w:uiPriority w:val="99"/>
    <w:unhideWhenUsed/>
    <w:rPr>
      <w:sz w:val="20"/>
      <w:szCs w:val="20"/>
    </w:rPr>
  </w:style>
  <w:style w:type="paragraph" w:styleId="af1">
    <w:name w:val="header"/>
    <w:basedOn w:val="a0"/>
    <w:link w:val="af2"/>
    <w:uiPriority w:val="99"/>
    <w:unhideWhenUsed/>
    <w:pPr>
      <w:tabs>
        <w:tab w:val="center" w:pos="4536"/>
        <w:tab w:val="right" w:pos="9072"/>
      </w:tabs>
    </w:pPr>
  </w:style>
  <w:style w:type="paragraph" w:styleId="HTML">
    <w:name w:val="HTML Preformatted"/>
    <w:basedOn w:val="a0"/>
    <w:link w:val="HTML0"/>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Calibri" w:hAnsi="Courier New" w:cs="Courier New"/>
      <w:sz w:val="20"/>
      <w:szCs w:val="20"/>
      <w:lang w:val="sk-SK" w:eastAsia="sk-SK" w:bidi="ar-SA"/>
    </w:rPr>
  </w:style>
  <w:style w:type="paragraph" w:styleId="af3">
    <w:name w:val="Normal (Web)"/>
    <w:basedOn w:val="a0"/>
    <w:uiPriority w:val="99"/>
    <w:unhideWhenUsed/>
    <w:pPr>
      <w:spacing w:before="100" w:beforeAutospacing="1" w:after="100" w:afterAutospacing="1"/>
      <w:jc w:val="left"/>
    </w:pPr>
    <w:rPr>
      <w:szCs w:val="24"/>
      <w:lang w:val="sk-SK" w:eastAsia="sk-SK" w:bidi="ar-SA"/>
    </w:rPr>
  </w:style>
  <w:style w:type="paragraph" w:styleId="af4">
    <w:name w:val="Title"/>
    <w:basedOn w:val="a0"/>
    <w:link w:val="af5"/>
    <w:qFormat/>
    <w:pPr>
      <w:jc w:val="center"/>
    </w:pPr>
    <w:rPr>
      <w:rFonts w:cs="Mangal"/>
      <w:b/>
      <w:bCs/>
      <w:szCs w:val="24"/>
      <w:lang w:val="ro-RO" w:bidi="sa-IN"/>
    </w:rPr>
  </w:style>
  <w:style w:type="paragraph" w:styleId="11">
    <w:name w:val="toc 1"/>
    <w:basedOn w:val="a0"/>
    <w:next w:val="a0"/>
    <w:uiPriority w:val="39"/>
    <w:unhideWhenUsed/>
    <w:qFormat/>
    <w:pPr>
      <w:spacing w:after="100"/>
      <w:jc w:val="left"/>
    </w:pPr>
    <w:rPr>
      <w:rFonts w:ascii="Verdana" w:hAnsi="Verdana"/>
      <w:sz w:val="22"/>
    </w:rPr>
  </w:style>
  <w:style w:type="paragraph" w:styleId="23">
    <w:name w:val="toc 2"/>
    <w:basedOn w:val="a0"/>
    <w:next w:val="a0"/>
    <w:uiPriority w:val="39"/>
    <w:unhideWhenUsed/>
    <w:pPr>
      <w:spacing w:after="100"/>
      <w:ind w:left="240"/>
    </w:pPr>
    <w:rPr>
      <w:rFonts w:ascii="Verdana" w:hAnsi="Verdana"/>
      <w:i/>
      <w:sz w:val="20"/>
    </w:rPr>
  </w:style>
  <w:style w:type="paragraph" w:styleId="31">
    <w:name w:val="toc 3"/>
    <w:basedOn w:val="a0"/>
    <w:next w:val="a0"/>
    <w:uiPriority w:val="39"/>
    <w:unhideWhenUsed/>
    <w:pPr>
      <w:spacing w:after="100"/>
      <w:ind w:left="480"/>
    </w:pPr>
  </w:style>
  <w:style w:type="paragraph" w:styleId="4">
    <w:name w:val="toc 4"/>
    <w:basedOn w:val="a0"/>
    <w:next w:val="a0"/>
    <w:uiPriority w:val="39"/>
    <w:unhideWhenUsed/>
    <w:pPr>
      <w:spacing w:after="100" w:line="259" w:lineRule="auto"/>
      <w:ind w:left="660"/>
      <w:jc w:val="left"/>
    </w:pPr>
    <w:rPr>
      <w:rFonts w:asciiTheme="minorHAnsi" w:eastAsiaTheme="minorEastAsia" w:hAnsiTheme="minorHAnsi" w:cstheme="minorBidi"/>
      <w:sz w:val="22"/>
      <w:lang w:val="sk-SK" w:eastAsia="sk-SK" w:bidi="ar-SA"/>
    </w:rPr>
  </w:style>
  <w:style w:type="paragraph" w:styleId="51">
    <w:name w:val="toc 5"/>
    <w:basedOn w:val="a0"/>
    <w:next w:val="a0"/>
    <w:uiPriority w:val="39"/>
    <w:unhideWhenUsed/>
    <w:pPr>
      <w:spacing w:after="100" w:line="259" w:lineRule="auto"/>
      <w:ind w:left="880"/>
      <w:jc w:val="left"/>
    </w:pPr>
    <w:rPr>
      <w:rFonts w:asciiTheme="minorHAnsi" w:eastAsiaTheme="minorEastAsia" w:hAnsiTheme="minorHAnsi" w:cstheme="minorBidi"/>
      <w:sz w:val="22"/>
      <w:lang w:val="sk-SK" w:eastAsia="sk-SK" w:bidi="ar-SA"/>
    </w:rPr>
  </w:style>
  <w:style w:type="paragraph" w:styleId="6">
    <w:name w:val="toc 6"/>
    <w:basedOn w:val="a0"/>
    <w:next w:val="a0"/>
    <w:uiPriority w:val="39"/>
    <w:unhideWhenUsed/>
    <w:pPr>
      <w:spacing w:after="100" w:line="259" w:lineRule="auto"/>
      <w:ind w:left="1100"/>
      <w:jc w:val="left"/>
    </w:pPr>
    <w:rPr>
      <w:rFonts w:asciiTheme="minorHAnsi" w:eastAsiaTheme="minorEastAsia" w:hAnsiTheme="minorHAnsi" w:cstheme="minorBidi"/>
      <w:sz w:val="22"/>
      <w:lang w:val="sk-SK" w:eastAsia="sk-SK" w:bidi="ar-SA"/>
    </w:rPr>
  </w:style>
  <w:style w:type="paragraph" w:styleId="7">
    <w:name w:val="toc 7"/>
    <w:basedOn w:val="a0"/>
    <w:next w:val="a0"/>
    <w:uiPriority w:val="39"/>
    <w:unhideWhenUsed/>
    <w:pPr>
      <w:spacing w:after="100" w:line="259" w:lineRule="auto"/>
      <w:ind w:left="1320"/>
      <w:jc w:val="left"/>
    </w:pPr>
    <w:rPr>
      <w:rFonts w:asciiTheme="minorHAnsi" w:eastAsiaTheme="minorEastAsia" w:hAnsiTheme="minorHAnsi" w:cstheme="minorBidi"/>
      <w:sz w:val="22"/>
      <w:lang w:val="sk-SK" w:eastAsia="sk-SK" w:bidi="ar-SA"/>
    </w:rPr>
  </w:style>
  <w:style w:type="paragraph" w:styleId="8">
    <w:name w:val="toc 8"/>
    <w:basedOn w:val="a0"/>
    <w:next w:val="a0"/>
    <w:uiPriority w:val="39"/>
    <w:unhideWhenUsed/>
    <w:pPr>
      <w:spacing w:after="100" w:line="259" w:lineRule="auto"/>
      <w:ind w:left="1540"/>
      <w:jc w:val="left"/>
    </w:pPr>
    <w:rPr>
      <w:rFonts w:asciiTheme="minorHAnsi" w:eastAsiaTheme="minorEastAsia" w:hAnsiTheme="minorHAnsi" w:cstheme="minorBidi"/>
      <w:sz w:val="22"/>
      <w:lang w:val="sk-SK" w:eastAsia="sk-SK" w:bidi="ar-SA"/>
    </w:rPr>
  </w:style>
  <w:style w:type="paragraph" w:styleId="9">
    <w:name w:val="toc 9"/>
    <w:basedOn w:val="a0"/>
    <w:next w:val="a0"/>
    <w:uiPriority w:val="39"/>
    <w:unhideWhenUsed/>
    <w:pPr>
      <w:spacing w:after="100" w:line="259" w:lineRule="auto"/>
      <w:ind w:left="1760"/>
      <w:jc w:val="left"/>
    </w:pPr>
    <w:rPr>
      <w:rFonts w:asciiTheme="minorHAnsi" w:eastAsiaTheme="minorEastAsia" w:hAnsiTheme="minorHAnsi" w:cstheme="minorBidi"/>
      <w:sz w:val="22"/>
      <w:lang w:val="sk-SK" w:eastAsia="sk-SK" w:bidi="ar-SA"/>
    </w:rPr>
  </w:style>
  <w:style w:type="character" w:styleId="af6">
    <w:name w:val="annotation reference"/>
    <w:semiHidden/>
    <w:rPr>
      <w:sz w:val="16"/>
      <w:szCs w:val="16"/>
    </w:rPr>
  </w:style>
  <w:style w:type="character" w:styleId="af7">
    <w:name w:val="Emphasis"/>
    <w:uiPriority w:val="20"/>
    <w:qFormat/>
    <w:rPr>
      <w:b/>
      <w:bCs/>
    </w:rPr>
  </w:style>
  <w:style w:type="character" w:styleId="af8">
    <w:name w:val="footnote reference"/>
    <w:uiPriority w:val="99"/>
    <w:unhideWhenUsed/>
    <w:rPr>
      <w:vertAlign w:val="superscript"/>
    </w:rPr>
  </w:style>
  <w:style w:type="character" w:styleId="HTML1">
    <w:name w:val="HTML Cite"/>
    <w:uiPriority w:val="99"/>
    <w:semiHidden/>
    <w:unhideWhenUsed/>
    <w:rPr>
      <w:i/>
      <w:iCs/>
    </w:rPr>
  </w:style>
  <w:style w:type="character" w:styleId="af9">
    <w:name w:val="Hyperlink"/>
    <w:basedOn w:val="a2"/>
    <w:rPr>
      <w:rFonts w:cs="Times New Roman"/>
      <w:color w:val="0000FF"/>
      <w:u w:val="single"/>
    </w:rPr>
  </w:style>
  <w:style w:type="character" w:styleId="afa">
    <w:name w:val="Strong"/>
    <w:uiPriority w:val="22"/>
    <w:qFormat/>
    <w:rPr>
      <w:b/>
      <w:bCs/>
    </w:rPr>
  </w:style>
  <w:style w:type="table" w:styleId="afb">
    <w:name w:val="Table Grid"/>
    <w:basedOn w:val="a3"/>
    <w:uiPriority w:val="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c">
    <w:name w:val="Light Shading"/>
    <w:basedOn w:val="a3"/>
    <w:uiPriority w:val="60"/>
    <w:rPr>
      <w:color w:val="000000"/>
    </w:rPr>
    <w:tblPr>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a5">
    <w:name w:val="Основной текст Знак"/>
    <w:basedOn w:val="a2"/>
    <w:link w:val="a1"/>
    <w:rPr>
      <w:rFonts w:ascii="Times New Roman" w:eastAsia="Times New Roman" w:hAnsi="Times New Roman"/>
      <w:sz w:val="24"/>
      <w:szCs w:val="22"/>
      <w:lang w:val="en-US" w:eastAsia="en-US" w:bidi="en-US"/>
    </w:rPr>
  </w:style>
  <w:style w:type="character" w:customStyle="1" w:styleId="10">
    <w:name w:val="Заголовок 1 Знак"/>
    <w:link w:val="1"/>
    <w:rPr>
      <w:rFonts w:ascii="Verdana" w:eastAsia="Times New Roman" w:hAnsi="Verdana" w:cs="Arial"/>
      <w:b/>
      <w:bCs/>
      <w:kern w:val="32"/>
      <w:sz w:val="24"/>
      <w:szCs w:val="32"/>
      <w:lang w:val="en-US" w:eastAsia="cs-CZ"/>
    </w:rPr>
  </w:style>
  <w:style w:type="character" w:customStyle="1" w:styleId="20">
    <w:name w:val="Заголовок 2 Знак"/>
    <w:basedOn w:val="a2"/>
    <w:link w:val="2"/>
    <w:uiPriority w:val="9"/>
    <w:semiHidden/>
    <w:rPr>
      <w:rFonts w:asciiTheme="majorHAnsi" w:eastAsiaTheme="majorEastAsia" w:hAnsiTheme="majorHAnsi" w:cstheme="majorBidi"/>
      <w:color w:val="365F91" w:themeColor="accent1" w:themeShade="BF"/>
      <w:sz w:val="26"/>
      <w:szCs w:val="26"/>
      <w:lang w:val="en-US" w:eastAsia="en-US" w:bidi="en-US"/>
    </w:rPr>
  </w:style>
  <w:style w:type="character" w:customStyle="1" w:styleId="30">
    <w:name w:val="Заголовок 3 Знак"/>
    <w:basedOn w:val="a2"/>
    <w:link w:val="3"/>
    <w:uiPriority w:val="9"/>
    <w:rPr>
      <w:rFonts w:asciiTheme="majorHAnsi" w:eastAsiaTheme="majorEastAsia" w:hAnsiTheme="majorHAnsi" w:cstheme="majorBidi"/>
      <w:color w:val="244061" w:themeColor="accent1" w:themeShade="80"/>
      <w:sz w:val="24"/>
      <w:szCs w:val="24"/>
      <w:lang w:val="en-US" w:eastAsia="en-US" w:bidi="en-US"/>
    </w:rPr>
  </w:style>
  <w:style w:type="character" w:customStyle="1" w:styleId="50">
    <w:name w:val="Заголовок 5 Знак"/>
    <w:basedOn w:val="a2"/>
    <w:link w:val="5"/>
    <w:uiPriority w:val="9"/>
    <w:rPr>
      <w:rFonts w:eastAsia="Times New Roman"/>
      <w:b/>
      <w:bCs/>
      <w:i/>
      <w:iCs/>
      <w:sz w:val="26"/>
      <w:szCs w:val="26"/>
      <w:lang w:val="en-US" w:eastAsia="en-US" w:bidi="en-US"/>
    </w:rPr>
  </w:style>
  <w:style w:type="character" w:customStyle="1" w:styleId="a7">
    <w:name w:val="Текст выноски Знак"/>
    <w:link w:val="a6"/>
    <w:uiPriority w:val="99"/>
    <w:semiHidden/>
    <w:rPr>
      <w:rFonts w:ascii="Tahoma" w:eastAsia="Times New Roman" w:hAnsi="Tahoma" w:cs="Tahoma"/>
      <w:sz w:val="16"/>
      <w:szCs w:val="16"/>
      <w:lang w:val="en-US" w:bidi="en-US"/>
    </w:rPr>
  </w:style>
  <w:style w:type="paragraph" w:customStyle="1" w:styleId="Text">
    <w:name w:val="Text"/>
    <w:basedOn w:val="a0"/>
    <w:link w:val="TextChar"/>
    <w:qFormat/>
    <w:pPr>
      <w:spacing w:before="120"/>
    </w:pPr>
    <w:rPr>
      <w:szCs w:val="24"/>
      <w:lang w:eastAsia="cs-CZ" w:bidi="ar-SA"/>
    </w:rPr>
  </w:style>
  <w:style w:type="character" w:customStyle="1" w:styleId="TextChar">
    <w:name w:val="Text Char"/>
    <w:link w:val="Text"/>
    <w:rPr>
      <w:rFonts w:ascii="Times New Roman" w:eastAsia="Times New Roman" w:hAnsi="Times New Roman"/>
      <w:sz w:val="24"/>
      <w:szCs w:val="24"/>
      <w:lang w:val="en-US" w:eastAsia="cs-CZ"/>
    </w:rPr>
  </w:style>
  <w:style w:type="paragraph" w:styleId="afd">
    <w:name w:val="List Paragraph"/>
    <w:basedOn w:val="a0"/>
    <w:link w:val="afe"/>
    <w:uiPriority w:val="34"/>
    <w:qFormat/>
    <w:pPr>
      <w:ind w:left="720"/>
      <w:contextualSpacing/>
    </w:pPr>
  </w:style>
  <w:style w:type="character" w:customStyle="1" w:styleId="afe">
    <w:name w:val="Абзац списка Знак"/>
    <w:link w:val="afd"/>
    <w:uiPriority w:val="34"/>
    <w:locked/>
    <w:rPr>
      <w:rFonts w:ascii="Times New Roman" w:eastAsia="Times New Roman" w:hAnsi="Times New Roman"/>
      <w:sz w:val="24"/>
      <w:szCs w:val="22"/>
      <w:lang w:val="en-US" w:eastAsia="en-US" w:bidi="en-US"/>
    </w:rPr>
  </w:style>
  <w:style w:type="paragraph" w:customStyle="1" w:styleId="04-Anotacijostekstas">
    <w:name w:val="04 - Anotacijos tekstas"/>
    <w:basedOn w:val="a0"/>
    <w:pPr>
      <w:spacing w:before="240"/>
      <w:ind w:left="425" w:right="425"/>
    </w:pPr>
    <w:rPr>
      <w:sz w:val="20"/>
      <w:szCs w:val="20"/>
      <w:lang w:eastAsia="lt-LT" w:bidi="ar-SA"/>
    </w:rPr>
  </w:style>
  <w:style w:type="paragraph" w:customStyle="1" w:styleId="aff">
    <w:name w:val="文献"/>
    <w:basedOn w:val="a0"/>
    <w:qFormat/>
    <w:pPr>
      <w:jc w:val="left"/>
    </w:pPr>
    <w:rPr>
      <w:rFonts w:eastAsia="MS Mincho"/>
      <w:kern w:val="2"/>
      <w:szCs w:val="24"/>
      <w:shd w:val="clear" w:color="auto" w:fill="FFFFFF"/>
      <w:lang w:eastAsia="ja-JP" w:bidi="ar-SA"/>
    </w:rPr>
  </w:style>
  <w:style w:type="paragraph" w:customStyle="1" w:styleId="Autor">
    <w:name w:val="Autor"/>
    <w:basedOn w:val="a0"/>
    <w:link w:val="AutorChar"/>
    <w:qFormat/>
    <w:pPr>
      <w:spacing w:after="120"/>
      <w:jc w:val="center"/>
    </w:pPr>
    <w:rPr>
      <w:rFonts w:ascii="Verdana" w:hAnsi="Verdana"/>
      <w:b/>
      <w:sz w:val="20"/>
      <w:szCs w:val="20"/>
    </w:rPr>
  </w:style>
  <w:style w:type="character" w:customStyle="1" w:styleId="AutorChar">
    <w:name w:val="Autor Char"/>
    <w:link w:val="Autor"/>
    <w:rPr>
      <w:rFonts w:ascii="Verdana" w:eastAsia="Times New Roman" w:hAnsi="Verdana"/>
      <w:b/>
      <w:lang w:val="en-US" w:eastAsia="en-US" w:bidi="en-US"/>
    </w:rPr>
  </w:style>
  <w:style w:type="paragraph" w:customStyle="1" w:styleId="Nadpis2">
    <w:name w:val="Nadpis2"/>
    <w:basedOn w:val="1"/>
    <w:link w:val="Nadpis2Char"/>
    <w:qFormat/>
    <w:rPr>
      <w:sz w:val="22"/>
      <w:szCs w:val="22"/>
      <w:lang w:val="sk-SK"/>
    </w:rPr>
  </w:style>
  <w:style w:type="character" w:customStyle="1" w:styleId="Nadpis2Char">
    <w:name w:val="Nadpis2 Char"/>
    <w:link w:val="Nadpis2"/>
    <w:rPr>
      <w:rFonts w:ascii="Verdana" w:eastAsia="Times New Roman" w:hAnsi="Verdana" w:cs="Arial"/>
      <w:b/>
      <w:bCs/>
      <w:kern w:val="32"/>
      <w:sz w:val="22"/>
      <w:szCs w:val="22"/>
      <w:lang w:val="en-US" w:eastAsia="cs-CZ"/>
    </w:rPr>
  </w:style>
  <w:style w:type="paragraph" w:customStyle="1" w:styleId="Kapitola">
    <w:name w:val="Kapitola"/>
    <w:basedOn w:val="1"/>
    <w:link w:val="KapitolaChar"/>
    <w:qFormat/>
    <w:pPr>
      <w:jc w:val="left"/>
    </w:pPr>
    <w:rPr>
      <w:sz w:val="22"/>
    </w:rPr>
  </w:style>
  <w:style w:type="character" w:customStyle="1" w:styleId="KapitolaChar">
    <w:name w:val="Kapitola Char"/>
    <w:link w:val="Kapitola"/>
    <w:rPr>
      <w:rFonts w:ascii="Verdana" w:eastAsia="Times New Roman" w:hAnsi="Verdana" w:cs="Arial"/>
      <w:b/>
      <w:bCs/>
      <w:kern w:val="32"/>
      <w:sz w:val="22"/>
      <w:szCs w:val="32"/>
      <w:lang w:val="en-US" w:eastAsia="cs-CZ"/>
    </w:rPr>
  </w:style>
  <w:style w:type="character" w:styleId="aff0">
    <w:name w:val="Placeholder Text"/>
    <w:basedOn w:val="a2"/>
    <w:uiPriority w:val="99"/>
    <w:semiHidden/>
    <w:rPr>
      <w:color w:val="808080"/>
    </w:rPr>
  </w:style>
  <w:style w:type="character" w:customStyle="1" w:styleId="af2">
    <w:name w:val="Верхний колонтитул Знак"/>
    <w:basedOn w:val="a2"/>
    <w:link w:val="af1"/>
    <w:uiPriority w:val="99"/>
    <w:rPr>
      <w:rFonts w:ascii="Times New Roman" w:eastAsia="Times New Roman" w:hAnsi="Times New Roman"/>
      <w:sz w:val="24"/>
      <w:szCs w:val="22"/>
      <w:lang w:val="en-US" w:eastAsia="en-US" w:bidi="en-US"/>
    </w:rPr>
  </w:style>
  <w:style w:type="character" w:customStyle="1" w:styleId="ae">
    <w:name w:val="Нижний колонтитул Знак"/>
    <w:basedOn w:val="a2"/>
    <w:link w:val="ad"/>
    <w:uiPriority w:val="99"/>
    <w:rPr>
      <w:rFonts w:ascii="Times New Roman" w:eastAsia="Times New Roman" w:hAnsi="Times New Roman"/>
      <w:sz w:val="24"/>
      <w:szCs w:val="22"/>
      <w:lang w:val="en-US" w:eastAsia="en-US" w:bidi="en-US"/>
    </w:rPr>
  </w:style>
  <w:style w:type="table" w:customStyle="1" w:styleId="Mriekatabuky1">
    <w:name w:val="Mriežka tabuľky1"/>
    <w:basedOn w:val="a3"/>
    <w:uiPriority w:val="3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0">
    <w:name w:val="Текст сноски Знак"/>
    <w:basedOn w:val="a2"/>
    <w:link w:val="af"/>
    <w:uiPriority w:val="99"/>
    <w:qFormat/>
    <w:rPr>
      <w:rFonts w:ascii="Times New Roman" w:eastAsia="Times New Roman" w:hAnsi="Times New Roman"/>
      <w:lang w:val="en-US" w:eastAsia="en-US" w:bidi="en-US"/>
    </w:rPr>
  </w:style>
  <w:style w:type="character" w:customStyle="1" w:styleId="a9">
    <w:name w:val="Красная строка Знак"/>
    <w:basedOn w:val="a5"/>
    <w:link w:val="a8"/>
    <w:uiPriority w:val="99"/>
    <w:semiHidden/>
    <w:rPr>
      <w:rFonts w:ascii="Times New Roman" w:eastAsia="Times New Roman" w:hAnsi="Times New Roman"/>
      <w:sz w:val="24"/>
      <w:szCs w:val="22"/>
      <w:lang w:val="en-US" w:eastAsia="en-US" w:bidi="en-US"/>
    </w:rPr>
  </w:style>
  <w:style w:type="character" w:customStyle="1" w:styleId="st1">
    <w:name w:val="st1"/>
  </w:style>
  <w:style w:type="paragraph" w:customStyle="1" w:styleId="12">
    <w:name w:val="Бібліографія1"/>
    <w:basedOn w:val="a0"/>
    <w:next w:val="a0"/>
    <w:uiPriority w:val="37"/>
    <w:semiHidden/>
    <w:unhideWhenUsed/>
  </w:style>
  <w:style w:type="table" w:customStyle="1" w:styleId="Mriekatabuky2">
    <w:name w:val="Mriežka tabuľky2"/>
    <w:basedOn w:val="a3"/>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Заголовок змісту1"/>
    <w:basedOn w:val="1"/>
    <w:next w:val="a0"/>
    <w:uiPriority w:val="39"/>
    <w:unhideWhenUsed/>
    <w:qFormat/>
    <w:pPr>
      <w:keepLines/>
      <w:spacing w:after="0" w:line="259" w:lineRule="auto"/>
      <w:jc w:val="left"/>
      <w:outlineLvl w:val="9"/>
    </w:pPr>
    <w:rPr>
      <w:rFonts w:asciiTheme="majorHAnsi" w:eastAsiaTheme="majorEastAsia" w:hAnsiTheme="majorHAnsi" w:cstheme="majorBidi"/>
      <w:b w:val="0"/>
      <w:bCs w:val="0"/>
      <w:color w:val="365F91" w:themeColor="accent1" w:themeShade="BF"/>
      <w:kern w:val="0"/>
      <w:sz w:val="32"/>
      <w:lang w:val="sk-SK" w:eastAsia="sk-SK"/>
    </w:rPr>
  </w:style>
  <w:style w:type="paragraph" w:customStyle="1" w:styleId="Normlny1">
    <w:name w:val="Normálny 1"/>
    <w:basedOn w:val="a0"/>
    <w:link w:val="Normlny1Char"/>
    <w:uiPriority w:val="99"/>
    <w:pPr>
      <w:spacing w:line="360" w:lineRule="auto"/>
    </w:pPr>
    <w:rPr>
      <w:rFonts w:eastAsia="Calibri"/>
      <w:lang w:val="sk-SK" w:bidi="ar-SA"/>
    </w:rPr>
  </w:style>
  <w:style w:type="character" w:customStyle="1" w:styleId="Normlny1Char">
    <w:name w:val="Normálny 1 Char"/>
    <w:link w:val="Normlny1"/>
    <w:uiPriority w:val="99"/>
    <w:locked/>
    <w:rPr>
      <w:rFonts w:ascii="Times New Roman" w:hAnsi="Times New Roman"/>
      <w:sz w:val="24"/>
      <w:szCs w:val="22"/>
      <w:lang w:eastAsia="en-US"/>
    </w:rPr>
  </w:style>
  <w:style w:type="character" w:customStyle="1" w:styleId="alt-edited1">
    <w:name w:val="alt-edited1"/>
    <w:rPr>
      <w:color w:val="4D90F0"/>
    </w:rPr>
  </w:style>
  <w:style w:type="character" w:customStyle="1" w:styleId="MTEquationSection">
    <w:name w:val="MTEquationSection"/>
    <w:rPr>
      <w:vanish/>
      <w:color w:val="FF0000"/>
    </w:rPr>
  </w:style>
  <w:style w:type="paragraph" w:customStyle="1" w:styleId="Default">
    <w:name w:val="Default"/>
    <w:pPr>
      <w:autoSpaceDE w:val="0"/>
      <w:autoSpaceDN w:val="0"/>
      <w:adjustRightInd w:val="0"/>
    </w:pPr>
    <w:rPr>
      <w:rFonts w:cs="Calibri"/>
      <w:color w:val="000000"/>
      <w:sz w:val="24"/>
      <w:szCs w:val="24"/>
      <w:lang w:val="sk-SK" w:eastAsia="sk-SK"/>
    </w:rPr>
  </w:style>
  <w:style w:type="character" w:customStyle="1" w:styleId="s9">
    <w:name w:val="s9"/>
  </w:style>
  <w:style w:type="paragraph" w:customStyle="1" w:styleId="Bezodstavcovhostylu">
    <w:name w:val="[Bez odstavcového stylu]"/>
    <w:pPr>
      <w:widowControl w:val="0"/>
      <w:autoSpaceDE w:val="0"/>
      <w:autoSpaceDN w:val="0"/>
      <w:adjustRightInd w:val="0"/>
      <w:spacing w:line="288" w:lineRule="auto"/>
      <w:textAlignment w:val="center"/>
    </w:pPr>
    <w:rPr>
      <w:rFonts w:ascii="Times Roman" w:eastAsia="Times New Roman" w:hAnsi="Times Roman" w:cs="Times Roman"/>
      <w:color w:val="000000"/>
      <w:sz w:val="24"/>
      <w:szCs w:val="24"/>
      <w:lang w:val="cs-CZ" w:eastAsia="cs-CZ"/>
    </w:rPr>
  </w:style>
  <w:style w:type="paragraph" w:customStyle="1" w:styleId="popisek">
    <w:name w:val="popisek"/>
    <w:basedOn w:val="a0"/>
    <w:uiPriority w:val="99"/>
    <w:pPr>
      <w:widowControl w:val="0"/>
      <w:tabs>
        <w:tab w:val="left" w:pos="283"/>
      </w:tabs>
      <w:autoSpaceDE w:val="0"/>
      <w:autoSpaceDN w:val="0"/>
      <w:adjustRightInd w:val="0"/>
      <w:spacing w:line="248" w:lineRule="atLeast"/>
      <w:ind w:firstLine="283"/>
      <w:jc w:val="center"/>
      <w:textAlignment w:val="center"/>
    </w:pPr>
    <w:rPr>
      <w:b/>
      <w:bCs/>
      <w:color w:val="000000"/>
      <w:sz w:val="22"/>
      <w:lang w:val="en-GB" w:eastAsia="cs-CZ" w:bidi="ar-SA"/>
    </w:rPr>
  </w:style>
  <w:style w:type="paragraph" w:customStyle="1" w:styleId="poznamkapodcarou">
    <w:name w:val="poznamka pod carou"/>
    <w:basedOn w:val="a0"/>
    <w:uiPriority w:val="99"/>
    <w:pPr>
      <w:widowControl w:val="0"/>
      <w:autoSpaceDE w:val="0"/>
      <w:autoSpaceDN w:val="0"/>
      <w:adjustRightInd w:val="0"/>
      <w:spacing w:line="180" w:lineRule="atLeast"/>
      <w:ind w:left="198" w:hanging="198"/>
      <w:textAlignment w:val="center"/>
    </w:pPr>
    <w:rPr>
      <w:color w:val="000000"/>
      <w:sz w:val="16"/>
      <w:szCs w:val="16"/>
      <w:lang w:val="cs-CZ" w:eastAsia="cs-CZ" w:bidi="ar-SA"/>
    </w:rPr>
  </w:style>
  <w:style w:type="character" w:customStyle="1" w:styleId="swiz91">
    <w:name w:val="swiz91"/>
    <w:uiPriority w:val="99"/>
    <w:rPr>
      <w:rFonts w:ascii="HelveticaNeueLT Pro 55 Roman" w:hAnsi="HelveticaNeueLT Pro 55 Roman"/>
      <w:color w:val="000000"/>
      <w:spacing w:val="0"/>
      <w:w w:val="100"/>
      <w:position w:val="0"/>
      <w:sz w:val="19"/>
      <w:u w:val="none"/>
      <w:vertAlign w:val="baseline"/>
      <w:lang w:val="en-US" w:eastAsia="zh-CN"/>
    </w:rPr>
  </w:style>
  <w:style w:type="paragraph" w:customStyle="1" w:styleId="NumberedParagraph-BulletelistLeft0Firstline0">
    <w:name w:val="Numbered Paragraph - Bullete list + Left:  0&quot; First line:  0&quot;"/>
    <w:basedOn w:val="a0"/>
    <w:pPr>
      <w:tabs>
        <w:tab w:val="left" w:pos="720"/>
      </w:tabs>
      <w:spacing w:before="120" w:line="240" w:lineRule="exact"/>
      <w:ind w:left="720" w:hanging="360"/>
    </w:pPr>
    <w:rPr>
      <w:snapToGrid w:val="0"/>
      <w:kern w:val="8"/>
      <w:sz w:val="20"/>
      <w:szCs w:val="20"/>
      <w:lang w:eastAsia="cs-CZ" w:bidi="ar-SA"/>
    </w:rPr>
  </w:style>
  <w:style w:type="paragraph" w:customStyle="1" w:styleId="Poznmkapodiarou">
    <w:name w:val="Poznámka_pod_čiarou"/>
    <w:basedOn w:val="af"/>
    <w:link w:val="PoznmkapodiarouChar"/>
    <w:pPr>
      <w:spacing w:after="60"/>
      <w:ind w:left="284" w:hanging="284"/>
    </w:pPr>
    <w:rPr>
      <w:lang w:val="sk-SK" w:eastAsia="sk-SK" w:bidi="ar-SA"/>
    </w:rPr>
  </w:style>
  <w:style w:type="character" w:customStyle="1" w:styleId="PoznmkapodiarouChar">
    <w:name w:val="Poznámka_pod_čiarou Char"/>
    <w:link w:val="Poznmkapodiarou"/>
    <w:locked/>
    <w:rPr>
      <w:rFonts w:ascii="Times New Roman" w:eastAsia="Times New Roman" w:hAnsi="Times New Roman"/>
    </w:rPr>
  </w:style>
  <w:style w:type="character" w:customStyle="1" w:styleId="il">
    <w:name w:val="il"/>
  </w:style>
  <w:style w:type="paragraph" w:customStyle="1" w:styleId="Referencetext">
    <w:name w:val="Reference text"/>
    <w:basedOn w:val="a0"/>
    <w:pPr>
      <w:overflowPunct w:val="0"/>
      <w:autoSpaceDE w:val="0"/>
      <w:autoSpaceDN w:val="0"/>
      <w:adjustRightInd w:val="0"/>
      <w:spacing w:line="220" w:lineRule="exact"/>
      <w:ind w:left="284" w:hanging="284"/>
      <w:textAlignment w:val="baseline"/>
    </w:pPr>
    <w:rPr>
      <w:sz w:val="20"/>
      <w:szCs w:val="20"/>
      <w:lang w:bidi="ar-SA"/>
    </w:rPr>
  </w:style>
  <w:style w:type="paragraph" w:customStyle="1" w:styleId="CM1">
    <w:name w:val="CM1"/>
    <w:basedOn w:val="Default"/>
    <w:next w:val="Default"/>
    <w:uiPriority w:val="99"/>
    <w:rPr>
      <w:rFonts w:ascii="EUAlbertina" w:hAnsi="EUAlbertina" w:cs="Times New Roman"/>
      <w:color w:val="auto"/>
    </w:rPr>
  </w:style>
  <w:style w:type="paragraph" w:customStyle="1" w:styleId="CM4">
    <w:name w:val="CM4"/>
    <w:basedOn w:val="Default"/>
    <w:next w:val="Default"/>
    <w:uiPriority w:val="99"/>
    <w:rPr>
      <w:rFonts w:ascii="EUAlbertina" w:hAnsi="EUAlbertina" w:cs="Times New Roman"/>
      <w:color w:val="auto"/>
    </w:rPr>
  </w:style>
  <w:style w:type="paragraph" w:styleId="a">
    <w:name w:val="No Spacing"/>
    <w:basedOn w:val="a0"/>
    <w:uiPriority w:val="1"/>
    <w:qFormat/>
    <w:pPr>
      <w:numPr>
        <w:numId w:val="1"/>
      </w:numPr>
      <w:spacing w:line="360" w:lineRule="auto"/>
    </w:pPr>
    <w:rPr>
      <w:rFonts w:eastAsiaTheme="minorHAnsi"/>
      <w:szCs w:val="24"/>
      <w:lang w:val="sk-SK" w:bidi="ar-SA"/>
    </w:rPr>
  </w:style>
  <w:style w:type="character" w:customStyle="1" w:styleId="22">
    <w:name w:val="Основной текст 2 Знак"/>
    <w:basedOn w:val="a2"/>
    <w:link w:val="21"/>
    <w:rPr>
      <w:rFonts w:ascii="Times New Roman" w:eastAsia="Times New Roman" w:hAnsi="Times New Roman"/>
      <w:sz w:val="24"/>
      <w:szCs w:val="24"/>
      <w:lang w:val="cs-CZ" w:eastAsia="cs-CZ"/>
    </w:rPr>
  </w:style>
  <w:style w:type="character" w:customStyle="1" w:styleId="hlfld-title">
    <w:name w:val="hlfld-title"/>
  </w:style>
  <w:style w:type="character" w:customStyle="1" w:styleId="HTML0">
    <w:name w:val="Стандартный HTML Знак"/>
    <w:basedOn w:val="a2"/>
    <w:link w:val="HTML"/>
    <w:uiPriority w:val="99"/>
    <w:rPr>
      <w:rFonts w:ascii="Courier New" w:hAnsi="Courier New" w:cs="Courier New"/>
    </w:rPr>
  </w:style>
  <w:style w:type="character" w:customStyle="1" w:styleId="post-meta-author">
    <w:name w:val="post-meta-author"/>
  </w:style>
  <w:style w:type="character" w:customStyle="1" w:styleId="post-meta-date">
    <w:name w:val="post-meta-date"/>
  </w:style>
  <w:style w:type="character" w:customStyle="1" w:styleId="apple-converted-space">
    <w:name w:val="apple-converted-space"/>
    <w:basedOn w:val="a2"/>
  </w:style>
  <w:style w:type="character" w:customStyle="1" w:styleId="intentdoilinktext">
    <w:name w:val="intent_doi_link_text"/>
    <w:basedOn w:val="a2"/>
  </w:style>
  <w:style w:type="character" w:customStyle="1" w:styleId="intentcopyrighttext">
    <w:name w:val="intent_copyright_text"/>
    <w:basedOn w:val="a2"/>
  </w:style>
  <w:style w:type="character" w:customStyle="1" w:styleId="label">
    <w:name w:val="label"/>
    <w:basedOn w:val="a2"/>
  </w:style>
  <w:style w:type="character" w:customStyle="1" w:styleId="databold">
    <w:name w:val="data_bold"/>
    <w:basedOn w:val="a2"/>
  </w:style>
  <w:style w:type="character" w:customStyle="1" w:styleId="tlid-translation">
    <w:name w:val="tlid-translation"/>
    <w:basedOn w:val="a2"/>
  </w:style>
  <w:style w:type="character" w:customStyle="1" w:styleId="ddmpubyr">
    <w:name w:val="ddmpubyr"/>
  </w:style>
  <w:style w:type="character" w:customStyle="1" w:styleId="volumeissue">
    <w:name w:val="volume_issue"/>
  </w:style>
  <w:style w:type="character" w:customStyle="1" w:styleId="pagerange">
    <w:name w:val="page_range"/>
  </w:style>
  <w:style w:type="character" w:customStyle="1" w:styleId="st">
    <w:name w:val="st"/>
  </w:style>
  <w:style w:type="paragraph" w:customStyle="1" w:styleId="BibItem">
    <w:name w:val="BibItem"/>
    <w:basedOn w:val="a1"/>
    <w:pPr>
      <w:keepLines/>
      <w:numPr>
        <w:numId w:val="2"/>
      </w:numPr>
      <w:tabs>
        <w:tab w:val="clear" w:pos="1222"/>
      </w:tabs>
      <w:autoSpaceDE w:val="0"/>
      <w:autoSpaceDN w:val="0"/>
      <w:spacing w:before="120" w:after="0"/>
      <w:ind w:left="454" w:hanging="454"/>
    </w:pPr>
    <w:rPr>
      <w:szCs w:val="24"/>
      <w:lang w:eastAsia="cs-CZ" w:bidi="ar-SA"/>
    </w:rPr>
  </w:style>
  <w:style w:type="character" w:customStyle="1" w:styleId="af5">
    <w:name w:val="Название Знак"/>
    <w:basedOn w:val="a2"/>
    <w:link w:val="af4"/>
    <w:rPr>
      <w:rFonts w:ascii="Times New Roman" w:eastAsia="Times New Roman" w:hAnsi="Times New Roman" w:cs="Mangal"/>
      <w:b/>
      <w:bCs/>
      <w:sz w:val="24"/>
      <w:szCs w:val="24"/>
      <w:lang w:val="ro-RO" w:eastAsia="en-US" w:bidi="sa-IN"/>
    </w:rPr>
  </w:style>
  <w:style w:type="paragraph" w:customStyle="1" w:styleId="Table">
    <w:name w:val="Table"/>
    <w:basedOn w:val="a0"/>
    <w:qFormat/>
    <w:pPr>
      <w:jc w:val="left"/>
    </w:pPr>
    <w:rPr>
      <w:rFonts w:ascii="Arial Narrow" w:eastAsia="Calibri" w:hAnsi="Arial Narrow" w:cs="Arial"/>
      <w:b/>
      <w:sz w:val="20"/>
      <w:szCs w:val="20"/>
      <w:lang w:bidi="ar-SA"/>
    </w:rPr>
  </w:style>
  <w:style w:type="paragraph" w:customStyle="1" w:styleId="TableContent">
    <w:name w:val="TableContent"/>
    <w:basedOn w:val="a0"/>
    <w:qFormat/>
    <w:pPr>
      <w:jc w:val="left"/>
    </w:pPr>
    <w:rPr>
      <w:rFonts w:ascii="Arial Narrow" w:eastAsia="Calibri" w:hAnsi="Arial Narrow" w:cs="Arial"/>
      <w:sz w:val="20"/>
      <w:szCs w:val="20"/>
      <w:lang w:bidi="ar-SA"/>
    </w:rPr>
  </w:style>
  <w:style w:type="character" w:customStyle="1" w:styleId="authorsname">
    <w:name w:val="authors__name"/>
    <w:basedOn w:val="a2"/>
  </w:style>
  <w:style w:type="character" w:customStyle="1" w:styleId="fs4">
    <w:name w:val="fs4"/>
    <w:basedOn w:val="a2"/>
  </w:style>
  <w:style w:type="character" w:customStyle="1" w:styleId="lsc">
    <w:name w:val="lsc"/>
    <w:basedOn w:val="a2"/>
  </w:style>
  <w:style w:type="character" w:customStyle="1" w:styleId="booktitle">
    <w:name w:val="booktitle"/>
    <w:basedOn w:val="a2"/>
    <w:qFormat/>
  </w:style>
  <w:style w:type="character" w:customStyle="1" w:styleId="page-numbers-info">
    <w:name w:val="page-numbers-info"/>
    <w:basedOn w:val="a2"/>
  </w:style>
  <w:style w:type="paragraph" w:customStyle="1" w:styleId="x--------------">
    <w:name w:val="x--------------"/>
    <w:basedOn w:val="a0"/>
    <w:pPr>
      <w:spacing w:before="100" w:beforeAutospacing="1" w:after="100" w:afterAutospacing="1"/>
      <w:jc w:val="left"/>
    </w:pPr>
    <w:rPr>
      <w:szCs w:val="24"/>
      <w:lang w:val="ru-RU" w:eastAsia="uk-UA" w:bidi="ar-SA"/>
    </w:rPr>
  </w:style>
  <w:style w:type="paragraph" w:customStyle="1" w:styleId="rvps2">
    <w:name w:val="rvps2"/>
    <w:basedOn w:val="a0"/>
    <w:uiPriority w:val="99"/>
    <w:pPr>
      <w:spacing w:before="100" w:beforeAutospacing="1" w:after="100" w:afterAutospacing="1"/>
      <w:jc w:val="left"/>
    </w:pPr>
    <w:rPr>
      <w:rFonts w:eastAsia="SimSun"/>
      <w:szCs w:val="24"/>
      <w:lang w:val="uk-UA" w:eastAsia="uk-UA" w:bidi="ar-SA"/>
    </w:rPr>
  </w:style>
  <w:style w:type="table" w:customStyle="1" w:styleId="14">
    <w:name w:val="Сетка таблицы1"/>
    <w:basedOn w:val="a3"/>
    <w:uiPriority w:val="59"/>
    <w:rPr>
      <w:rFonts w:asciiTheme="minorHAnsi" w:eastAsiaTheme="minorHAnsi" w:hAnsiTheme="minorHAnsi" w:cstheme="minorBidi"/>
      <w:sz w:val="22"/>
      <w:szCs w:val="22"/>
      <w:lang w:val="ru-RU"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field-content">
    <w:name w:val="field-content"/>
    <w:basedOn w:val="a2"/>
  </w:style>
  <w:style w:type="character" w:customStyle="1" w:styleId="ab">
    <w:name w:val="Текст примечания Знак"/>
    <w:basedOn w:val="a2"/>
    <w:link w:val="aa"/>
    <w:semiHidden/>
    <w:rPr>
      <w:rFonts w:ascii="Times New Roman" w:eastAsia="Times New Roman" w:hAnsi="Times New Roman"/>
      <w:lang w:val="en-US" w:eastAsia="en-US" w:bidi="en-US"/>
    </w:rPr>
  </w:style>
  <w:style w:type="paragraph" w:customStyle="1" w:styleId="x-wm-msonormal">
    <w:name w:val="x_-wm-msonormal"/>
    <w:basedOn w:val="a0"/>
    <w:pPr>
      <w:spacing w:before="100" w:beforeAutospacing="1" w:after="100" w:afterAutospacing="1"/>
      <w:jc w:val="left"/>
    </w:pPr>
    <w:rPr>
      <w:szCs w:val="24"/>
      <w:lang w:val="en-GB" w:eastAsia="cs-CZ"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17" Type="http://schemas.openxmlformats.org/officeDocument/2006/relationships/hyperlink" Target="https://apps.webofknowledge.com/OneClickSearch.do?product=UA&amp;search_mode=OneClickSearch&amp;excludeEventConfig=ExcludeIfFromFullRecPage&amp;SID=E46a24rfRwLfkyBr6CV&amp;field=AU&amp;value=Ali,%20Muhammad%20Jahangir" TargetMode="External"/><Relationship Id="rId21" Type="http://schemas.openxmlformats.org/officeDocument/2006/relationships/hyperlink" Target="https://kryptoportal.sk/author/matej-gazdarica/" TargetMode="External"/><Relationship Id="rId42" Type="http://schemas.openxmlformats.org/officeDocument/2006/relationships/chart" Target="charts/chart1.xml"/><Relationship Id="rId63" Type="http://schemas.openxmlformats.org/officeDocument/2006/relationships/hyperlink" Target="https://www.sciencedirect.com/science/article/abs/pii/S089083891400064X" TargetMode="External"/><Relationship Id="rId84" Type="http://schemas.openxmlformats.org/officeDocument/2006/relationships/hyperlink" Target="https://mailchi.mp/4a040405edce/cjn_2_2019-1074841" TargetMode="External"/><Relationship Id="rId138" Type="http://schemas.openxmlformats.org/officeDocument/2006/relationships/hyperlink" Target="https://www.acleu.eu/index.php/charity-lotteries/" TargetMode="External"/><Relationship Id="rId159" Type="http://schemas.openxmlformats.org/officeDocument/2006/relationships/diagramColors" Target="diagrams/colors1.xml"/><Relationship Id="rId170" Type="http://schemas.openxmlformats.org/officeDocument/2006/relationships/image" Target="media/image9.png"/><Relationship Id="rId191" Type="http://schemas.openxmlformats.org/officeDocument/2006/relationships/hyperlink" Target="https://www.consilium.europa.eu/media/45135/210720-euco-final-conclusions-sk.pdf" TargetMode="External"/><Relationship Id="rId205" Type="http://schemas.openxmlformats.org/officeDocument/2006/relationships/hyperlink" Target="http://www.nssoud.cz" TargetMode="External"/><Relationship Id="rId226" Type="http://schemas.openxmlformats.org/officeDocument/2006/relationships/image" Target="media/image15.emf"/><Relationship Id="rId107" Type="http://schemas.openxmlformats.org/officeDocument/2006/relationships/hyperlink" Target="https://apps.webofknowledge.com/OneClickSearch.do?product=UA&amp;search_mode=OneClickSearch&amp;excludeEventConfig=ExcludeIfFromFullRecPage&amp;SID=E46a24rfRwLfkyBr6CV&amp;field=AU&amp;value=Ali,%20Muhammad%20Jahangir" TargetMode="External"/><Relationship Id="rId11" Type="http://schemas.openxmlformats.org/officeDocument/2006/relationships/image" Target="media/image2.emf"/><Relationship Id="rId32" Type="http://schemas.openxmlformats.org/officeDocument/2006/relationships/hyperlink" Target="https://doi.org/10.1111/1759-3441.12282" TargetMode="External"/><Relationship Id="rId53" Type="http://schemas.openxmlformats.org/officeDocument/2006/relationships/hyperlink" Target="http://www.ukrstat.gov.ua/" TargetMode="External"/><Relationship Id="rId74" Type="http://schemas.openxmlformats.org/officeDocument/2006/relationships/hyperlink" Target="http://growingscience.com/beta/msl/3580-social-capital-measurement-based-on-the-value-explorer-method.html" TargetMode="External"/><Relationship Id="rId128" Type="http://schemas.openxmlformats.org/officeDocument/2006/relationships/hyperlink" Target="https://www.acleu.eu/index.php/charity-lotteries/ireland" TargetMode="External"/><Relationship Id="rId149" Type="http://schemas.openxmlformats.org/officeDocument/2006/relationships/hyperlink" Target="https://en.wikipedia.org/wiki/Online_portal" TargetMode="External"/><Relationship Id="rId5" Type="http://schemas.microsoft.com/office/2007/relationships/stylesWithEffects" Target="stylesWithEffects.xml"/><Relationship Id="rId95" Type="http://schemas.openxmlformats.org/officeDocument/2006/relationships/hyperlink" Target="https://www.accountancyeurope.eu/professional-matters/covid-19-resources-for-european-accountants/" TargetMode="External"/><Relationship Id="rId160" Type="http://schemas.microsoft.com/office/2007/relationships/diagramDrawing" Target="diagrams/drawing1.xml"/><Relationship Id="rId181" Type="http://schemas.openxmlformats.org/officeDocument/2006/relationships/oleObject" Target="embeddings/oleObject1.bin"/><Relationship Id="rId216" Type="http://schemas.openxmlformats.org/officeDocument/2006/relationships/hyperlink" Target="http://www.ekf.vsb.cz/export/sites/ekf/rmfr/cs/sbornik/Sbornik_parts/Sbornik_II.dil.pdf" TargetMode="External"/><Relationship Id="rId22" Type="http://schemas.openxmlformats.org/officeDocument/2006/relationships/hyperlink" Target="https://kryptoportal.sk/europska-centralna-banka-vyzyva-na-regulaciu-danenie-kryptomien/" TargetMode="External"/><Relationship Id="rId27" Type="http://schemas.openxmlformats.org/officeDocument/2006/relationships/hyperlink" Target="http://www.si-journal.org/index.php/JSI/article/viewFile/335/325" TargetMode="External"/><Relationship Id="rId43" Type="http://schemas.openxmlformats.org/officeDocument/2006/relationships/image" Target="media/image4.png"/><Relationship Id="rId48" Type="http://schemas.openxmlformats.org/officeDocument/2006/relationships/chart" Target="charts/chart2.xml"/><Relationship Id="rId64" Type="http://schemas.openxmlformats.org/officeDocument/2006/relationships/hyperlink" Target="https://www.sciencedirect.com/science/journal/08908389/46/4" TargetMode="External"/><Relationship Id="rId69" Type="http://schemas.openxmlformats.org/officeDocument/2006/relationships/hyperlink" Target="mailto:lsf@ztu.edu.ua" TargetMode="External"/><Relationship Id="rId113" Type="http://schemas.openxmlformats.org/officeDocument/2006/relationships/hyperlink" Target="https://apps.webofknowledge.com/full_record.do?product=UA&amp;search_mode=GeneralSearch&amp;qid=3&amp;SID=E46a24rfRwLfkyBr6CV&amp;page=3&amp;doc=27" TargetMode="External"/><Relationship Id="rId118" Type="http://schemas.openxmlformats.org/officeDocument/2006/relationships/hyperlink" Target="https://apps.webofknowledge.com/OneClickSearch.do?product=UA&amp;search_mode=OneClickSearch&amp;excludeEventConfig=ExcludeIfFromFullRecPage&amp;SID=E46a24rfRwLfkyBr6CV&amp;field=AU&amp;value=Ahmed,%20Kamran" TargetMode="External"/><Relationship Id="rId134" Type="http://schemas.openxmlformats.org/officeDocument/2006/relationships/hyperlink" Target="https://www.acleu.eu/index.php/charity-lotteries/ireland" TargetMode="External"/><Relationship Id="rId139" Type="http://schemas.openxmlformats.org/officeDocument/2006/relationships/hyperlink" Target="http://itretisektor.sk/clanok-0-605/1228_Charitativna_loteria.html." TargetMode="External"/><Relationship Id="rId80" Type="http://schemas.openxmlformats.org/officeDocument/2006/relationships/hyperlink" Target="https://intercert.com.ua/articles/regulatory-documents/311-iso-31000-risk-management" TargetMode="External"/><Relationship Id="rId85" Type="http://schemas.openxmlformats.org/officeDocument/2006/relationships/hyperlink" Target="https://www.zlato.cz/z-domova/firmy-akciemi-trhu-budou-muset-mit-zasady-odmenovani/" TargetMode="External"/><Relationship Id="rId150" Type="http://schemas.openxmlformats.org/officeDocument/2006/relationships/hyperlink" Target="https://en.wikipedia.org/wiki/Statistics" TargetMode="External"/><Relationship Id="rId155" Type="http://schemas.openxmlformats.org/officeDocument/2006/relationships/hyperlink" Target="http://www.ukrstat.gov.ua/operativ/operativ2012/fin/osp/osp_u/osp_u.htm" TargetMode="External"/><Relationship Id="rId171" Type="http://schemas.openxmlformats.org/officeDocument/2006/relationships/image" Target="media/image10.png"/><Relationship Id="rId176" Type="http://schemas.openxmlformats.org/officeDocument/2006/relationships/hyperlink" Target="javascript:;" TargetMode="External"/><Relationship Id="rId192" Type="http://schemas.openxmlformats.org/officeDocument/2006/relationships/hyperlink" Target="https://apps.webofknowledge.com/OutboundService.do?SID=F5xwT5H89U1v25ib1p2&amp;mode=rrcAuthorRecordService&amp;action=go&amp;product=WOS&amp;lang=en_US&amp;daisIds=7180458" TargetMode="External"/><Relationship Id="rId197" Type="http://schemas.openxmlformats.org/officeDocument/2006/relationships/hyperlink" Target="https://www.vlada.gov.sk//i-matovic-v-nasledujucich-rokoch-bude-mat-slovensko-z-eu-viac-ako-40-mld-eur/" TargetMode="External"/><Relationship Id="rId206" Type="http://schemas.openxmlformats.org/officeDocument/2006/relationships/hyperlink" Target="http://www.nssoud.cz" TargetMode="External"/><Relationship Id="rId227" Type="http://schemas.openxmlformats.org/officeDocument/2006/relationships/image" Target="media/image16.emf"/><Relationship Id="rId201" Type="http://schemas.openxmlformats.org/officeDocument/2006/relationships/hyperlink" Target="http://www.nssoud.cz" TargetMode="External"/><Relationship Id="rId222" Type="http://schemas.openxmlformats.org/officeDocument/2006/relationships/hyperlink" Target="http://www.nbs.sk/_img/Documents/_Dohlad/ORM/Poistovnictvo/Solventnost_II.pdf" TargetMode="External"/><Relationship Id="rId12" Type="http://schemas.openxmlformats.org/officeDocument/2006/relationships/image" Target="media/image3.png"/><Relationship Id="rId17" Type="http://schemas.openxmlformats.org/officeDocument/2006/relationships/hyperlink" Target="https://www.accaglobal.com/in/en/student/exam-support-resources/professional-exams-study-resources/strategic-business-reporting/technical-articles/cryptocurrencies.html" TargetMode="External"/><Relationship Id="rId33" Type="http://schemas.openxmlformats.org/officeDocument/2006/relationships/hyperlink" Target="https://doi.org/10.1111/meta.12270" TargetMode="External"/><Relationship Id="rId38" Type="http://schemas.openxmlformats.org/officeDocument/2006/relationships/hyperlink" Target="https://www.accountancyeurope.eu/wpcontent/uploads/1605_Audit_exemption_thresholds_update.pdf" TargetMode="External"/><Relationship Id="rId59" Type="http://schemas.openxmlformats.org/officeDocument/2006/relationships/hyperlink" Target="javascript:;" TargetMode="External"/><Relationship Id="rId103" Type="http://schemas.openxmlformats.org/officeDocument/2006/relationships/hyperlink" Target="https://or.justice.cz/ias/ui/vypis-sl-firma?subjektId=577953" TargetMode="External"/><Relationship Id="rId108" Type="http://schemas.openxmlformats.org/officeDocument/2006/relationships/hyperlink" Target="https://apps.webofknowledge.com/DaisyOneClickSearch.do?product=WOS&amp;search_mode=DaisyOneClickSearch&amp;colName=WOS&amp;SID=C2DJbQjIT6YCesNI8EO&amp;author_name=Green,%20S.%20C.&amp;dais_id=25447418&amp;excludeEventConfig=ExcludeIfFromFullRecPage" TargetMode="External"/><Relationship Id="rId124" Type="http://schemas.openxmlformats.org/officeDocument/2006/relationships/hyperlink" Target="https://www.acleu.eu/index.php/charity-lotteries/denmark" TargetMode="External"/><Relationship Id="rId129" Type="http://schemas.openxmlformats.org/officeDocument/2006/relationships/hyperlink" Target="https://www.acleu.eu/index.php/charity-lotteries/sweden" TargetMode="External"/><Relationship Id="rId54" Type="http://schemas.openxmlformats.org/officeDocument/2006/relationships/image" Target="media/image6.png"/><Relationship Id="rId70" Type="http://schemas.openxmlformats.org/officeDocument/2006/relationships/hyperlink" Target="mailto:ssec_irina@ztu.edu.ua" TargetMode="External"/><Relationship Id="rId75" Type="http://schemas.openxmlformats.org/officeDocument/2006/relationships/hyperlink" Target="http://growingscience.com/beta/msl/" TargetMode="External"/><Relationship Id="rId91" Type="http://schemas.openxmlformats.org/officeDocument/2006/relationships/hyperlink" Target="https://insis.vse.cz/auth/zp/zp_portal.pl?zp=35447;;historie=1;historie=1;vedouci=128" TargetMode="External"/><Relationship Id="rId96" Type="http://schemas.openxmlformats.org/officeDocument/2006/relationships/hyperlink" Target="https://www.kacr.cz/covid-191" TargetMode="External"/><Relationship Id="rId140" Type="http://schemas.openxmlformats.org/officeDocument/2006/relationships/hyperlink" Target="https://apps.webofknowledge.com/DaisyOneClickSearch.do?product=WOS&amp;search_mode=DaisyOneClickSearch&amp;colName=WOS&amp;SID=C46rot6R1Esv7xoxpUR&amp;author_name=Paksiova,%20Renata&amp;dais_id=2960890&amp;excludeEventConfig=ExcludeIfFromFullRecPage" TargetMode="External"/><Relationship Id="rId145" Type="http://schemas.openxmlformats.org/officeDocument/2006/relationships/hyperlink" Target="https://www.digitalcommerce360.com/2020/04/30/how-a-pandemic-transforms-tech-priorities" TargetMode="External"/><Relationship Id="rId161" Type="http://schemas.openxmlformats.org/officeDocument/2006/relationships/hyperlink" Target="https://www.ifrs.org/use-around-the-world/use-of-ifrs-standards-by-jurisdiction/" TargetMode="External"/><Relationship Id="rId166" Type="http://schemas.openxmlformats.org/officeDocument/2006/relationships/hyperlink" Target="http://www.scopus.com" TargetMode="External"/><Relationship Id="rId182" Type="http://schemas.openxmlformats.org/officeDocument/2006/relationships/image" Target="media/image12.wmf"/><Relationship Id="rId187" Type="http://schemas.openxmlformats.org/officeDocument/2006/relationships/hyperlink" Target="https://doi.org/10.3390/su12010092" TargetMode="External"/><Relationship Id="rId217" Type="http://schemas.openxmlformats.org/officeDocument/2006/relationships/hyperlink" Target="ftp://193.87.31.84/0210592/1-s2.0-S2212567115007145-main.pdf" TargetMode="External"/><Relationship Id="rId1" Type="http://schemas.openxmlformats.org/officeDocument/2006/relationships/customXml" Target="../customXml/item1.xml"/><Relationship Id="rId6" Type="http://schemas.openxmlformats.org/officeDocument/2006/relationships/settings" Target="settings.xml"/><Relationship Id="rId212" Type="http://schemas.openxmlformats.org/officeDocument/2006/relationships/hyperlink" Target="https://bank.gov.ua/en/statistic/sector-financial/data-sector-financial" TargetMode="External"/><Relationship Id="rId233" Type="http://schemas.openxmlformats.org/officeDocument/2006/relationships/theme" Target="theme/theme1.xml"/><Relationship Id="rId23" Type="http://schemas.openxmlformats.org/officeDocument/2006/relationships/hyperlink" Target="https://kryptoportal.sk/europska-centralna-banka-vyzyva-na-regulaciu-danenie-kryptomien/" TargetMode="External"/><Relationship Id="rId28" Type="http://schemas.openxmlformats.org/officeDocument/2006/relationships/hyperlink" Target="https://www.pwc.com/gx/en/services/audit-assurance/assets/pwc-cryptographic-assets-and-related-transactions-accounting-considerations-under-ifrs.pdf" TargetMode="External"/><Relationship Id="rId49" Type="http://schemas.openxmlformats.org/officeDocument/2006/relationships/hyperlink" Target="https://www.unwto.org/rural-mountain-tourism" TargetMode="External"/><Relationship Id="rId114" Type="http://schemas.openxmlformats.org/officeDocument/2006/relationships/hyperlink" Target="https://www.emerald.com/insight/publication/issn/2049-372X" TargetMode="External"/><Relationship Id="rId119" Type="http://schemas.openxmlformats.org/officeDocument/2006/relationships/hyperlink" Target="https://apps.webofknowledge.com/full_record.do?product=UA&amp;search_mode=GeneralSearch&amp;qid=61&amp;SID=E46a24rfRwLfkyBr6CV&amp;page=1&amp;doc=5" TargetMode="External"/><Relationship Id="rId44" Type="http://schemas.openxmlformats.org/officeDocument/2006/relationships/hyperlink" Target="file:///d:\Users\User\Downloads\Vetp_2010_30_33%20(1).pdf" TargetMode="External"/><Relationship Id="rId60" Type="http://schemas.openxmlformats.org/officeDocument/2006/relationships/hyperlink" Target="javascript:;" TargetMode="External"/><Relationship Id="rId65" Type="http://schemas.openxmlformats.org/officeDocument/2006/relationships/hyperlink" Target="https://doi.org/10.1016/j.bar.2014.10.003" TargetMode="External"/><Relationship Id="rId81" Type="http://schemas.openxmlformats.org/officeDocument/2006/relationships/hyperlink" Target="http://online.budstandart.com/ua/catalog/doc-page?id_doc=64015" TargetMode="External"/><Relationship Id="rId86" Type="http://schemas.openxmlformats.org/officeDocument/2006/relationships/hyperlink" Target="https://or.justice.cz/ias/ui/vypis-sl-firma?subjektId=472955" TargetMode="External"/><Relationship Id="rId130" Type="http://schemas.openxmlformats.org/officeDocument/2006/relationships/hyperlink" Target="https://www.acleu.eu/index.php/charity-lotteries/" TargetMode="External"/><Relationship Id="rId135" Type="http://schemas.openxmlformats.org/officeDocument/2006/relationships/hyperlink" Target="https://www.acleu.eu/index.php/charity-lotteries/denmark" TargetMode="External"/><Relationship Id="rId151" Type="http://schemas.openxmlformats.org/officeDocument/2006/relationships/hyperlink" Target="https://www.statista.com/topics/871/online-shopping/" TargetMode="External"/><Relationship Id="rId156" Type="http://schemas.openxmlformats.org/officeDocument/2006/relationships/diagramData" Target="diagrams/data1.xml"/><Relationship Id="rId177" Type="http://schemas.openxmlformats.org/officeDocument/2006/relationships/hyperlink" Target="javascript:;" TargetMode="External"/><Relationship Id="rId198" Type="http://schemas.openxmlformats.org/officeDocument/2006/relationships/hyperlink" Target="http://www.opevs.eu/" TargetMode="External"/><Relationship Id="rId172" Type="http://schemas.openxmlformats.org/officeDocument/2006/relationships/hyperlink" Target="https://decentralization.gov.ua/" TargetMode="External"/><Relationship Id="rId193" Type="http://schemas.openxmlformats.org/officeDocument/2006/relationships/hyperlink" Target="https://apps.webofknowledge.com/OutboundService.do?SID=F5xwT5H89U1v25ib1p2&amp;mode=rrcAuthorRecordService&amp;action=go&amp;product=WOS&amp;lang=en_US&amp;daisIds=1090585" TargetMode="External"/><Relationship Id="rId202" Type="http://schemas.openxmlformats.org/officeDocument/2006/relationships/hyperlink" Target="http://www.nssoud.cz" TargetMode="External"/><Relationship Id="rId207" Type="http://schemas.openxmlformats.org/officeDocument/2006/relationships/hyperlink" Target="https://apps.webofknowledge.com/full_record.do?product=WOS&amp;search_mode=GeneralSearch&amp;qid=15&amp;SID=C6dXkjAC4J1Qc2ZL2iS&amp;page=2&amp;doc=17" TargetMode="External"/><Relationship Id="rId223" Type="http://schemas.openxmlformats.org/officeDocument/2006/relationships/hyperlink" Target="https://www.msmt.cz/vzdelavani/vysoke-skolstvi/moznosti-overovani-vysledku-uceni-a-kompetenci-distancni" TargetMode="External"/><Relationship Id="rId228" Type="http://schemas.openxmlformats.org/officeDocument/2006/relationships/image" Target="media/image17.emf"/><Relationship Id="rId13" Type="http://schemas.openxmlformats.org/officeDocument/2006/relationships/header" Target="header1.xml"/><Relationship Id="rId18" Type="http://schemas.openxmlformats.org/officeDocument/2006/relationships/hyperlink" Target="https://doi.org/10.5195/ledger.2018.123" TargetMode="External"/><Relationship Id="rId39" Type="http://schemas.openxmlformats.org/officeDocument/2006/relationships/hyperlink" Target="mailto:dubinina@mnau.edu.ua" TargetMode="External"/><Relationship Id="rId109" Type="http://schemas.openxmlformats.org/officeDocument/2006/relationships/hyperlink" Target="https://apps.webofknowledge.com/full_record.do?product=WOS&amp;search_mode=GeneralSearch&amp;qid=4&amp;SID=C2DJbQjIT6YCesNI8EO&amp;page=1&amp;doc=5" TargetMode="External"/><Relationship Id="rId34" Type="http://schemas.openxmlformats.org/officeDocument/2006/relationships/hyperlink" Target="https://www.aasb.gov.au/admin/file/content102/c3/AASB_ASAF_DigitalCurrency.pdf" TargetMode="External"/><Relationship Id="rId50" Type="http://schemas.openxmlformats.org/officeDocument/2006/relationships/hyperlink" Target="https://wwoof.net/" TargetMode="External"/><Relationship Id="rId55" Type="http://schemas.openxmlformats.org/officeDocument/2006/relationships/hyperlink" Target="http://www.ukrstat.gov.ua/" TargetMode="External"/><Relationship Id="rId76" Type="http://schemas.openxmlformats.org/officeDocument/2006/relationships/hyperlink" Target="http://growingscience.com/beta/msl/3580-social-capital-measurement-based-on-the-value-explorer-method.html" TargetMode="External"/><Relationship Id="rId97" Type="http://schemas.openxmlformats.org/officeDocument/2006/relationships/hyperlink" Target="https://or.justice.cz/ias/ui/vypis-sl-firma?subjektId=472955" TargetMode="External"/><Relationship Id="rId104" Type="http://schemas.openxmlformats.org/officeDocument/2006/relationships/hyperlink" Target="https://apps.webofknowledge.com/OneClickSearch.do?product=UA&amp;search_mode=OneClickSearch&amp;excludeEventConfig=ExcludeIfFromFullRecPage&amp;SID=E46a24rfRwLfkyBr6CV&amp;field=AU&amp;value=Ali,%20Muhammad%20Jahangir" TargetMode="External"/><Relationship Id="rId120" Type="http://schemas.openxmlformats.org/officeDocument/2006/relationships/hyperlink" Target="https://apps.webofknowledge.com/DaisyOneClickSearch.do?product=WOS&amp;search_mode=DaisyOneClickSearch&amp;colName=WOS&amp;SID=C46rot6R1Esv7xoxpUR&amp;author_name=Paksiova,%20Renata&amp;dais_id=2960890&amp;excludeEventConfig=ExcludeIfFromFullRecPage" TargetMode="External"/><Relationship Id="rId125" Type="http://schemas.openxmlformats.org/officeDocument/2006/relationships/hyperlink" Target="https://www.acleu.eu/index.php/charity-lotteries/denmark" TargetMode="External"/><Relationship Id="rId141" Type="http://schemas.openxmlformats.org/officeDocument/2006/relationships/hyperlink" Target="https://apps.webofknowledge.com/DaisyOneClickSearch.do?product=WOS&amp;search_mode=DaisyOneClickSearch&amp;colName=WOS&amp;SID=C46rot6R1Esv7xoxpUR&amp;author_name=Kubascikova,%20Zuzana&amp;dais_id=4558866&amp;excludeEventConfig=ExcludeIfFromFullRecPage" TargetMode="External"/><Relationship Id="rId146" Type="http://schemas.openxmlformats.org/officeDocument/2006/relationships/hyperlink" Target="https://tqm.com.ua/ua/likbez/ua-articles/cyfrova-transformaciya-yak-lift-u-majbutnye" TargetMode="External"/><Relationship Id="rId167" Type="http://schemas.openxmlformats.org/officeDocument/2006/relationships/hyperlink" Target="https://econpapers.repec.org/article/eeejocaae/" TargetMode="External"/><Relationship Id="rId188" Type="http://schemas.openxmlformats.org/officeDocument/2006/relationships/hyperlink" Target="https://www.globalreporting.org/standards/media/1006/gri-205-anti-corruption-2016.pdf" TargetMode="External"/><Relationship Id="rId7" Type="http://schemas.openxmlformats.org/officeDocument/2006/relationships/webSettings" Target="webSettings.xml"/><Relationship Id="rId71" Type="http://schemas.openxmlformats.org/officeDocument/2006/relationships/hyperlink" Target="http://online.budstandart.com/ua/catalog/doc-page?id_doc=64015" TargetMode="External"/><Relationship Id="rId92" Type="http://schemas.openxmlformats.org/officeDocument/2006/relationships/hyperlink" Target="https://or.justice.cz/ias/ui/vypis-sl-detail?dokument=62259034&amp;subjektId=47718&amp;spis=73153" TargetMode="External"/><Relationship Id="rId162" Type="http://schemas.openxmlformats.org/officeDocument/2006/relationships/hyperlink" Target="http://www.ukrstat.gov.ua/operativ/operativ2012/fin/osp/osp_u/osp_u.htm" TargetMode="External"/><Relationship Id="rId183" Type="http://schemas.openxmlformats.org/officeDocument/2006/relationships/oleObject" Target="embeddings/oleObject2.bin"/><Relationship Id="rId213" Type="http://schemas.openxmlformats.org/officeDocument/2006/relationships/hyperlink" Target="https://bank.gov.ua/en/statistic/supervision-statist" TargetMode="External"/><Relationship Id="rId218" Type="http://schemas.openxmlformats.org/officeDocument/2006/relationships/hyperlink" Target="https://www2.deloitte.com/ie/en/pages/financial-services/articles/ifrs-17-objectives.html" TargetMode="External"/><Relationship Id="rId2" Type="http://schemas.openxmlformats.org/officeDocument/2006/relationships/customXml" Target="../customXml/item2.xml"/><Relationship Id="rId29" Type="http://schemas.openxmlformats.org/officeDocument/2006/relationships/hyperlink" Target="https://doi.org/10.5195/ledger.2019.171" TargetMode="External"/><Relationship Id="rId24" Type="http://schemas.openxmlformats.org/officeDocument/2006/relationships/hyperlink" Target="https://www.iasplus.com/en/meeting-notes/ifrs-ic/2019/june/holdings-of-cryptocurrencies" TargetMode="External"/><Relationship Id="rId40" Type="http://schemas.openxmlformats.org/officeDocument/2006/relationships/hyperlink" Target="https://nubip.edu.ua/en" TargetMode="External"/><Relationship Id="rId45" Type="http://schemas.openxmlformats.org/officeDocument/2006/relationships/hyperlink" Target="https://www.researchgate.net/publication/342203413_Contextual_Non-financial_Information_Analysis_of_Annual_Reports" TargetMode="External"/><Relationship Id="rId66" Type="http://schemas.openxmlformats.org/officeDocument/2006/relationships/hyperlink" Target="http://www.ukrstat.gov.ua/" TargetMode="External"/><Relationship Id="rId87" Type="http://schemas.openxmlformats.org/officeDocument/2006/relationships/hyperlink" Target="https://or.justice.cz/ias/ui/vypis-sl-firma?subjektId=578476" TargetMode="External"/><Relationship Id="rId110" Type="http://schemas.openxmlformats.org/officeDocument/2006/relationships/hyperlink" Target="https://www.ifac.org/system/files/publications/files/Staff-Alert-Auditing-Accounting-Estimates-final.pdf" TargetMode="External"/><Relationship Id="rId115" Type="http://schemas.openxmlformats.org/officeDocument/2006/relationships/hyperlink" Target="https://doi.org/10.1108/MEDAR-10-2017-0226" TargetMode="External"/><Relationship Id="rId131" Type="http://schemas.openxmlformats.org/officeDocument/2006/relationships/hyperlink" Target="https://www.acleu.eu/index.php/charity-lotteries" TargetMode="External"/><Relationship Id="rId136" Type="http://schemas.openxmlformats.org/officeDocument/2006/relationships/hyperlink" Target="https://www.acleu.eu/index.php/charity-lotteries/spain" TargetMode="External"/><Relationship Id="rId157" Type="http://schemas.openxmlformats.org/officeDocument/2006/relationships/diagramLayout" Target="diagrams/layout1.xml"/><Relationship Id="rId178" Type="http://schemas.openxmlformats.org/officeDocument/2006/relationships/hyperlink" Target="https://efaj.vse.cz/magno/efa/2011/mn4.php" TargetMode="External"/><Relationship Id="rId61" Type="http://schemas.openxmlformats.org/officeDocument/2006/relationships/hyperlink" Target="https://doi.org/10.2166/ws.2018.171" TargetMode="External"/><Relationship Id="rId82" Type="http://schemas.openxmlformats.org/officeDocument/2006/relationships/hyperlink" Target="http://fkd.org.ua/article/view/190801" TargetMode="External"/><Relationship Id="rId152" Type="http://schemas.openxmlformats.org/officeDocument/2006/relationships/hyperlink" Target="https://www.researchgate.net/journal/1556-5068_SSRN_Electronic_Journal" TargetMode="External"/><Relationship Id="rId173" Type="http://schemas.openxmlformats.org/officeDocument/2006/relationships/hyperlink" Target="javascript:;" TargetMode="External"/><Relationship Id="rId194" Type="http://schemas.openxmlformats.org/officeDocument/2006/relationships/hyperlink" Target="https://apps.webofknowledge.com/OutboundService.do?SID=F5xwT5H89U1v25ib1p2&amp;mode=rrcAuthorRecordService&amp;action=go&amp;product=WOS&amp;lang=en_US&amp;daisIds=1432051" TargetMode="External"/><Relationship Id="rId199" Type="http://schemas.openxmlformats.org/officeDocument/2006/relationships/hyperlink" Target="http://www.nssoud.cz" TargetMode="External"/><Relationship Id="rId203" Type="http://schemas.openxmlformats.org/officeDocument/2006/relationships/hyperlink" Target="http://www.nssoud.cz" TargetMode="External"/><Relationship Id="rId208" Type="http://schemas.openxmlformats.org/officeDocument/2006/relationships/hyperlink" Target="https://apps.webofknowledge.com/full_record.do?product=WOS&amp;search_mode=GeneralSearch&amp;qid=15&amp;SID=C6dXkjAC4J1Qc2ZL2iS&amp;page=3&amp;doc=28" TargetMode="External"/><Relationship Id="rId229" Type="http://schemas.openxmlformats.org/officeDocument/2006/relationships/hyperlink" Target="http://hdr.undp.org/en" TargetMode="External"/><Relationship Id="rId19" Type="http://schemas.openxmlformats.org/officeDocument/2006/relationships/hyperlink" Target="https://doi.org/10.5195/ledger.2019.100" TargetMode="External"/><Relationship Id="rId224" Type="http://schemas.openxmlformats.org/officeDocument/2006/relationships/hyperlink" Target="http://www.mzcr.cz/dokumenty/mimoradne-opatreni-uzavreni-zakladnichstrednich-a-vysokych-skol-od-11320_18696_4135_1.html" TargetMode="External"/><Relationship Id="rId14" Type="http://schemas.openxmlformats.org/officeDocument/2006/relationships/footer" Target="footer1.xml"/><Relationship Id="rId30" Type="http://schemas.openxmlformats.org/officeDocument/2006/relationships/hyperlink" Target="https://doi.org/10.5195/ledger.2016.61" TargetMode="External"/><Relationship Id="rId35" Type="http://schemas.openxmlformats.org/officeDocument/2006/relationships/hyperlink" Target="https://www.kacr.cz/covid-191" TargetMode="External"/><Relationship Id="rId56" Type="http://schemas.openxmlformats.org/officeDocument/2006/relationships/hyperlink" Target="https://doi.org/10.1080/09571269808718138" TargetMode="External"/><Relationship Id="rId77" Type="http://schemas.openxmlformats.org/officeDocument/2006/relationships/hyperlink" Target="https://integratedreporting.org/wp-content/uploads/2015/03/13-12-08-THE-INTERNATIONAL-IR-FRAMEWORK.docx_en-US_ru-RU.pdf" TargetMode="External"/><Relationship Id="rId100" Type="http://schemas.openxmlformats.org/officeDocument/2006/relationships/hyperlink" Target="https://or.justice.cz/ias/ui/vypis-sl-firma?subjektId=135010" TargetMode="External"/><Relationship Id="rId105" Type="http://schemas.openxmlformats.org/officeDocument/2006/relationships/hyperlink" Target="https://apps.webofknowledge.com/DaisyOneClickSearch.do?product=WOS&amp;search_mode=DaisyOneClickSearch&amp;colName=WOS&amp;SID=C2DJbQjIT6YCesNI8EO&amp;author_name=Green,%20S.%20C.&amp;dais_id=25447418&amp;excludeEventConfig=ExcludeIfFromFullRecPage" TargetMode="External"/><Relationship Id="rId126" Type="http://schemas.openxmlformats.org/officeDocument/2006/relationships/hyperlink" Target="https://www.acleu.eu/index.php/charity-lotteries/ireland" TargetMode="External"/><Relationship Id="rId147" Type="http://schemas.openxmlformats.org/officeDocument/2006/relationships/hyperlink" Target="https://retailx.net/product/europe-2020/" TargetMode="External"/><Relationship Id="rId168" Type="http://schemas.openxmlformats.org/officeDocument/2006/relationships/image" Target="media/image7.png"/><Relationship Id="rId8" Type="http://schemas.openxmlformats.org/officeDocument/2006/relationships/footnotes" Target="footnotes.xml"/><Relationship Id="rId51" Type="http://schemas.openxmlformats.org/officeDocument/2006/relationships/hyperlink" Target="https://nubip.edu.ua/en" TargetMode="External"/><Relationship Id="rId72" Type="http://schemas.openxmlformats.org/officeDocument/2006/relationships/hyperlink" Target="http://online.budstandart.com/ua/catalog/doc-page?id_doc=64015" TargetMode="External"/><Relationship Id="rId93" Type="http://schemas.openxmlformats.org/officeDocument/2006/relationships/hyperlink" Target="https://mailchi.mp/4a040405edce/cjn_2_2019-1074841" TargetMode="External"/><Relationship Id="rId98" Type="http://schemas.openxmlformats.org/officeDocument/2006/relationships/hyperlink" Target="https://or.justice.cz/ias/ui/vypis-sl-firma?subjektId=512708" TargetMode="External"/><Relationship Id="rId121" Type="http://schemas.openxmlformats.org/officeDocument/2006/relationships/hyperlink" Target="https://apps.webofknowledge.com/DaisyOneClickSearch.do?product=WOS&amp;search_mode=DaisyOneClickSearch&amp;colName=WOS&amp;SID=C46rot6R1Esv7xoxpUR&amp;author_name=Kubascikova,%20Zuzana&amp;dais_id=4558866&amp;excludeEventConfig=ExcludeIfFromFullRecPage" TargetMode="External"/><Relationship Id="rId142" Type="http://schemas.openxmlformats.org/officeDocument/2006/relationships/hyperlink" Target="https://apps.webofknowledge.com/DaisyOneClickSearch.do?product=WOS&amp;search_mode=DaisyOneClickSearch&amp;colName=WOS&amp;SID=C46rot6R1Esv7xoxpUR&amp;author_name=Krsekova,%20Marianna&amp;dais_id=7585443&amp;excludeEventConfig=ExcludeIfFromFullRecPage" TargetMode="External"/><Relationship Id="rId163" Type="http://schemas.openxmlformats.org/officeDocument/2006/relationships/hyperlink" Target="https://l.facebook.com/l.php?u=http%3A%2F%2Fwww.ijmp.jor.br%2Findex.php%2Fijmp%2Findex%3Ffbclid%3DIwAR0v-FxGgc9putfhTzFrza_fkiy6UZp5BN_lOPiIzuqEVRaoXdJqWW2Yp44&amp;h=AT22q-zseH6r_B3TINHjOKMlTIojTijc_VG70wU3pGjrYPQ8hxRlkGSVZ6mOvvwXoB6BuCs6pJwiK4Wn3zyQYK84_LahzaOF0RuuZYXj7ad6OgNesqWdqvtWtBY-3fRvCZk" TargetMode="External"/><Relationship Id="rId184" Type="http://schemas.openxmlformats.org/officeDocument/2006/relationships/hyperlink" Target="https://eso.vse.cz/~sklenak/pcvse/pcvse-sfx.php?krestni=David&amp;prijmeni=Proch%E1zka&amp;katedra=KFU" TargetMode="External"/><Relationship Id="rId189" Type="http://schemas.openxmlformats.org/officeDocument/2006/relationships/hyperlink" Target="https://webslovnik.zoznam.sk/anglicko-slovensky/?s=accounting-entity" TargetMode="External"/><Relationship Id="rId219" Type="http://schemas.openxmlformats.org/officeDocument/2006/relationships/hyperlink" Target="https://www.eiopa.europa.eu/content/eiopa-analyses-benefits-ifrs-17-insurance-contracts_en" TargetMode="External"/><Relationship Id="rId3" Type="http://schemas.openxmlformats.org/officeDocument/2006/relationships/numbering" Target="numbering.xml"/><Relationship Id="rId214" Type="http://schemas.openxmlformats.org/officeDocument/2006/relationships/hyperlink" Target="http://ssrn.com/abstract=1660122" TargetMode="External"/><Relationship Id="rId230" Type="http://schemas.openxmlformats.org/officeDocument/2006/relationships/hyperlink" Target="URL:http://hdr.undp.org/en/content/human-development-report-2019-readers-guide" TargetMode="External"/><Relationship Id="rId25" Type="http://schemas.openxmlformats.org/officeDocument/2006/relationships/hyperlink" Target="https://www.ifrs.org/projects/2019/holdings-of-cryptocurrencies/" TargetMode="External"/><Relationship Id="rId46" Type="http://schemas.openxmlformats.org/officeDocument/2006/relationships/hyperlink" Target="https://nubip.edu.ua/en" TargetMode="External"/><Relationship Id="rId67" Type="http://schemas.openxmlformats.org/officeDocument/2006/relationships/hyperlink" Target="https://www.epravda.com.ua/publications/2020/01/6/655513/" TargetMode="External"/><Relationship Id="rId116" Type="http://schemas.openxmlformats.org/officeDocument/2006/relationships/hyperlink" Target="https://apps.webofknowledge.com/OneClickSearch.do?product=UA&amp;search_mode=OneClickSearch&amp;excludeEventConfig=ExcludeIfFromFullRecPage&amp;SID=E46a24rfRwLfkyBr6CV&amp;field=AU&amp;value=Nasir,%20Noorul%20Azwin%20Binti%20Md" TargetMode="External"/><Relationship Id="rId137" Type="http://schemas.openxmlformats.org/officeDocument/2006/relationships/hyperlink" Target="https://www.acleu.eu/index.php/charity-lotteries/sweden" TargetMode="External"/><Relationship Id="rId158" Type="http://schemas.openxmlformats.org/officeDocument/2006/relationships/diagramQuickStyle" Target="diagrams/quickStyle1.xml"/><Relationship Id="rId20" Type="http://schemas.openxmlformats.org/officeDocument/2006/relationships/hyperlink" Target="https://www.ey.com/Publication/vwLUAssets/ey-devel150-cryptocurrency-holdings-august-2019/$File/ey-devel150-cryptocurrency-holdings-august-2019.pdf" TargetMode="External"/><Relationship Id="rId41" Type="http://schemas.openxmlformats.org/officeDocument/2006/relationships/hyperlink" Target="mailto:kn0378@ukr.net" TargetMode="External"/><Relationship Id="rId62" Type="http://schemas.openxmlformats.org/officeDocument/2006/relationships/hyperlink" Target="https://doi.org/10.1051/bioconf/20191201001" TargetMode="External"/><Relationship Id="rId83" Type="http://schemas.openxmlformats.org/officeDocument/2006/relationships/hyperlink" Target="https://www.kacr.cz/covid-191" TargetMode="External"/><Relationship Id="rId88" Type="http://schemas.openxmlformats.org/officeDocument/2006/relationships/hyperlink" Target="https://or.justice.cz/ias/ui/vypis-sl-firma?subjektId=525681" TargetMode="External"/><Relationship Id="rId111" Type="http://schemas.openxmlformats.org/officeDocument/2006/relationships/hyperlink" Target="https://apps.webofknowledge.com/OneClickSearch.do?product=UA&amp;search_mode=OneClickSearch&amp;excludeEventConfig=ExcludeIfFromFullRecPage&amp;SID=E46a24rfRwLfkyBr6CV&amp;field=AU&amp;value=Leidner,%20Jacob%20Justus" TargetMode="External"/><Relationship Id="rId132" Type="http://schemas.openxmlformats.org/officeDocument/2006/relationships/hyperlink" Target="https://www.acleu.eu/index.php/charity-lotteries/denmark" TargetMode="External"/><Relationship Id="rId153" Type="http://schemas.openxmlformats.org/officeDocument/2006/relationships/hyperlink" Target="https://www.researchgate.net/publication/228295305_The_Development_of_Financial_and_Management_Accounting_After_the_IFRS_Adoption_A_Case_from_the_Czech_Republic" TargetMode="External"/><Relationship Id="rId174" Type="http://schemas.openxmlformats.org/officeDocument/2006/relationships/hyperlink" Target="javascript:;" TargetMode="External"/><Relationship Id="rId179" Type="http://schemas.openxmlformats.org/officeDocument/2006/relationships/hyperlink" Target="mailto:legenchyk2014@gmail.com" TargetMode="External"/><Relationship Id="rId195" Type="http://schemas.openxmlformats.org/officeDocument/2006/relationships/hyperlink" Target="https://apps.webofknowledge.com/OutboundService.do?SID=F5xwT5H89U1v25ib1p2&amp;mode=rrcAuthorRecordService&amp;action=go&amp;product=WOS&amp;lang=en_US&amp;daisIds=39409463" TargetMode="External"/><Relationship Id="rId209" Type="http://schemas.openxmlformats.org/officeDocument/2006/relationships/hyperlink" Target="http://javascript:;/" TargetMode="External"/><Relationship Id="rId190" Type="http://schemas.openxmlformats.org/officeDocument/2006/relationships/hyperlink" Target="https://apps.webofknowledge.com/OutboundService.do?SID=F5xwT5H89U1v25ib1p2&amp;mode=rrcAuthorRecordService&amp;action=go&amp;product=WOS&amp;lang=en_US&amp;daisIds=1432051" TargetMode="External"/><Relationship Id="rId204" Type="http://schemas.openxmlformats.org/officeDocument/2006/relationships/hyperlink" Target="http://www.nssoud.cz" TargetMode="External"/><Relationship Id="rId220" Type="http://schemas.openxmlformats.org/officeDocument/2006/relationships/hyperlink" Target="https://www.ifrs.org/-/media/project/insurance-contracts/ifrs-standard/ifrs-17-factsheet.pdf" TargetMode="External"/><Relationship Id="rId225" Type="http://schemas.openxmlformats.org/officeDocument/2006/relationships/image" Target="media/image14.emf"/><Relationship Id="rId15" Type="http://schemas.openxmlformats.org/officeDocument/2006/relationships/hyperlink" Target="mailto:n.baloghova@hotmail.com" TargetMode="External"/><Relationship Id="rId36" Type="http://schemas.openxmlformats.org/officeDocument/2006/relationships/hyperlink" Target="mailto:denisa.domaracka@euba.sk" TargetMode="External"/><Relationship Id="rId57" Type="http://schemas.openxmlformats.org/officeDocument/2006/relationships/hyperlink" Target="javascript:;" TargetMode="External"/><Relationship Id="rId106" Type="http://schemas.openxmlformats.org/officeDocument/2006/relationships/hyperlink" Target="https://apps.webofknowledge.com/OneClickSearch.do?product=UA&amp;search_mode=OneClickSearch&amp;excludeEventConfig=ExcludeIfFromFullRecPage&amp;SID=E46a24rfRwLfkyBr6CV&amp;field=AU&amp;value=Leidner,%20Jacob%20Justus" TargetMode="External"/><Relationship Id="rId127" Type="http://schemas.openxmlformats.org/officeDocument/2006/relationships/hyperlink" Target="https://www.acleu.eu/index.php/charity-lotteries/ireland" TargetMode="External"/><Relationship Id="rId10" Type="http://schemas.openxmlformats.org/officeDocument/2006/relationships/image" Target="media/image1.png"/><Relationship Id="rId31" Type="http://schemas.openxmlformats.org/officeDocument/2006/relationships/hyperlink" Target="https://doi.org/10.1111/basr.12169" TargetMode="External"/><Relationship Id="rId52" Type="http://schemas.openxmlformats.org/officeDocument/2006/relationships/image" Target="media/image5.png"/><Relationship Id="rId73" Type="http://schemas.openxmlformats.org/officeDocument/2006/relationships/hyperlink" Target="http://msfz.ligazakon.ua/ua/magazine_article/FZ001041/" TargetMode="External"/><Relationship Id="rId78" Type="http://schemas.openxmlformats.org/officeDocument/2006/relationships/hyperlink" Target="http://csm.kiev.ua/index.php?option=com_content&amp;view=article&amp;id=4112%3A-iso-31000-&amp;catid=122%3A2015-09-15-07-01-23&amp;lang=uk" TargetMode="External"/><Relationship Id="rId94" Type="http://schemas.openxmlformats.org/officeDocument/2006/relationships/hyperlink" Target="https://www.zlato.cz/z-domova/firmy-akciemi-trhu-budou-muset-mit-zasady-odmenovani/" TargetMode="External"/><Relationship Id="rId99" Type="http://schemas.openxmlformats.org/officeDocument/2006/relationships/hyperlink" Target="https://or.justice.cz/ias/ui/vypis-sl-firma?subjektId=578476" TargetMode="External"/><Relationship Id="rId101" Type="http://schemas.openxmlformats.org/officeDocument/2006/relationships/hyperlink" Target="https://or.justice.cz/ias/ui/vypis-sl-firma?subjektId=525681" TargetMode="External"/><Relationship Id="rId122" Type="http://schemas.openxmlformats.org/officeDocument/2006/relationships/hyperlink" Target="https://apps.webofknowledge.com/DaisyOneClickSearch.do?product=WOS&amp;search_mode=DaisyOneClickSearch&amp;colName=WOS&amp;SID=C46rot6R1Esv7xoxpUR&amp;author_name=Krsekova,%20Marianna&amp;dais_id=7585443&amp;excludeEventConfig=ExcludeIfFromFullRecPage" TargetMode="External"/><Relationship Id="rId143" Type="http://schemas.openxmlformats.org/officeDocument/2006/relationships/hyperlink" Target="https://apps.webofknowledge.com/full_record.do?product=WOS&amp;search_mode=AuthorFinder&amp;qid=15&amp;SID=C46rot6R1Esv7xoxpUR&amp;page=1&amp;doc=3" TargetMode="External"/><Relationship Id="rId148" Type="http://schemas.openxmlformats.org/officeDocument/2006/relationships/hyperlink" Target="https://retailx.net/product/europe-2020/?utm_source=modern_retail&amp;utm_medium=article&amp;utm_campaign=europ2020" TargetMode="External"/><Relationship Id="rId164" Type="http://schemas.openxmlformats.org/officeDocument/2006/relationships/hyperlink" Target="https://www.accountancyeurope.eu/wp-content/uploads/Accountancy-Europe_Audit-exemption-thresholds-in-Europe_2020_survey-update.pdf" TargetMode="External"/><Relationship Id="rId169" Type="http://schemas.openxmlformats.org/officeDocument/2006/relationships/image" Target="media/image8.emf"/><Relationship Id="rId185" Type="http://schemas.openxmlformats.org/officeDocument/2006/relationships/hyperlink" Target="https://eso.vse.cz/~sklenak/pcvse/pcvse-sfx.php?krestni=Dana&amp;prijmeni=Dvo%F8%E1kov%E1&amp;katedra=KFU" TargetMode="External"/><Relationship Id="rId4" Type="http://schemas.openxmlformats.org/officeDocument/2006/relationships/styles" Target="styles.xml"/><Relationship Id="rId9" Type="http://schemas.openxmlformats.org/officeDocument/2006/relationships/endnotes" Target="endnotes.xml"/><Relationship Id="rId180" Type="http://schemas.openxmlformats.org/officeDocument/2006/relationships/image" Target="media/image11.wmf"/><Relationship Id="rId210" Type="http://schemas.openxmlformats.org/officeDocument/2006/relationships/hyperlink" Target="https://bank.gov.ua/en/statistic/supervision-statist" TargetMode="External"/><Relationship Id="rId215" Type="http://schemas.openxmlformats.org/officeDocument/2006/relationships/hyperlink" Target="http://www.investplan.com.ua/pdf/16_2016/8.pdf" TargetMode="External"/><Relationship Id="rId26" Type="http://schemas.openxmlformats.org/officeDocument/2006/relationships/hyperlink" Target="http://si-journal.org/index.php/JSI/article/viewFile/335/325" TargetMode="External"/><Relationship Id="rId231" Type="http://schemas.openxmlformats.org/officeDocument/2006/relationships/hyperlink" Target="http://hdr.undp.org/en" TargetMode="External"/><Relationship Id="rId47" Type="http://schemas.openxmlformats.org/officeDocument/2006/relationships/hyperlink" Target="mailto:lena_kolesnikova@ukr.net" TargetMode="External"/><Relationship Id="rId68" Type="http://schemas.openxmlformats.org/officeDocument/2006/relationships/hyperlink" Target="mailto:chizhev" TargetMode="External"/><Relationship Id="rId89" Type="http://schemas.openxmlformats.org/officeDocument/2006/relationships/hyperlink" Target="https://or.justice.cz/ias/ui/vypis-sl-firma?subjektId=699478" TargetMode="External"/><Relationship Id="rId112" Type="http://schemas.openxmlformats.org/officeDocument/2006/relationships/hyperlink" Target="https://apps.webofknowledge.com/OneClickSearch.do?product=UA&amp;search_mode=OneClickSearch&amp;excludeEventConfig=ExcludeIfFromFullRecPage&amp;SID=E46a24rfRwLfkyBr6CV&amp;field=AU&amp;value=Lenz,%20Hansrudi" TargetMode="External"/><Relationship Id="rId133" Type="http://schemas.openxmlformats.org/officeDocument/2006/relationships/hyperlink" Target="https://www.acleu.eu/index.php/charity-lotteries/ireland" TargetMode="External"/><Relationship Id="rId154" Type="http://schemas.openxmlformats.org/officeDocument/2006/relationships/hyperlink" Target="https://link.springer.com/book/10.1007/978-3-319-68762-9" TargetMode="External"/><Relationship Id="rId175" Type="http://schemas.openxmlformats.org/officeDocument/2006/relationships/hyperlink" Target="javascript:;" TargetMode="External"/><Relationship Id="rId196" Type="http://schemas.openxmlformats.org/officeDocument/2006/relationships/hyperlink" Target="https://apps.webofknowledge.com/CitedFullRecord.do?product=WOS&amp;colName=WOS&amp;SID=F5xwT5H89U1v25ib1p2&amp;search_mode=CitedFullRecord&amp;isickref=WOS:000444660100004" TargetMode="External"/><Relationship Id="rId200" Type="http://schemas.openxmlformats.org/officeDocument/2006/relationships/hyperlink" Target="http://www.nssoud.cz" TargetMode="External"/><Relationship Id="rId16" Type="http://schemas.openxmlformats.org/officeDocument/2006/relationships/hyperlink" Target="mailto:miriama.blahusiakova@euba.sk" TargetMode="External"/><Relationship Id="rId221" Type="http://schemas.openxmlformats.org/officeDocument/2006/relationships/hyperlink" Target="https://www.nbs.sk/sk/dohlad-nad-financnym-trhom/dohlad/poistovnictvo/nazory-a-stanoviska/vypocet-technickych-rezerv" TargetMode="External"/><Relationship Id="rId37" Type="http://schemas.openxmlformats.org/officeDocument/2006/relationships/hyperlink" Target="https://www.slov-lex.sk/pravne-predpisy/SK/ZZ/2003/595/" TargetMode="External"/><Relationship Id="rId58" Type="http://schemas.openxmlformats.org/officeDocument/2006/relationships/hyperlink" Target="javascript:;" TargetMode="External"/><Relationship Id="rId79" Type="http://schemas.openxmlformats.org/officeDocument/2006/relationships/hyperlink" Target="http://sersc.org/journals/index.php/IJAST/article/view/14701" TargetMode="External"/><Relationship Id="rId102" Type="http://schemas.openxmlformats.org/officeDocument/2006/relationships/hyperlink" Target="https://or.justice.cz/ias/ui/vypis-sl-firma?subjektId=699478" TargetMode="External"/><Relationship Id="rId123" Type="http://schemas.openxmlformats.org/officeDocument/2006/relationships/hyperlink" Target="https://www.acleu.eu/index.php/charity-lotteries" TargetMode="External"/><Relationship Id="rId144" Type="http://schemas.openxmlformats.org/officeDocument/2006/relationships/chart" Target="charts/chart3.xml"/><Relationship Id="rId90" Type="http://schemas.openxmlformats.org/officeDocument/2006/relationships/hyperlink" Target="https://or.justice.cz/ias/ui/vypis-sl-firma?subjektId=577953" TargetMode="External"/><Relationship Id="rId165" Type="http://schemas.openxmlformats.org/officeDocument/2006/relationships/hyperlink" Target="http://www.webofknowledge.com" TargetMode="External"/><Relationship Id="rId186" Type="http://schemas.openxmlformats.org/officeDocument/2006/relationships/image" Target="media/image13.png"/><Relationship Id="rId211" Type="http://schemas.openxmlformats.org/officeDocument/2006/relationships/hyperlink" Target="https://bank.gov.ua/en/statistic/sector-financial/data-sector-financial" TargetMode="External"/><Relationship Id="rId23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cdn.ifrs.org/-/media/feature/supporting-implementation/ifrs-9/ifrs-9-ecl-and-coronavirus.pdf?la=en" TargetMode="External"/><Relationship Id="rId2" Type="http://schemas.openxmlformats.org/officeDocument/2006/relationships/hyperlink" Target="http://eifrs.ifrs.org/eifrs/comment_letters//563/563_26519_SandyPetersCFAInstitute_0_RentConcessionCLIASB_Final_London.pdf" TargetMode="External"/><Relationship Id="rId1" Type="http://schemas.openxmlformats.org/officeDocument/2006/relationships/hyperlink" Target="https://www.esma.europa.eu/sites/default/files/library/esma32-61-417_public_statement_on_supervisory_action_on_accounting_for_covid-19_lease_modifications.pdf" TargetMode="External"/><Relationship Id="rId5" Type="http://schemas.openxmlformats.org/officeDocument/2006/relationships/hyperlink" Target="https://eba.europa.eu/eba-provides-clarity-banks-consumers-application-prudential-framework-light-covid-19-measures" TargetMode="External"/><Relationship Id="rId4" Type="http://schemas.openxmlformats.org/officeDocument/2006/relationships/hyperlink" Target="https://www.esma.europa.eu/node/90557"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C:\Users\user\Desktop\figures.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ownloads\&#1058;&#1091;&#1088;&#1080;&#1079;&#1084;.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Users\anastasiia\Library\Containers\com.apple.mail\Data\Library\Mail%20Downloads\A7C70B9B-CCD7-4F0B-AD34-9900E92B8C1E\&#1054;&#1073;&#1089;&#1103;&#1075;%20-%20&#1110;&#1085;&#1090;&#1077;&#1088;&#1085;&#1077;&#1090;%20&#1090;&#1086;&#1088;&#1075;&#1110;&#1074;&#1083;&#1110;%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pattFill prst="dkUpDiag">
              <a:fgClr>
                <a:sysClr val="windowText" lastClr="000000"/>
              </a:fgClr>
              <a:bgClr>
                <a:schemeClr val="bg1"/>
              </a:bgClr>
            </a:pattFill>
            <a:ln w="6350">
              <a:solidFill>
                <a:schemeClr val="tx1"/>
              </a:solidFill>
            </a:ln>
            <a:effectLst/>
          </c:spPr>
          <c:invertIfNegative val="0"/>
          <c:dLbls>
            <c:spPr>
              <a:noFill/>
              <a:ln>
                <a:noFill/>
              </a:ln>
              <a:effectLst/>
            </c:spPr>
            <c:txPr>
              <a:bodyPr rot="0" spcFirstLastPara="1" vertOverflow="ellipsis" vert="horz" wrap="square" lIns="38100" tIns="19050" rIns="38100" bIns="19050" anchor="ctr" anchorCtr="1"/>
              <a:lstStyle/>
              <a:p>
                <a:pPr>
                  <a:defRPr lang="en-US" sz="900" b="0" i="0" u="none" strike="noStrike" kern="1200" baseline="0">
                    <a:solidFill>
                      <a:schemeClr val="tx1"/>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'Рис. 1'!$B$2:$B$6</c:f>
              <c:strCache>
                <c:ptCount val="5"/>
                <c:pt idx="0">
                  <c:v>Lack of the legal regulation of social audit</c:v>
                </c:pt>
                <c:pt idx="1">
                  <c:v>Lack of the necessary information on the feasibility of introducing a social audit</c:v>
                </c:pt>
                <c:pt idx="2">
                  <c:v>Deficit of funds in agricultural enterprises</c:v>
                </c:pt>
                <c:pt idx="3">
                  <c:v>Staff conservatism</c:v>
                </c:pt>
                <c:pt idx="4">
                  <c:v>Fear of transparency of the own activity</c:v>
                </c:pt>
              </c:strCache>
            </c:strRef>
          </c:cat>
          <c:val>
            <c:numRef>
              <c:f>'Рис. 1'!$C$2:$C$6</c:f>
              <c:numCache>
                <c:formatCode>0.0</c:formatCode>
                <c:ptCount val="5"/>
                <c:pt idx="0">
                  <c:v>15.2</c:v>
                </c:pt>
                <c:pt idx="1">
                  <c:v>23.6</c:v>
                </c:pt>
                <c:pt idx="2">
                  <c:v>31.5</c:v>
                </c:pt>
                <c:pt idx="3">
                  <c:v>36.200000000000003</c:v>
                </c:pt>
                <c:pt idx="4">
                  <c:v>43.4</c:v>
                </c:pt>
              </c:numCache>
            </c:numRef>
          </c:val>
          <c:extLst xmlns:c16r2="http://schemas.microsoft.com/office/drawing/2015/06/chart">
            <c:ext xmlns:c16="http://schemas.microsoft.com/office/drawing/2014/chart" uri="{C3380CC4-5D6E-409C-BE32-E72D297353CC}">
              <c16:uniqueId val="{00000000-2265-2F45-B0F4-77EF2CA780D6}"/>
            </c:ext>
          </c:extLst>
        </c:ser>
        <c:dLbls>
          <c:showLegendKey val="0"/>
          <c:showVal val="1"/>
          <c:showCatName val="0"/>
          <c:showSerName val="0"/>
          <c:showPercent val="0"/>
          <c:showBubbleSize val="0"/>
        </c:dLbls>
        <c:gapWidth val="182"/>
        <c:axId val="142487552"/>
        <c:axId val="142488704"/>
      </c:barChart>
      <c:catAx>
        <c:axId val="14248755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800" b="0" i="0" u="none" strike="noStrike" kern="1200" baseline="0">
                <a:solidFill>
                  <a:schemeClr val="tx1"/>
                </a:solidFill>
                <a:latin typeface="+mn-lt"/>
                <a:ea typeface="+mn-ea"/>
                <a:cs typeface="+mn-cs"/>
              </a:defRPr>
            </a:pPr>
            <a:endParaRPr lang="uk-UA"/>
          </a:p>
        </c:txPr>
        <c:crossAx val="142488704"/>
        <c:crosses val="autoZero"/>
        <c:auto val="1"/>
        <c:lblAlgn val="ctr"/>
        <c:lblOffset val="100"/>
        <c:noMultiLvlLbl val="0"/>
      </c:catAx>
      <c:valAx>
        <c:axId val="142488704"/>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solidFill>
                <a:latin typeface="+mn-lt"/>
                <a:ea typeface="+mn-ea"/>
                <a:cs typeface="+mn-cs"/>
              </a:defRPr>
            </a:pPr>
            <a:endParaRPr lang="uk-UA"/>
          </a:p>
        </c:txPr>
        <c:crossAx val="14248755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en-US">
          <a:solidFill>
            <a:schemeClr val="tx1"/>
          </a:solidFill>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sz="1000">
                <a:latin typeface="Verdana" panose="020B0604030504040204" pitchFamily="34" charset="0"/>
                <a:ea typeface="Verdana" panose="020B0604030504040204" pitchFamily="34" charset="0"/>
                <a:cs typeface="Verdana" panose="020B0604030504040204" pitchFamily="34" charset="0"/>
              </a:rPr>
              <a:t>Figure 1 </a:t>
            </a:r>
            <a:r>
              <a:rPr lang="en-US" sz="1000" b="0">
                <a:latin typeface="Verdana" panose="020B0604030504040204" pitchFamily="34" charset="0"/>
                <a:ea typeface="Verdana" panose="020B0604030504040204" pitchFamily="34" charset="0"/>
                <a:cs typeface="Verdana" panose="020B0604030504040204" pitchFamily="34" charset="0"/>
              </a:rPr>
              <a:t>Estates that have the certificate "Ukrainian hospitable farmstead"</a:t>
            </a:r>
            <a:endParaRPr lang="ru-RU" sz="1000" b="0">
              <a:latin typeface="Verdana" panose="020B0604030504040204" pitchFamily="34" charset="0"/>
              <a:ea typeface="Verdana" panose="020B0604030504040204" pitchFamily="34" charset="0"/>
              <a:cs typeface="Verdana" panose="020B0604030504040204" pitchFamily="34" charset="0"/>
            </a:endParaRPr>
          </a:p>
        </c:rich>
      </c:tx>
      <c:overlay val="0"/>
    </c:title>
    <c:autoTitleDeleted val="0"/>
    <c:plotArea>
      <c:layout>
        <c:manualLayout>
          <c:layoutTarget val="inner"/>
          <c:xMode val="edge"/>
          <c:yMode val="edge"/>
          <c:x val="0.26540475544005299"/>
          <c:y val="0.25202938174394901"/>
          <c:w val="0.46119312672122897"/>
          <c:h val="0.65015419947506603"/>
        </c:manualLayout>
      </c:layout>
      <c:radarChart>
        <c:radarStyle val="marker"/>
        <c:varyColors val="0"/>
        <c:ser>
          <c:idx val="0"/>
          <c:order val="0"/>
          <c:tx>
            <c:strRef>
              <c:f>[Туризм.xlsx]Лист1!$C$22</c:f>
              <c:strCache>
                <c:ptCount val="1"/>
                <c:pt idx="0">
                  <c:v>Category</c:v>
                </c:pt>
              </c:strCache>
            </c:strRef>
          </c:tx>
          <c:marker>
            <c:symbol val="none"/>
          </c:marker>
          <c:cat>
            <c:strRef>
              <c:f>[Туризм.xlsx]Лист1!$B$17:$B$20</c:f>
              <c:strCache>
                <c:ptCount val="4"/>
                <c:pt idx="0">
                  <c:v>Basic</c:v>
                </c:pt>
                <c:pt idx="1">
                  <c:v>Third</c:v>
                </c:pt>
                <c:pt idx="2">
                  <c:v>Second</c:v>
                </c:pt>
                <c:pt idx="3">
                  <c:v>First</c:v>
                </c:pt>
              </c:strCache>
            </c:strRef>
          </c:cat>
          <c:val>
            <c:numRef>
              <c:f>[Туризм.xlsx]Лист1!$C$17:$C$20</c:f>
              <c:numCache>
                <c:formatCode>General</c:formatCode>
                <c:ptCount val="4"/>
                <c:pt idx="0">
                  <c:v>98</c:v>
                </c:pt>
                <c:pt idx="1">
                  <c:v>38</c:v>
                </c:pt>
                <c:pt idx="2">
                  <c:v>41</c:v>
                </c:pt>
                <c:pt idx="3">
                  <c:v>35</c:v>
                </c:pt>
              </c:numCache>
            </c:numRef>
          </c:val>
          <c:extLst xmlns:c16r2="http://schemas.microsoft.com/office/drawing/2015/06/chart">
            <c:ext xmlns:c16="http://schemas.microsoft.com/office/drawing/2014/chart" uri="{C3380CC4-5D6E-409C-BE32-E72D297353CC}">
              <c16:uniqueId val="{00000000-4ECE-F944-9759-28FBC4E6DA97}"/>
            </c:ext>
          </c:extLst>
        </c:ser>
        <c:dLbls>
          <c:showLegendKey val="0"/>
          <c:showVal val="0"/>
          <c:showCatName val="0"/>
          <c:showSerName val="0"/>
          <c:showPercent val="0"/>
          <c:showBubbleSize val="0"/>
        </c:dLbls>
        <c:axId val="142505088"/>
        <c:axId val="142506624"/>
      </c:radarChart>
      <c:catAx>
        <c:axId val="142505088"/>
        <c:scaling>
          <c:orientation val="minMax"/>
        </c:scaling>
        <c:delete val="0"/>
        <c:axPos val="b"/>
        <c:majorGridlines/>
        <c:numFmt formatCode="General" sourceLinked="0"/>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uk-UA"/>
          </a:p>
        </c:txPr>
        <c:crossAx val="142506624"/>
        <c:crosses val="autoZero"/>
        <c:auto val="1"/>
        <c:lblAlgn val="ctr"/>
        <c:lblOffset val="100"/>
        <c:noMultiLvlLbl val="0"/>
      </c:catAx>
      <c:valAx>
        <c:axId val="142506624"/>
        <c:scaling>
          <c:orientation val="minMax"/>
        </c:scaling>
        <c:delete val="0"/>
        <c:axPos val="l"/>
        <c:majorGridlines/>
        <c:numFmt formatCode="General" sourceLinked="1"/>
        <c:majorTickMark val="cross"/>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uk-UA"/>
          </a:p>
        </c:txPr>
        <c:crossAx val="142505088"/>
        <c:crosses val="autoZero"/>
        <c:crossBetween val="between"/>
      </c:valAx>
    </c:plotArea>
    <c:legend>
      <c:legendPos val="r"/>
      <c:layout>
        <c:manualLayout>
          <c:xMode val="edge"/>
          <c:yMode val="edge"/>
          <c:x val="0.72764981963461495"/>
          <c:y val="0.89635899679206699"/>
          <c:w val="0.23051911614496501"/>
          <c:h val="8.3717191601049901E-2"/>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uk-UA"/>
        </a:p>
      </c:txPr>
    </c:legend>
    <c:plotVisOnly val="1"/>
    <c:dispBlanksAs val="gap"/>
    <c:showDLblsOverMax val="0"/>
  </c:chart>
  <c:spPr>
    <a:ln w="9525" cap="flat" cmpd="sng" algn="ctr">
      <a:noFill/>
      <a:prstDash val="solid"/>
      <a:round/>
    </a:ln>
  </c:spPr>
  <c:txPr>
    <a:bodyPr/>
    <a:lstStyle/>
    <a:p>
      <a:pPr>
        <a:defRPr lang="en-US"/>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Sheet2!$A$2</c:f>
              <c:strCache>
                <c:ptCount val="1"/>
                <c:pt idx="0">
                  <c:v>Обсяг Інтернет-торгівлі в Україні, млрд грн</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Verdana" panose="020B0604030504040204" pitchFamily="34" charset="0"/>
                    <a:ea typeface="Verdana" panose="020B0604030504040204" pitchFamily="34" charset="0"/>
                    <a:cs typeface="Verdana" panose="020B0604030504040204" pitchFamily="34"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Sheet2!$B$1:$G$1</c:f>
              <c:numCache>
                <c:formatCode>General</c:formatCode>
                <c:ptCount val="6"/>
                <c:pt idx="0">
                  <c:v>2014</c:v>
                </c:pt>
                <c:pt idx="1">
                  <c:v>2015</c:v>
                </c:pt>
                <c:pt idx="2">
                  <c:v>2016</c:v>
                </c:pt>
                <c:pt idx="3">
                  <c:v>2017</c:v>
                </c:pt>
                <c:pt idx="4">
                  <c:v>2018</c:v>
                </c:pt>
                <c:pt idx="5">
                  <c:v>2019</c:v>
                </c:pt>
              </c:numCache>
            </c:numRef>
          </c:cat>
          <c:val>
            <c:numRef>
              <c:f>Sheet2!$B$2:$G$2</c:f>
              <c:numCache>
                <c:formatCode>General</c:formatCode>
                <c:ptCount val="6"/>
                <c:pt idx="0">
                  <c:v>12.3</c:v>
                </c:pt>
                <c:pt idx="1">
                  <c:v>25.5</c:v>
                </c:pt>
                <c:pt idx="2">
                  <c:v>38.4</c:v>
                </c:pt>
                <c:pt idx="3">
                  <c:v>48</c:v>
                </c:pt>
                <c:pt idx="4">
                  <c:v>63.1</c:v>
                </c:pt>
                <c:pt idx="5">
                  <c:v>76</c:v>
                </c:pt>
              </c:numCache>
            </c:numRef>
          </c:val>
          <c:extLst xmlns:c16r2="http://schemas.microsoft.com/office/drawing/2015/06/chart">
            <c:ext xmlns:c16="http://schemas.microsoft.com/office/drawing/2014/chart" uri="{C3380CC4-5D6E-409C-BE32-E72D297353CC}">
              <c16:uniqueId val="{00000000-03CE-EA40-AC72-E0AE2D5D7E96}"/>
            </c:ext>
          </c:extLst>
        </c:ser>
        <c:dLbls>
          <c:showLegendKey val="0"/>
          <c:showVal val="1"/>
          <c:showCatName val="0"/>
          <c:showSerName val="0"/>
          <c:showPercent val="0"/>
          <c:showBubbleSize val="0"/>
        </c:dLbls>
        <c:gapWidth val="219"/>
        <c:overlap val="-27"/>
        <c:axId val="142527488"/>
        <c:axId val="161941376"/>
      </c:barChart>
      <c:catAx>
        <c:axId val="142527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Verdana" panose="020B0604030504040204" pitchFamily="34" charset="0"/>
                <a:ea typeface="Verdana" panose="020B0604030504040204" pitchFamily="34" charset="0"/>
                <a:cs typeface="Verdana" panose="020B0604030504040204" pitchFamily="34" charset="0"/>
              </a:defRPr>
            </a:pPr>
            <a:endParaRPr lang="uk-UA"/>
          </a:p>
        </c:txPr>
        <c:crossAx val="161941376"/>
        <c:crosses val="autoZero"/>
        <c:auto val="1"/>
        <c:lblAlgn val="ctr"/>
        <c:lblOffset val="100"/>
        <c:noMultiLvlLbl val="0"/>
      </c:catAx>
      <c:valAx>
        <c:axId val="1619413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Verdana" panose="020B0604030504040204" pitchFamily="34" charset="0"/>
                <a:ea typeface="Verdana" panose="020B0604030504040204" pitchFamily="34" charset="0"/>
                <a:cs typeface="Verdana" panose="020B0604030504040204" pitchFamily="34" charset="0"/>
              </a:defRPr>
            </a:pPr>
            <a:endParaRPr lang="uk-UA"/>
          </a:p>
        </c:txPr>
        <c:crossAx val="1425274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1">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5A70A09E-DF32-4277-AAB5-0933E2AE4D76}" type="doc">
      <dgm:prSet loTypeId="urn:microsoft.com/office/officeart/2005/8/layout/hProcess9#1" loCatId="process" qsTypeId="urn:microsoft.com/office/officeart/2005/8/quickstyle/simple1#3" qsCatId="simple" csTypeId="urn:microsoft.com/office/officeart/2005/8/colors/accent0_1#1" csCatId="mainScheme" phldr="1"/>
      <dgm:spPr/>
    </dgm:pt>
    <dgm:pt modelId="{E7A4F0FA-0270-4B2A-9DF3-67BE0EE24578}">
      <dgm:prSet phldrT="[Text]" custT="1"/>
      <dgm:spPr>
        <a:ln w="12700"/>
      </dgm:spPr>
      <dgm:t>
        <a:bodyPr/>
        <a:lstStyle/>
        <a:p>
          <a:r>
            <a:rPr lang="en-US" sz="900">
              <a:latin typeface="Verdana" panose="020B0604030504040204" pitchFamily="34" charset="0"/>
              <a:ea typeface="Verdana" panose="020B0604030504040204" pitchFamily="34" charset="0"/>
            </a:rPr>
            <a:t>Delay in translating the updated version of IFRS for SMEs (January 2020)</a:t>
          </a:r>
          <a:endParaRPr lang="uk-UA" sz="900">
            <a:latin typeface="Verdana" panose="020B0604030504040204" pitchFamily="34" charset="0"/>
            <a:ea typeface="Verdana" panose="020B0604030504040204" pitchFamily="34" charset="0"/>
            <a:cs typeface="Verdana" panose="020B0604030504040204" pitchFamily="34" charset="0"/>
          </a:endParaRPr>
        </a:p>
      </dgm:t>
    </dgm:pt>
    <dgm:pt modelId="{524FF609-FCEA-467F-A6E0-9494CB43647F}" type="parTrans" cxnId="{FACE5E58-40B9-46C8-A2A8-EAB498902CA3}">
      <dgm:prSet/>
      <dgm:spPr/>
      <dgm:t>
        <a:bodyPr/>
        <a:lstStyle/>
        <a:p>
          <a:endParaRPr lang="uk-UA"/>
        </a:p>
      </dgm:t>
    </dgm:pt>
    <dgm:pt modelId="{1FC37673-00A8-4CAA-A30E-1CF10A26BED2}" type="sibTrans" cxnId="{FACE5E58-40B9-46C8-A2A8-EAB498902CA3}">
      <dgm:prSet/>
      <dgm:spPr/>
      <dgm:t>
        <a:bodyPr/>
        <a:lstStyle/>
        <a:p>
          <a:endParaRPr lang="uk-UA"/>
        </a:p>
      </dgm:t>
    </dgm:pt>
    <dgm:pt modelId="{25ECACB0-2851-47CB-9EBC-55C00D0A6038}">
      <dgm:prSet phldrT="[Text]" custT="1"/>
      <dgm:spPr>
        <a:ln w="12700"/>
      </dgm:spPr>
      <dgm:t>
        <a:bodyPr/>
        <a:lstStyle/>
        <a:p>
          <a:r>
            <a:rPr lang="en-US" sz="900">
              <a:latin typeface="Verdana" panose="020B0604030504040204" pitchFamily="34" charset="0"/>
              <a:ea typeface="Verdana" panose="020B0604030504040204" pitchFamily="34" charset="0"/>
            </a:rPr>
            <a:t>The need to take into account national specifics</a:t>
          </a:r>
          <a:endParaRPr lang="uk-UA" sz="900">
            <a:latin typeface="Verdana" panose="020B0604030504040204" pitchFamily="34" charset="0"/>
            <a:ea typeface="Verdana" panose="020B0604030504040204" pitchFamily="34" charset="0"/>
            <a:cs typeface="Verdana" panose="020B0604030504040204" pitchFamily="34" charset="0"/>
          </a:endParaRPr>
        </a:p>
      </dgm:t>
    </dgm:pt>
    <dgm:pt modelId="{1FDF7337-1AEB-4041-9029-8387301011AC}" type="parTrans" cxnId="{1016B468-DB3B-4FAC-821B-C63F9C8F6308}">
      <dgm:prSet/>
      <dgm:spPr/>
      <dgm:t>
        <a:bodyPr/>
        <a:lstStyle/>
        <a:p>
          <a:endParaRPr lang="uk-UA"/>
        </a:p>
      </dgm:t>
    </dgm:pt>
    <dgm:pt modelId="{1DAA3BBD-3D7E-47C2-944B-3F068C94BCBC}" type="sibTrans" cxnId="{1016B468-DB3B-4FAC-821B-C63F9C8F6308}">
      <dgm:prSet/>
      <dgm:spPr/>
      <dgm:t>
        <a:bodyPr/>
        <a:lstStyle/>
        <a:p>
          <a:endParaRPr lang="uk-UA"/>
        </a:p>
      </dgm:t>
    </dgm:pt>
    <dgm:pt modelId="{144B61FE-F199-4054-8646-796BBF24121A}">
      <dgm:prSet phldrT="[Text]" custT="1"/>
      <dgm:spPr>
        <a:ln w="12700"/>
      </dgm:spPr>
      <dgm:t>
        <a:bodyPr/>
        <a:lstStyle/>
        <a:p>
          <a:r>
            <a:rPr lang="en-US" sz="900">
              <a:latin typeface="Verdana" panose="020B0604030504040204" pitchFamily="34" charset="0"/>
              <a:ea typeface="Verdana" panose="020B0604030504040204" pitchFamily="34" charset="0"/>
            </a:rPr>
            <a:t>The need for common methodological principles</a:t>
          </a:r>
          <a:endParaRPr lang="uk-UA" sz="900">
            <a:latin typeface="Verdana" panose="020B0604030504040204" pitchFamily="34" charset="0"/>
            <a:ea typeface="Verdana" panose="020B0604030504040204" pitchFamily="34" charset="0"/>
            <a:cs typeface="Verdana" panose="020B0604030504040204" pitchFamily="34" charset="0"/>
          </a:endParaRPr>
        </a:p>
      </dgm:t>
    </dgm:pt>
    <dgm:pt modelId="{0F223FA9-3B98-44D7-83EA-03691667360A}" type="parTrans" cxnId="{C4A9E5AC-E60D-4D86-A9D7-DEAD475B4F75}">
      <dgm:prSet/>
      <dgm:spPr/>
      <dgm:t>
        <a:bodyPr/>
        <a:lstStyle/>
        <a:p>
          <a:endParaRPr lang="uk-UA"/>
        </a:p>
      </dgm:t>
    </dgm:pt>
    <dgm:pt modelId="{0C7F1138-F28D-45BB-8B98-A985339F9807}" type="sibTrans" cxnId="{C4A9E5AC-E60D-4D86-A9D7-DEAD475B4F75}">
      <dgm:prSet/>
      <dgm:spPr/>
      <dgm:t>
        <a:bodyPr/>
        <a:lstStyle/>
        <a:p>
          <a:endParaRPr lang="uk-UA"/>
        </a:p>
      </dgm:t>
    </dgm:pt>
    <dgm:pt modelId="{AD67242F-A395-4B32-BFAB-297E65610114}" type="pres">
      <dgm:prSet presAssocID="{5A70A09E-DF32-4277-AAB5-0933E2AE4D76}" presName="CompostProcess" presStyleCnt="0">
        <dgm:presLayoutVars>
          <dgm:dir/>
          <dgm:resizeHandles val="exact"/>
        </dgm:presLayoutVars>
      </dgm:prSet>
      <dgm:spPr/>
    </dgm:pt>
    <dgm:pt modelId="{BED0AFA0-B0A7-4DBA-80AD-5338B29CDA2B}" type="pres">
      <dgm:prSet presAssocID="{5A70A09E-DF32-4277-AAB5-0933E2AE4D76}" presName="arrow" presStyleLbl="bgShp" presStyleIdx="0" presStyleCnt="1" custLinFactNeighborX="1387" custLinFactNeighborY="-6768"/>
      <dgm:spPr/>
    </dgm:pt>
    <dgm:pt modelId="{D2E4B376-EB47-4B93-98ED-59A7FD70EBF0}" type="pres">
      <dgm:prSet presAssocID="{5A70A09E-DF32-4277-AAB5-0933E2AE4D76}" presName="linearProcess" presStyleCnt="0"/>
      <dgm:spPr/>
    </dgm:pt>
    <dgm:pt modelId="{4642AB16-C7F5-4490-ABC9-750B9DE4B3B0}" type="pres">
      <dgm:prSet presAssocID="{E7A4F0FA-0270-4B2A-9DF3-67BE0EE24578}" presName="textNode" presStyleLbl="node1" presStyleIdx="0" presStyleCnt="3">
        <dgm:presLayoutVars>
          <dgm:bulletEnabled val="1"/>
        </dgm:presLayoutVars>
      </dgm:prSet>
      <dgm:spPr/>
      <dgm:t>
        <a:bodyPr/>
        <a:lstStyle/>
        <a:p>
          <a:endParaRPr lang="uk-UA"/>
        </a:p>
      </dgm:t>
    </dgm:pt>
    <dgm:pt modelId="{874176C1-6658-41DE-A01A-F8CB3C7F7BFB}" type="pres">
      <dgm:prSet presAssocID="{1FC37673-00A8-4CAA-A30E-1CF10A26BED2}" presName="sibTrans" presStyleCnt="0"/>
      <dgm:spPr/>
    </dgm:pt>
    <dgm:pt modelId="{50CB6827-A05C-4D4A-BBC8-3A5776DC4340}" type="pres">
      <dgm:prSet presAssocID="{25ECACB0-2851-47CB-9EBC-55C00D0A6038}" presName="textNode" presStyleLbl="node1" presStyleIdx="1" presStyleCnt="3">
        <dgm:presLayoutVars>
          <dgm:bulletEnabled val="1"/>
        </dgm:presLayoutVars>
      </dgm:prSet>
      <dgm:spPr/>
      <dgm:t>
        <a:bodyPr/>
        <a:lstStyle/>
        <a:p>
          <a:endParaRPr lang="uk-UA"/>
        </a:p>
      </dgm:t>
    </dgm:pt>
    <dgm:pt modelId="{6ECD7D3F-09C6-4BDB-9E65-2C80123CBF35}" type="pres">
      <dgm:prSet presAssocID="{1DAA3BBD-3D7E-47C2-944B-3F068C94BCBC}" presName="sibTrans" presStyleCnt="0"/>
      <dgm:spPr/>
    </dgm:pt>
    <dgm:pt modelId="{60ADF7D5-8927-4236-8ABC-32A4E539716B}" type="pres">
      <dgm:prSet presAssocID="{144B61FE-F199-4054-8646-796BBF24121A}" presName="textNode" presStyleLbl="node1" presStyleIdx="2" presStyleCnt="3">
        <dgm:presLayoutVars>
          <dgm:bulletEnabled val="1"/>
        </dgm:presLayoutVars>
      </dgm:prSet>
      <dgm:spPr/>
      <dgm:t>
        <a:bodyPr/>
        <a:lstStyle/>
        <a:p>
          <a:endParaRPr lang="uk-UA"/>
        </a:p>
      </dgm:t>
    </dgm:pt>
  </dgm:ptLst>
  <dgm:cxnLst>
    <dgm:cxn modelId="{C4A9E5AC-E60D-4D86-A9D7-DEAD475B4F75}" srcId="{5A70A09E-DF32-4277-AAB5-0933E2AE4D76}" destId="{144B61FE-F199-4054-8646-796BBF24121A}" srcOrd="2" destOrd="0" parTransId="{0F223FA9-3B98-44D7-83EA-03691667360A}" sibTransId="{0C7F1138-F28D-45BB-8B98-A985339F9807}"/>
    <dgm:cxn modelId="{1016B468-DB3B-4FAC-821B-C63F9C8F6308}" srcId="{5A70A09E-DF32-4277-AAB5-0933E2AE4D76}" destId="{25ECACB0-2851-47CB-9EBC-55C00D0A6038}" srcOrd="1" destOrd="0" parTransId="{1FDF7337-1AEB-4041-9029-8387301011AC}" sibTransId="{1DAA3BBD-3D7E-47C2-944B-3F068C94BCBC}"/>
    <dgm:cxn modelId="{1A30ACB0-FE4A-42C1-BF86-7E1B1BA8485E}" type="presOf" srcId="{144B61FE-F199-4054-8646-796BBF24121A}" destId="{60ADF7D5-8927-4236-8ABC-32A4E539716B}" srcOrd="0" destOrd="0" presId="urn:microsoft.com/office/officeart/2005/8/layout/hProcess9#1"/>
    <dgm:cxn modelId="{3FA56A0C-5804-4EEC-AF2B-FA719E6922E0}" type="presOf" srcId="{25ECACB0-2851-47CB-9EBC-55C00D0A6038}" destId="{50CB6827-A05C-4D4A-BBC8-3A5776DC4340}" srcOrd="0" destOrd="0" presId="urn:microsoft.com/office/officeart/2005/8/layout/hProcess9#1"/>
    <dgm:cxn modelId="{FACE5E58-40B9-46C8-A2A8-EAB498902CA3}" srcId="{5A70A09E-DF32-4277-AAB5-0933E2AE4D76}" destId="{E7A4F0FA-0270-4B2A-9DF3-67BE0EE24578}" srcOrd="0" destOrd="0" parTransId="{524FF609-FCEA-467F-A6E0-9494CB43647F}" sibTransId="{1FC37673-00A8-4CAA-A30E-1CF10A26BED2}"/>
    <dgm:cxn modelId="{0C656C03-FBD1-47BB-AD1A-0214C8B551FF}" type="presOf" srcId="{E7A4F0FA-0270-4B2A-9DF3-67BE0EE24578}" destId="{4642AB16-C7F5-4490-ABC9-750B9DE4B3B0}" srcOrd="0" destOrd="0" presId="urn:microsoft.com/office/officeart/2005/8/layout/hProcess9#1"/>
    <dgm:cxn modelId="{148C5EC0-81EA-4A34-BC70-E3F06337A561}" type="presOf" srcId="{5A70A09E-DF32-4277-AAB5-0933E2AE4D76}" destId="{AD67242F-A395-4B32-BFAB-297E65610114}" srcOrd="0" destOrd="0" presId="urn:microsoft.com/office/officeart/2005/8/layout/hProcess9#1"/>
    <dgm:cxn modelId="{F5B4D952-B99F-4B44-895A-4F1679593CBD}" type="presParOf" srcId="{AD67242F-A395-4B32-BFAB-297E65610114}" destId="{BED0AFA0-B0A7-4DBA-80AD-5338B29CDA2B}" srcOrd="0" destOrd="0" presId="urn:microsoft.com/office/officeart/2005/8/layout/hProcess9#1"/>
    <dgm:cxn modelId="{7FAE5DEF-4C35-4EFB-99EE-AE4B97439CF3}" type="presParOf" srcId="{AD67242F-A395-4B32-BFAB-297E65610114}" destId="{D2E4B376-EB47-4B93-98ED-59A7FD70EBF0}" srcOrd="1" destOrd="0" presId="urn:microsoft.com/office/officeart/2005/8/layout/hProcess9#1"/>
    <dgm:cxn modelId="{B38C10F2-4C3B-433B-8883-13B90BEC1691}" type="presParOf" srcId="{D2E4B376-EB47-4B93-98ED-59A7FD70EBF0}" destId="{4642AB16-C7F5-4490-ABC9-750B9DE4B3B0}" srcOrd="0" destOrd="0" presId="urn:microsoft.com/office/officeart/2005/8/layout/hProcess9#1"/>
    <dgm:cxn modelId="{1ED9C55E-5F34-4CD4-AAA2-AA1D259C999D}" type="presParOf" srcId="{D2E4B376-EB47-4B93-98ED-59A7FD70EBF0}" destId="{874176C1-6658-41DE-A01A-F8CB3C7F7BFB}" srcOrd="1" destOrd="0" presId="urn:microsoft.com/office/officeart/2005/8/layout/hProcess9#1"/>
    <dgm:cxn modelId="{C2383889-3C36-4C27-9450-FAF804882EE5}" type="presParOf" srcId="{D2E4B376-EB47-4B93-98ED-59A7FD70EBF0}" destId="{50CB6827-A05C-4D4A-BBC8-3A5776DC4340}" srcOrd="2" destOrd="0" presId="urn:microsoft.com/office/officeart/2005/8/layout/hProcess9#1"/>
    <dgm:cxn modelId="{58EC572C-EBCE-421F-A29F-C6FE49F00F96}" type="presParOf" srcId="{D2E4B376-EB47-4B93-98ED-59A7FD70EBF0}" destId="{6ECD7D3F-09C6-4BDB-9E65-2C80123CBF35}" srcOrd="3" destOrd="0" presId="urn:microsoft.com/office/officeart/2005/8/layout/hProcess9#1"/>
    <dgm:cxn modelId="{F5E5E8A2-4D01-4322-8127-E83A7DD1D040}" type="presParOf" srcId="{D2E4B376-EB47-4B93-98ED-59A7FD70EBF0}" destId="{60ADF7D5-8927-4236-8ABC-32A4E539716B}" srcOrd="4" destOrd="0" presId="urn:microsoft.com/office/officeart/2005/8/layout/hProcess9#1"/>
  </dgm:cxnLst>
  <dgm:bg/>
  <dgm:whole/>
  <dgm:extLst>
    <a:ext uri="http://schemas.microsoft.com/office/drawing/2008/diagram">
      <dsp:dataModelExt xmlns:dsp="http://schemas.microsoft.com/office/drawing/2008/diagram" relId="rId16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ED0AFA0-B0A7-4DBA-80AD-5338B29CDA2B}">
      <dsp:nvSpPr>
        <dsp:cNvPr id="0" name=""/>
        <dsp:cNvSpPr/>
      </dsp:nvSpPr>
      <dsp:spPr>
        <a:xfrm>
          <a:off x="498647" y="0"/>
          <a:ext cx="4883658" cy="1501139"/>
        </a:xfrm>
        <a:prstGeom prst="rightArrow">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4642AB16-C7F5-4490-ABC9-750B9DE4B3B0}">
      <dsp:nvSpPr>
        <dsp:cNvPr id="0" name=""/>
        <dsp:cNvSpPr/>
      </dsp:nvSpPr>
      <dsp:spPr>
        <a:xfrm>
          <a:off x="0" y="450342"/>
          <a:ext cx="1723644" cy="600456"/>
        </a:xfrm>
        <a:prstGeom prst="roundRect">
          <a:avLst/>
        </a:prstGeom>
        <a:solidFill>
          <a:schemeClr val="lt1">
            <a:hueOff val="0"/>
            <a:satOff val="0"/>
            <a:lumOff val="0"/>
            <a:alphaOff val="0"/>
          </a:scheme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latin typeface="Verdana" panose="020B0604030504040204" pitchFamily="34" charset="0"/>
              <a:ea typeface="Verdana" panose="020B0604030504040204" pitchFamily="34" charset="0"/>
            </a:rPr>
            <a:t>Delay in translating the updated version of IFRS for SMEs (January 2020)</a:t>
          </a:r>
          <a:endParaRPr lang="uk-UA" sz="900" kern="1200">
            <a:latin typeface="Verdana" panose="020B0604030504040204" pitchFamily="34" charset="0"/>
            <a:ea typeface="Verdana" panose="020B0604030504040204" pitchFamily="34" charset="0"/>
            <a:cs typeface="Verdana" panose="020B0604030504040204" pitchFamily="34" charset="0"/>
          </a:endParaRPr>
        </a:p>
      </dsp:txBody>
      <dsp:txXfrm>
        <a:off x="29312" y="479654"/>
        <a:ext cx="1665020" cy="541832"/>
      </dsp:txXfrm>
    </dsp:sp>
    <dsp:sp modelId="{50CB6827-A05C-4D4A-BBC8-3A5776DC4340}">
      <dsp:nvSpPr>
        <dsp:cNvPr id="0" name=""/>
        <dsp:cNvSpPr/>
      </dsp:nvSpPr>
      <dsp:spPr>
        <a:xfrm>
          <a:off x="2010917" y="450342"/>
          <a:ext cx="1723644" cy="600456"/>
        </a:xfrm>
        <a:prstGeom prst="roundRect">
          <a:avLst/>
        </a:prstGeom>
        <a:solidFill>
          <a:schemeClr val="lt1">
            <a:hueOff val="0"/>
            <a:satOff val="0"/>
            <a:lumOff val="0"/>
            <a:alphaOff val="0"/>
          </a:scheme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latin typeface="Verdana" panose="020B0604030504040204" pitchFamily="34" charset="0"/>
              <a:ea typeface="Verdana" panose="020B0604030504040204" pitchFamily="34" charset="0"/>
            </a:rPr>
            <a:t>The need to take into account national specifics</a:t>
          </a:r>
          <a:endParaRPr lang="uk-UA" sz="900" kern="1200">
            <a:latin typeface="Verdana" panose="020B0604030504040204" pitchFamily="34" charset="0"/>
            <a:ea typeface="Verdana" panose="020B0604030504040204" pitchFamily="34" charset="0"/>
            <a:cs typeface="Verdana" panose="020B0604030504040204" pitchFamily="34" charset="0"/>
          </a:endParaRPr>
        </a:p>
      </dsp:txBody>
      <dsp:txXfrm>
        <a:off x="2040229" y="479654"/>
        <a:ext cx="1665020" cy="541832"/>
      </dsp:txXfrm>
    </dsp:sp>
    <dsp:sp modelId="{60ADF7D5-8927-4236-8ABC-32A4E539716B}">
      <dsp:nvSpPr>
        <dsp:cNvPr id="0" name=""/>
        <dsp:cNvSpPr/>
      </dsp:nvSpPr>
      <dsp:spPr>
        <a:xfrm>
          <a:off x="4021836" y="450342"/>
          <a:ext cx="1723644" cy="600456"/>
        </a:xfrm>
        <a:prstGeom prst="roundRect">
          <a:avLst/>
        </a:prstGeom>
        <a:solidFill>
          <a:schemeClr val="lt1">
            <a:hueOff val="0"/>
            <a:satOff val="0"/>
            <a:lumOff val="0"/>
            <a:alphaOff val="0"/>
          </a:scheme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latin typeface="Verdana" panose="020B0604030504040204" pitchFamily="34" charset="0"/>
              <a:ea typeface="Verdana" panose="020B0604030504040204" pitchFamily="34" charset="0"/>
            </a:rPr>
            <a:t>The need for common methodological principles</a:t>
          </a:r>
          <a:endParaRPr lang="uk-UA" sz="900" kern="1200">
            <a:latin typeface="Verdana" panose="020B0604030504040204" pitchFamily="34" charset="0"/>
            <a:ea typeface="Verdana" panose="020B0604030504040204" pitchFamily="34" charset="0"/>
            <a:cs typeface="Verdana" panose="020B0604030504040204" pitchFamily="34" charset="0"/>
          </a:endParaRPr>
        </a:p>
      </dsp:txBody>
      <dsp:txXfrm>
        <a:off x="4051148" y="479654"/>
        <a:ext cx="1665020" cy="541832"/>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1">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vertAlign" val="mid"/>
      <dgm:param type="horzAlign" val="ctr"/>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3">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D6D01E7-3429-4292-BF56-40F9F2563B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192</Pages>
  <Words>384083</Words>
  <Characters>218928</Characters>
  <Application>Microsoft Office Word</Application>
  <DocSecurity>0</DocSecurity>
  <Lines>1824</Lines>
  <Paragraphs>1203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Title of the Paper (Times New Roman 14, bold, centered)</vt:lpstr>
      <vt:lpstr>Title of the Paper (Times New Roman 14, bold, centered)</vt:lpstr>
    </vt:vector>
  </TitlesOfParts>
  <Company>Hewlett-Packard</Company>
  <LinksUpToDate>false</LinksUpToDate>
  <CharactersWithSpaces>601808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of the Paper (Times New Roman 14, bold, centered)</dc:title>
  <dc:creator>user</dc:creator>
  <cp:lastModifiedBy>Beautiful</cp:lastModifiedBy>
  <cp:revision>2</cp:revision>
  <cp:lastPrinted>2018-08-14T11:13:00Z</cp:lastPrinted>
  <dcterms:created xsi:type="dcterms:W3CDTF">2020-11-11T06:41:00Z</dcterms:created>
  <dcterms:modified xsi:type="dcterms:W3CDTF">2020-11-11T06:41:00Z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1033-11.2.0.9629</vt:lpwstr>
  </property>
</Properties>
</file>