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4E1E5A" w14:textId="63D10933" w:rsidR="00C519E9" w:rsidRPr="00F4265C" w:rsidRDefault="00F4265C" w:rsidP="00C519E9">
      <w:pPr>
        <w:ind w:firstLine="426"/>
        <w:jc w:val="right"/>
        <w:rPr>
          <w:rFonts w:ascii="Times New Roman" w:hAnsi="Times New Roman" w:cs="Times New Roman"/>
          <w:i/>
          <w:sz w:val="22"/>
          <w:szCs w:val="22"/>
          <w:lang w:val="uk-UA"/>
        </w:rPr>
      </w:pPr>
      <w:r>
        <w:rPr>
          <w:rFonts w:ascii="Times New Roman" w:hAnsi="Times New Roman" w:cs="Times New Roman"/>
          <w:i/>
          <w:sz w:val="22"/>
          <w:szCs w:val="22"/>
          <w:lang w:val="uk-UA"/>
        </w:rPr>
        <w:t>І.Г.</w:t>
      </w:r>
      <w:r w:rsidRPr="00F4265C">
        <w:rPr>
          <w:rFonts w:ascii="Times New Roman" w:hAnsi="Times New Roman" w:cs="Times New Roman"/>
          <w:i/>
          <w:sz w:val="22"/>
          <w:szCs w:val="22"/>
          <w:lang w:val="uk-UA"/>
        </w:rPr>
        <w:t xml:space="preserve"> </w:t>
      </w:r>
      <w:proofErr w:type="spellStart"/>
      <w:r w:rsidR="00C519E9" w:rsidRPr="00F4265C">
        <w:rPr>
          <w:rFonts w:ascii="Times New Roman" w:hAnsi="Times New Roman" w:cs="Times New Roman"/>
          <w:i/>
          <w:sz w:val="22"/>
          <w:szCs w:val="22"/>
          <w:lang w:val="uk-UA"/>
        </w:rPr>
        <w:t>Миколенко</w:t>
      </w:r>
      <w:proofErr w:type="spellEnd"/>
      <w:r>
        <w:rPr>
          <w:rFonts w:ascii="Times New Roman" w:hAnsi="Times New Roman" w:cs="Times New Roman"/>
          <w:i/>
          <w:sz w:val="22"/>
          <w:szCs w:val="22"/>
          <w:lang w:val="uk-UA"/>
        </w:rPr>
        <w:t>,</w:t>
      </w:r>
      <w:r w:rsidR="00C519E9" w:rsidRPr="00F4265C">
        <w:rPr>
          <w:rFonts w:ascii="Times New Roman" w:hAnsi="Times New Roman" w:cs="Times New Roman"/>
          <w:i/>
          <w:sz w:val="22"/>
          <w:szCs w:val="22"/>
          <w:lang w:val="uk-UA"/>
        </w:rPr>
        <w:t xml:space="preserve">  </w:t>
      </w:r>
      <w:proofErr w:type="spellStart"/>
      <w:r w:rsidR="00C519E9" w:rsidRPr="00F4265C">
        <w:rPr>
          <w:rFonts w:ascii="Times New Roman" w:hAnsi="Times New Roman" w:cs="Times New Roman"/>
          <w:i/>
          <w:sz w:val="22"/>
          <w:szCs w:val="22"/>
          <w:lang w:val="uk-UA"/>
        </w:rPr>
        <w:t>д.е.н</w:t>
      </w:r>
      <w:proofErr w:type="spellEnd"/>
      <w:r w:rsidR="00C519E9" w:rsidRPr="00F4265C">
        <w:rPr>
          <w:rFonts w:ascii="Times New Roman" w:hAnsi="Times New Roman" w:cs="Times New Roman"/>
          <w:i/>
          <w:sz w:val="22"/>
          <w:szCs w:val="22"/>
          <w:lang w:val="uk-UA"/>
        </w:rPr>
        <w:t>., доцент,</w:t>
      </w:r>
      <w:r w:rsidR="00C519E9" w:rsidRPr="00F4265C">
        <w:rPr>
          <w:rFonts w:ascii="Times New Roman" w:hAnsi="Times New Roman" w:cs="Times New Roman"/>
          <w:i/>
          <w:sz w:val="22"/>
          <w:szCs w:val="22"/>
          <w:lang w:val="uk-UA"/>
        </w:rPr>
        <w:br/>
        <w:t>Полтавський державний аграрний університете</w:t>
      </w:r>
    </w:p>
    <w:p w14:paraId="209CEE62" w14:textId="0133A9B9" w:rsidR="00C519E9" w:rsidRDefault="00C519E9" w:rsidP="00041DC6">
      <w:pPr>
        <w:ind w:firstLine="426"/>
        <w:jc w:val="both"/>
        <w:rPr>
          <w:rFonts w:ascii="Times New Roman" w:hAnsi="Times New Roman" w:cs="Times New Roman"/>
          <w:sz w:val="22"/>
          <w:szCs w:val="22"/>
        </w:rPr>
      </w:pPr>
    </w:p>
    <w:p w14:paraId="3602DA27" w14:textId="1ED4488D" w:rsidR="00C519E9" w:rsidRPr="00C519E9" w:rsidRDefault="00C519E9" w:rsidP="00C519E9">
      <w:pPr>
        <w:jc w:val="center"/>
        <w:rPr>
          <w:rFonts w:ascii="Times New Roman" w:hAnsi="Times New Roman" w:cs="Times New Roman"/>
          <w:b/>
          <w:bCs/>
          <w:sz w:val="22"/>
          <w:szCs w:val="22"/>
          <w:lang w:val="uk-UA"/>
        </w:rPr>
      </w:pPr>
      <w:r w:rsidRPr="00C519E9">
        <w:rPr>
          <w:rFonts w:ascii="Times New Roman" w:hAnsi="Times New Roman" w:cs="Times New Roman"/>
          <w:b/>
          <w:bCs/>
          <w:sz w:val="22"/>
          <w:szCs w:val="22"/>
          <w:lang w:val="uk-UA"/>
        </w:rPr>
        <w:t>КОНЦЕПТУАЛЬНІ ЗАСАДИ УПРАВЛІННЯ РОЗВИТКОМ КОНКУРЕНТНОГО ПОТЕНЦІАЛУ АГРАРНИХ ПІДПРИЄМСТВ</w:t>
      </w:r>
    </w:p>
    <w:p w14:paraId="5C7F2B62" w14:textId="77777777" w:rsidR="00C519E9" w:rsidRDefault="00C519E9" w:rsidP="00041DC6">
      <w:pPr>
        <w:ind w:firstLine="426"/>
        <w:jc w:val="both"/>
        <w:rPr>
          <w:rFonts w:ascii="Times New Roman" w:hAnsi="Times New Roman" w:cs="Times New Roman"/>
          <w:sz w:val="22"/>
          <w:szCs w:val="22"/>
        </w:rPr>
      </w:pPr>
    </w:p>
    <w:p w14:paraId="149F7F58" w14:textId="77777777" w:rsidR="00712B25" w:rsidRDefault="00041DC6" w:rsidP="00041DC6">
      <w:pPr>
        <w:ind w:firstLine="426"/>
        <w:jc w:val="both"/>
        <w:rPr>
          <w:rFonts w:ascii="Times New Roman" w:hAnsi="Times New Roman" w:cs="Times New Roman"/>
          <w:sz w:val="22"/>
          <w:szCs w:val="22"/>
        </w:rPr>
      </w:pPr>
      <w:r w:rsidRPr="00041DC6">
        <w:rPr>
          <w:rFonts w:ascii="Times New Roman" w:hAnsi="Times New Roman" w:cs="Times New Roman"/>
          <w:sz w:val="22"/>
          <w:szCs w:val="22"/>
        </w:rPr>
        <w:t>Набуття процесами економічного розвитку поступального характеру та стабільне підвищення економічної ефективності діяльності аграрних підприємств передбачає формування та нарощування конкурентного потенціалу останніх. Вказане передбачає постійний розвиток економічного потенціалу підприємств, який, по-перше, є сукупністю можливостей економічного зростання та безпосередньо залежить від досягнутого суб’єктом господарських відносин рівня економічної ефективності діяльності, а, по-друге, є джерелом створення стійких конкурентних переваг, а отже основою конкурентного потенціалу підприємства</w:t>
      </w:r>
      <w:r w:rsidR="00AD2684">
        <w:rPr>
          <w:rFonts w:ascii="Times New Roman" w:hAnsi="Times New Roman" w:cs="Times New Roman"/>
          <w:sz w:val="22"/>
          <w:szCs w:val="22"/>
          <w:lang w:val="uk-UA"/>
        </w:rPr>
        <w:t xml:space="preserve"> </w:t>
      </w:r>
      <w:r w:rsidR="00AD2684" w:rsidRPr="00712B25">
        <w:rPr>
          <w:rFonts w:ascii="Times New Roman" w:hAnsi="Times New Roman" w:cs="Times New Roman"/>
          <w:sz w:val="22"/>
          <w:szCs w:val="22"/>
        </w:rPr>
        <w:t>[</w:t>
      </w:r>
      <w:r w:rsidR="00712B25" w:rsidRPr="00712B25">
        <w:rPr>
          <w:rFonts w:ascii="Times New Roman" w:hAnsi="Times New Roman" w:cs="Times New Roman"/>
          <w:sz w:val="22"/>
          <w:szCs w:val="22"/>
        </w:rPr>
        <w:t>1</w:t>
      </w:r>
      <w:r w:rsidR="00AD2684" w:rsidRPr="00712B25">
        <w:rPr>
          <w:rFonts w:ascii="Times New Roman" w:hAnsi="Times New Roman" w:cs="Times New Roman"/>
          <w:sz w:val="22"/>
          <w:szCs w:val="22"/>
        </w:rPr>
        <w:t>]</w:t>
      </w:r>
      <w:r w:rsidRPr="00041DC6">
        <w:rPr>
          <w:rFonts w:ascii="Times New Roman" w:hAnsi="Times New Roman" w:cs="Times New Roman"/>
          <w:sz w:val="22"/>
          <w:szCs w:val="22"/>
        </w:rPr>
        <w:t xml:space="preserve">. </w:t>
      </w:r>
    </w:p>
    <w:p w14:paraId="78F77F97" w14:textId="6EA2149A" w:rsidR="00041DC6" w:rsidRPr="00041DC6" w:rsidRDefault="00041DC6" w:rsidP="00041DC6">
      <w:pPr>
        <w:ind w:firstLine="426"/>
        <w:jc w:val="both"/>
        <w:rPr>
          <w:rFonts w:ascii="Times New Roman" w:hAnsi="Times New Roman" w:cs="Times New Roman"/>
          <w:bCs/>
          <w:sz w:val="22"/>
          <w:szCs w:val="22"/>
        </w:rPr>
      </w:pPr>
      <w:r w:rsidRPr="00041DC6">
        <w:rPr>
          <w:rFonts w:ascii="Times New Roman" w:hAnsi="Times New Roman" w:cs="Times New Roman"/>
          <w:sz w:val="22"/>
          <w:szCs w:val="22"/>
        </w:rPr>
        <w:t>Слід зазначити, що в основі формування конкурентних переваг та зростання конкурентного потенціалу лежить реалізація проєктів організаційного, технічного, технологічного, виробничого та комерційного розвитку.</w:t>
      </w:r>
      <w:r w:rsidRPr="00041DC6">
        <w:rPr>
          <w:rFonts w:ascii="Times New Roman" w:hAnsi="Times New Roman" w:cs="Times New Roman"/>
          <w:b/>
          <w:bCs/>
          <w:sz w:val="22"/>
          <w:szCs w:val="22"/>
        </w:rPr>
        <w:t xml:space="preserve"> </w:t>
      </w:r>
      <w:r w:rsidRPr="00041DC6">
        <w:rPr>
          <w:rFonts w:ascii="Times New Roman" w:hAnsi="Times New Roman" w:cs="Times New Roman"/>
          <w:bCs/>
          <w:sz w:val="22"/>
          <w:szCs w:val="22"/>
        </w:rPr>
        <w:t xml:space="preserve">Реалізація вказаних проектів розвитку підвищує рівень конкурентоспроможності аграрних підприємств та їх продукції, що є запорукою підвищення економічної ефективності. При цьому розміщення інвестиційних ресурсів далеко не завжди є орієнтованим на створення стійких конкурентних переваг, які складають елементну основу конкурентного потенціалу підприємства, що призводить або до отримання моментальних ефектів та супроводжується подальшою втратою ринкових позицій, або до нераціонального використання інвестиційних ресурсів, в цілому. </w:t>
      </w:r>
      <w:r w:rsidR="00712B25" w:rsidRPr="00712B25">
        <w:rPr>
          <w:rFonts w:ascii="Times New Roman" w:hAnsi="Times New Roman" w:cs="Times New Roman"/>
          <w:sz w:val="22"/>
          <w:szCs w:val="22"/>
        </w:rPr>
        <w:t xml:space="preserve">[2] </w:t>
      </w:r>
      <w:r w:rsidRPr="00041DC6">
        <w:rPr>
          <w:rFonts w:ascii="Times New Roman" w:hAnsi="Times New Roman" w:cs="Times New Roman"/>
          <w:bCs/>
          <w:sz w:val="22"/>
          <w:szCs w:val="22"/>
        </w:rPr>
        <w:t>Останнє передбачає необхідність узгодження інноваційно-інвестиційних процесів з процесами управління конкурентних розвитком аграрних підприємств.</w:t>
      </w:r>
    </w:p>
    <w:p w14:paraId="53450FB7" w14:textId="5AFD3FB8" w:rsidR="00041DC6" w:rsidRDefault="00041DC6" w:rsidP="00041DC6">
      <w:pPr>
        <w:widowControl w:val="0"/>
        <w:ind w:firstLine="426"/>
        <w:jc w:val="both"/>
        <w:rPr>
          <w:rFonts w:ascii="Times New Roman" w:hAnsi="Times New Roman" w:cs="Times New Roman"/>
          <w:sz w:val="22"/>
          <w:szCs w:val="22"/>
        </w:rPr>
      </w:pPr>
      <w:r w:rsidRPr="00041DC6">
        <w:rPr>
          <w:rFonts w:ascii="Times New Roman" w:hAnsi="Times New Roman" w:cs="Times New Roman"/>
          <w:sz w:val="22"/>
          <w:szCs w:val="22"/>
        </w:rPr>
        <w:t xml:space="preserve">Об’єктом управління в даному контексті виступає конкурентний потенціал, як сукупність можливостей підприємства щодо створення стійких конкурентних переваг, та, безпосередньо, конкурентоспроможність продукції та </w:t>
      </w:r>
      <w:r w:rsidRPr="00041DC6">
        <w:rPr>
          <w:rFonts w:ascii="Times New Roman" w:hAnsi="Times New Roman" w:cs="Times New Roman"/>
          <w:sz w:val="22"/>
          <w:szCs w:val="22"/>
        </w:rPr>
        <w:lastRenderedPageBreak/>
        <w:t>підприємства, як результат імплементації вказаних переваг у виробничій та комерційно-збутовій діяльності</w:t>
      </w:r>
      <w:r w:rsidR="00712B25" w:rsidRPr="00712B25">
        <w:rPr>
          <w:rFonts w:ascii="Times New Roman" w:hAnsi="Times New Roman" w:cs="Times New Roman"/>
          <w:sz w:val="22"/>
          <w:szCs w:val="22"/>
        </w:rPr>
        <w:t xml:space="preserve"> [3]</w:t>
      </w:r>
      <w:r w:rsidRPr="00041DC6">
        <w:rPr>
          <w:rFonts w:ascii="Times New Roman" w:hAnsi="Times New Roman" w:cs="Times New Roman"/>
          <w:sz w:val="22"/>
          <w:szCs w:val="22"/>
        </w:rPr>
        <w:t>. Зважаючи на дуальний характер об’єкту управління ускладнюється структура залучених елементів та інструментів системи управління, яка визначається особливостями процесу реалізації  конкурентного потенціалу (рис. 1).</w:t>
      </w:r>
    </w:p>
    <w:p w14:paraId="408265B6" w14:textId="77777777" w:rsidR="00712B25" w:rsidRPr="00041DC6" w:rsidRDefault="00712B25" w:rsidP="00041DC6">
      <w:pPr>
        <w:widowControl w:val="0"/>
        <w:ind w:firstLine="426"/>
        <w:jc w:val="both"/>
        <w:rPr>
          <w:rFonts w:ascii="Times New Roman" w:hAnsi="Times New Roman" w:cs="Times New Roman"/>
          <w:sz w:val="22"/>
          <w:szCs w:val="22"/>
        </w:rPr>
      </w:pPr>
    </w:p>
    <w:bookmarkStart w:id="0" w:name="_MON_1622231026"/>
    <w:bookmarkStart w:id="1" w:name="_MON_1622233217"/>
    <w:bookmarkStart w:id="2" w:name="_MON_1622806667"/>
    <w:bookmarkEnd w:id="0"/>
    <w:bookmarkEnd w:id="1"/>
    <w:bookmarkEnd w:id="2"/>
    <w:bookmarkStart w:id="3" w:name="_MON_1622228628"/>
    <w:bookmarkEnd w:id="3"/>
    <w:p w14:paraId="7A03AEA3" w14:textId="77777777" w:rsidR="00041DC6" w:rsidRPr="00041DC6" w:rsidRDefault="009509B6" w:rsidP="00041DC6">
      <w:pPr>
        <w:widowControl w:val="0"/>
        <w:jc w:val="center"/>
        <w:rPr>
          <w:rFonts w:ascii="Times New Roman" w:hAnsi="Times New Roman" w:cs="Times New Roman"/>
          <w:sz w:val="22"/>
          <w:szCs w:val="22"/>
        </w:rPr>
      </w:pPr>
      <w:r w:rsidRPr="009509B6">
        <w:rPr>
          <w:rFonts w:ascii="Times New Roman" w:hAnsi="Times New Roman" w:cs="Times New Roman"/>
          <w:noProof/>
          <w:sz w:val="22"/>
          <w:szCs w:val="22"/>
        </w:rPr>
        <w:object w:dxaOrig="14020" w:dyaOrig="15000" w14:anchorId="5536EC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52pt;height:269.25pt;mso-width-percent:0;mso-height-percent:0;mso-width-percent:0;mso-height-percent:0" o:ole="">
            <v:imagedata r:id="rId4" o:title=""/>
          </v:shape>
          <o:OLEObject Type="Embed" ProgID="Word.Picture.8" ShapeID="_x0000_i1025" DrawAspect="Content" ObjectID="_1713075131" r:id="rId5"/>
        </w:object>
      </w:r>
    </w:p>
    <w:p w14:paraId="7A4FA3CA" w14:textId="628323CC" w:rsidR="00041DC6" w:rsidRPr="00041DC6" w:rsidRDefault="00041DC6" w:rsidP="00041DC6">
      <w:pPr>
        <w:widowControl w:val="0"/>
        <w:jc w:val="center"/>
        <w:rPr>
          <w:rFonts w:ascii="Times New Roman" w:hAnsi="Times New Roman" w:cs="Times New Roman"/>
          <w:b/>
          <w:sz w:val="22"/>
          <w:szCs w:val="22"/>
        </w:rPr>
      </w:pPr>
      <w:r w:rsidRPr="00041DC6">
        <w:rPr>
          <w:rFonts w:ascii="Times New Roman" w:hAnsi="Times New Roman" w:cs="Times New Roman"/>
          <w:b/>
          <w:sz w:val="22"/>
          <w:szCs w:val="22"/>
        </w:rPr>
        <w:t xml:space="preserve">Рис. 1. </w:t>
      </w:r>
      <w:r>
        <w:rPr>
          <w:rFonts w:ascii="Times New Roman" w:hAnsi="Times New Roman" w:cs="Times New Roman"/>
          <w:b/>
          <w:sz w:val="22"/>
          <w:szCs w:val="22"/>
          <w:lang w:val="uk-UA"/>
        </w:rPr>
        <w:t xml:space="preserve">Архітектоніка процесу управління розвитком </w:t>
      </w:r>
      <w:r w:rsidRPr="00041DC6">
        <w:rPr>
          <w:rFonts w:ascii="Times New Roman" w:hAnsi="Times New Roman" w:cs="Times New Roman"/>
          <w:b/>
          <w:sz w:val="22"/>
          <w:szCs w:val="22"/>
        </w:rPr>
        <w:t>конкурентн</w:t>
      </w:r>
      <w:r>
        <w:rPr>
          <w:rFonts w:ascii="Times New Roman" w:hAnsi="Times New Roman" w:cs="Times New Roman"/>
          <w:b/>
          <w:sz w:val="22"/>
          <w:szCs w:val="22"/>
          <w:lang w:val="uk-UA"/>
        </w:rPr>
        <w:t>ого</w:t>
      </w:r>
      <w:r w:rsidRPr="00041DC6">
        <w:rPr>
          <w:rFonts w:ascii="Times New Roman" w:hAnsi="Times New Roman" w:cs="Times New Roman"/>
          <w:b/>
          <w:sz w:val="22"/>
          <w:szCs w:val="22"/>
        </w:rPr>
        <w:t xml:space="preserve"> </w:t>
      </w:r>
      <w:r>
        <w:rPr>
          <w:rFonts w:ascii="Times New Roman" w:hAnsi="Times New Roman" w:cs="Times New Roman"/>
          <w:b/>
          <w:sz w:val="22"/>
          <w:szCs w:val="22"/>
          <w:lang w:val="uk-UA"/>
        </w:rPr>
        <w:t>потенціалу аграрного</w:t>
      </w:r>
      <w:r w:rsidRPr="00041DC6">
        <w:rPr>
          <w:rFonts w:ascii="Times New Roman" w:hAnsi="Times New Roman" w:cs="Times New Roman"/>
          <w:b/>
          <w:sz w:val="22"/>
          <w:szCs w:val="22"/>
        </w:rPr>
        <w:t xml:space="preserve"> підприємства</w:t>
      </w:r>
    </w:p>
    <w:p w14:paraId="3467EC22" w14:textId="77777777" w:rsidR="00712B25" w:rsidRDefault="00712B25" w:rsidP="00041DC6">
      <w:pPr>
        <w:widowControl w:val="0"/>
        <w:ind w:firstLine="426"/>
        <w:jc w:val="both"/>
        <w:rPr>
          <w:rFonts w:ascii="Times New Roman" w:hAnsi="Times New Roman" w:cs="Times New Roman"/>
          <w:sz w:val="22"/>
          <w:szCs w:val="22"/>
        </w:rPr>
      </w:pPr>
    </w:p>
    <w:p w14:paraId="174212F7" w14:textId="6584D839" w:rsidR="00041DC6" w:rsidRPr="00041DC6" w:rsidRDefault="00041DC6" w:rsidP="00041DC6">
      <w:pPr>
        <w:widowControl w:val="0"/>
        <w:ind w:firstLine="426"/>
        <w:jc w:val="both"/>
        <w:rPr>
          <w:rFonts w:ascii="Times New Roman" w:hAnsi="Times New Roman" w:cs="Times New Roman"/>
          <w:sz w:val="22"/>
          <w:szCs w:val="22"/>
        </w:rPr>
      </w:pPr>
      <w:r w:rsidRPr="00041DC6">
        <w:rPr>
          <w:rFonts w:ascii="Times New Roman" w:hAnsi="Times New Roman" w:cs="Times New Roman"/>
          <w:sz w:val="22"/>
          <w:szCs w:val="22"/>
        </w:rPr>
        <w:t xml:space="preserve">В результаті визначення процедурних аспектів управління формуванням та реалізацією конкурентного потенціалу аграрних підприємств та їх продукції, з урахуванням його структурних характеристик, </w:t>
      </w:r>
      <w:r w:rsidR="00C519E9">
        <w:rPr>
          <w:rFonts w:ascii="Times New Roman" w:hAnsi="Times New Roman" w:cs="Times New Roman"/>
          <w:sz w:val="22"/>
          <w:szCs w:val="22"/>
          <w:lang w:val="uk-UA"/>
        </w:rPr>
        <w:t>вибудовується</w:t>
      </w:r>
      <w:r w:rsidRPr="00041DC6">
        <w:rPr>
          <w:rFonts w:ascii="Times New Roman" w:hAnsi="Times New Roman" w:cs="Times New Roman"/>
          <w:sz w:val="22"/>
          <w:szCs w:val="22"/>
        </w:rPr>
        <w:t xml:space="preserve"> цілісн</w:t>
      </w:r>
      <w:r w:rsidR="00C519E9">
        <w:rPr>
          <w:rFonts w:ascii="Times New Roman" w:hAnsi="Times New Roman" w:cs="Times New Roman"/>
          <w:sz w:val="22"/>
          <w:szCs w:val="22"/>
          <w:lang w:val="uk-UA"/>
        </w:rPr>
        <w:t>а</w:t>
      </w:r>
      <w:r w:rsidRPr="00041DC6">
        <w:rPr>
          <w:rFonts w:ascii="Times New Roman" w:hAnsi="Times New Roman" w:cs="Times New Roman"/>
          <w:sz w:val="22"/>
          <w:szCs w:val="22"/>
        </w:rPr>
        <w:t xml:space="preserve"> концепці</w:t>
      </w:r>
      <w:r w:rsidR="00C519E9">
        <w:rPr>
          <w:rFonts w:ascii="Times New Roman" w:hAnsi="Times New Roman" w:cs="Times New Roman"/>
          <w:sz w:val="22"/>
          <w:szCs w:val="22"/>
          <w:lang w:val="uk-UA"/>
        </w:rPr>
        <w:t>я</w:t>
      </w:r>
      <w:r w:rsidRPr="00041DC6">
        <w:rPr>
          <w:rFonts w:ascii="Times New Roman" w:hAnsi="Times New Roman" w:cs="Times New Roman"/>
          <w:sz w:val="22"/>
          <w:szCs w:val="22"/>
        </w:rPr>
        <w:t xml:space="preserve"> управління розвитком вказаного потенціалу. При цьому в основу формування компонент потенціалу покладені впровадження </w:t>
      </w:r>
      <w:r w:rsidRPr="00041DC6">
        <w:rPr>
          <w:rFonts w:ascii="Times New Roman" w:hAnsi="Times New Roman" w:cs="Times New Roman"/>
          <w:sz w:val="22"/>
          <w:szCs w:val="22"/>
        </w:rPr>
        <w:lastRenderedPageBreak/>
        <w:t>інновацій, орієнтація інвестиційної діяльності на їх генерування та імплементацію, а також розрізнення стратегій конкурентоспроможності та інноваційно-інвестиційних стратегій, які дозволяють формувати конкурентні переваги цінового, якісного, товарного та ринкового характеру.</w:t>
      </w:r>
    </w:p>
    <w:p w14:paraId="5C4B70E5" w14:textId="56297EC4" w:rsidR="00041DC6" w:rsidRPr="00041DC6" w:rsidRDefault="00041DC6" w:rsidP="00041DC6">
      <w:pPr>
        <w:widowControl w:val="0"/>
        <w:ind w:firstLine="426"/>
        <w:jc w:val="both"/>
        <w:rPr>
          <w:rFonts w:ascii="Times New Roman" w:hAnsi="Times New Roman" w:cs="Times New Roman"/>
          <w:sz w:val="22"/>
          <w:szCs w:val="22"/>
        </w:rPr>
      </w:pPr>
      <w:r w:rsidRPr="00041DC6">
        <w:rPr>
          <w:rFonts w:ascii="Times New Roman" w:hAnsi="Times New Roman" w:cs="Times New Roman"/>
          <w:sz w:val="22"/>
          <w:szCs w:val="22"/>
        </w:rPr>
        <w:t>Сукупність можливостей аграрного підприємства щодо створення конкурентних переваг складає його конкурентний потенціал. Втім, конкурентні переваги, особливо ті, які можна характеризувати як стійкі, формуються на основі мобілізації економічного потенціалу підприємства, який є сукупністю можливостей для тривалого провадження основної діяльності суб'єкта господарювання.</w:t>
      </w:r>
      <w:r w:rsidR="00712B25" w:rsidRPr="00712B25">
        <w:rPr>
          <w:rFonts w:ascii="Times New Roman" w:hAnsi="Times New Roman" w:cs="Times New Roman"/>
          <w:sz w:val="22"/>
          <w:szCs w:val="22"/>
        </w:rPr>
        <w:t xml:space="preserve"> [4]</w:t>
      </w:r>
      <w:r w:rsidRPr="00041DC6">
        <w:rPr>
          <w:rFonts w:ascii="Times New Roman" w:hAnsi="Times New Roman" w:cs="Times New Roman"/>
          <w:sz w:val="22"/>
          <w:szCs w:val="22"/>
        </w:rPr>
        <w:t xml:space="preserve"> Відповідно, </w:t>
      </w:r>
      <w:r w:rsidR="00C519E9">
        <w:rPr>
          <w:rFonts w:ascii="Times New Roman" w:hAnsi="Times New Roman" w:cs="Times New Roman"/>
          <w:sz w:val="22"/>
          <w:szCs w:val="22"/>
          <w:lang w:val="uk-UA"/>
        </w:rPr>
        <w:t>визначається</w:t>
      </w:r>
      <w:r w:rsidRPr="00041DC6">
        <w:rPr>
          <w:rFonts w:ascii="Times New Roman" w:hAnsi="Times New Roman" w:cs="Times New Roman"/>
          <w:sz w:val="22"/>
          <w:szCs w:val="22"/>
        </w:rPr>
        <w:t xml:space="preserve"> місце та роль конкурентного потенціалу в структурі потенціалу підприємства та його співвідношення з економічним потенціалом. В свою чергу, встановлено, що складовими економічного потенціалу є виробничий потенціал у поєднанні з комерційно-збутовими можливостями, в основі всіх видів потенціалу підприємства лежить ресурсний потенціал, а конкурентний потенціал продукції та конкурентоспроможності підприємства ґрунтується на економічному потенціалі підприємства, сприяючи нарощуванню останнього.</w:t>
      </w:r>
    </w:p>
    <w:p w14:paraId="7060EFBC" w14:textId="13D660DC" w:rsidR="00041DC6" w:rsidRDefault="00041DC6" w:rsidP="00041DC6">
      <w:pPr>
        <w:ind w:firstLine="426"/>
        <w:jc w:val="both"/>
        <w:rPr>
          <w:rFonts w:ascii="Times New Roman" w:hAnsi="Times New Roman" w:cs="Times New Roman"/>
          <w:bCs/>
          <w:sz w:val="22"/>
          <w:szCs w:val="22"/>
        </w:rPr>
      </w:pPr>
    </w:p>
    <w:p w14:paraId="224E8BB3" w14:textId="3EB003EA" w:rsidR="00C519E9" w:rsidRPr="00C519E9" w:rsidRDefault="00C519E9" w:rsidP="00F4265C">
      <w:pPr>
        <w:jc w:val="center"/>
        <w:rPr>
          <w:rFonts w:ascii="Times New Roman" w:hAnsi="Times New Roman" w:cs="Times New Roman"/>
          <w:b/>
          <w:sz w:val="22"/>
          <w:szCs w:val="22"/>
          <w:lang w:val="uk-UA"/>
        </w:rPr>
      </w:pPr>
      <w:r w:rsidRPr="00C519E9">
        <w:rPr>
          <w:rFonts w:ascii="Times New Roman" w:hAnsi="Times New Roman" w:cs="Times New Roman"/>
          <w:b/>
          <w:sz w:val="22"/>
          <w:szCs w:val="22"/>
          <w:lang w:val="uk-UA"/>
        </w:rPr>
        <w:t>Список використа</w:t>
      </w:r>
      <w:bookmarkStart w:id="4" w:name="_GoBack"/>
      <w:bookmarkEnd w:id="4"/>
      <w:r w:rsidRPr="00C519E9">
        <w:rPr>
          <w:rFonts w:ascii="Times New Roman" w:hAnsi="Times New Roman" w:cs="Times New Roman"/>
          <w:b/>
          <w:sz w:val="22"/>
          <w:szCs w:val="22"/>
          <w:lang w:val="uk-UA"/>
        </w:rPr>
        <w:t>них джерел:</w:t>
      </w:r>
    </w:p>
    <w:p w14:paraId="7DDAA919" w14:textId="0AF1FF42" w:rsidR="00C519E9" w:rsidRPr="00AD2684" w:rsidRDefault="00C519E9" w:rsidP="00041DC6">
      <w:pPr>
        <w:ind w:firstLine="426"/>
        <w:jc w:val="both"/>
        <w:rPr>
          <w:rFonts w:ascii="Times New Roman" w:eastAsia="Times New Roman" w:hAnsi="Times New Roman"/>
          <w:sz w:val="22"/>
          <w:szCs w:val="22"/>
          <w:lang w:val="uk-UA" w:eastAsia="ru-RU"/>
        </w:rPr>
      </w:pPr>
      <w:r>
        <w:rPr>
          <w:rFonts w:ascii="Times New Roman" w:hAnsi="Times New Roman" w:cs="Times New Roman"/>
          <w:sz w:val="22"/>
          <w:szCs w:val="22"/>
          <w:lang w:val="uk-UA"/>
        </w:rPr>
        <w:t>1. </w:t>
      </w:r>
      <w:r w:rsidR="00AD2684" w:rsidRPr="00AD2684">
        <w:rPr>
          <w:rFonts w:ascii="Times New Roman" w:eastAsia="Times New Roman" w:hAnsi="Times New Roman"/>
          <w:sz w:val="22"/>
          <w:szCs w:val="22"/>
          <w:lang w:val="uk-UA" w:eastAsia="ru-RU"/>
        </w:rPr>
        <w:t>Данько Ю. І. Формування систем забезпечення конкурентоспроможності агра</w:t>
      </w:r>
      <w:r w:rsidR="0075558E">
        <w:rPr>
          <w:rFonts w:ascii="Times New Roman" w:eastAsia="Times New Roman" w:hAnsi="Times New Roman"/>
          <w:sz w:val="22"/>
          <w:szCs w:val="22"/>
          <w:lang w:val="uk-UA" w:eastAsia="ru-RU"/>
        </w:rPr>
        <w:t xml:space="preserve">рних підприємств: монографія. </w:t>
      </w:r>
      <w:r w:rsidR="00AD2684" w:rsidRPr="00AD2684">
        <w:rPr>
          <w:rFonts w:ascii="Times New Roman" w:eastAsia="Times New Roman" w:hAnsi="Times New Roman"/>
          <w:sz w:val="22"/>
          <w:szCs w:val="22"/>
          <w:lang w:val="uk-UA" w:eastAsia="ru-RU"/>
        </w:rPr>
        <w:t>Суми: Університетська книга, 2016. 324 с.</w:t>
      </w:r>
    </w:p>
    <w:p w14:paraId="5976FDF9" w14:textId="3F901D15" w:rsidR="00C519E9" w:rsidRDefault="00C519E9" w:rsidP="00041DC6">
      <w:pPr>
        <w:ind w:firstLine="426"/>
        <w:jc w:val="both"/>
        <w:rPr>
          <w:rFonts w:ascii="Times New Roman" w:eastAsia="Times New Roman" w:hAnsi="Times New Roman"/>
          <w:sz w:val="22"/>
          <w:szCs w:val="22"/>
          <w:lang w:val="uk-UA" w:eastAsia="ru-RU"/>
        </w:rPr>
      </w:pPr>
      <w:r>
        <w:rPr>
          <w:rFonts w:ascii="Times New Roman" w:hAnsi="Times New Roman" w:cs="Times New Roman"/>
          <w:sz w:val="22"/>
          <w:szCs w:val="22"/>
          <w:lang w:val="uk-UA"/>
        </w:rPr>
        <w:t>2. </w:t>
      </w:r>
      <w:proofErr w:type="spellStart"/>
      <w:r w:rsidR="00AD2684" w:rsidRPr="00AD2684">
        <w:rPr>
          <w:rFonts w:ascii="Times New Roman" w:eastAsia="Times New Roman" w:hAnsi="Times New Roman"/>
          <w:sz w:val="22"/>
          <w:szCs w:val="22"/>
          <w:lang w:val="uk-UA" w:eastAsia="ru-RU"/>
        </w:rPr>
        <w:t>Красноруцький</w:t>
      </w:r>
      <w:proofErr w:type="spellEnd"/>
      <w:r w:rsidR="00AD2684" w:rsidRPr="00AD2684">
        <w:rPr>
          <w:rFonts w:ascii="Times New Roman" w:eastAsia="Times New Roman" w:hAnsi="Times New Roman"/>
          <w:sz w:val="22"/>
          <w:szCs w:val="22"/>
          <w:lang w:val="uk-UA" w:eastAsia="ru-RU"/>
        </w:rPr>
        <w:t xml:space="preserve"> О.О. Системи управління збутовою діяльністю аграрних підприємств: стратегія, механізми, інструментарій [монографія]. Херсон: </w:t>
      </w:r>
      <w:proofErr w:type="spellStart"/>
      <w:r w:rsidR="00AD2684" w:rsidRPr="00AD2684">
        <w:rPr>
          <w:rFonts w:ascii="Times New Roman" w:eastAsia="Times New Roman" w:hAnsi="Times New Roman"/>
          <w:sz w:val="22"/>
          <w:szCs w:val="22"/>
          <w:lang w:val="uk-UA" w:eastAsia="ru-RU"/>
        </w:rPr>
        <w:t>Грінь</w:t>
      </w:r>
      <w:proofErr w:type="spellEnd"/>
      <w:r w:rsidR="00AD2684" w:rsidRPr="00AD2684">
        <w:rPr>
          <w:rFonts w:ascii="Times New Roman" w:eastAsia="Times New Roman" w:hAnsi="Times New Roman"/>
          <w:sz w:val="22"/>
          <w:szCs w:val="22"/>
          <w:lang w:val="uk-UA" w:eastAsia="ru-RU"/>
        </w:rPr>
        <w:t> Д.С, 2012. 348 с.</w:t>
      </w:r>
    </w:p>
    <w:p w14:paraId="03BB7C7B" w14:textId="13730B95" w:rsidR="00AD2684" w:rsidRPr="00AD2684" w:rsidRDefault="00AD2684" w:rsidP="00041DC6">
      <w:pPr>
        <w:ind w:firstLine="426"/>
        <w:jc w:val="both"/>
        <w:rPr>
          <w:rFonts w:ascii="Times New Roman" w:eastAsia="Times New Roman" w:hAnsi="Times New Roman"/>
          <w:sz w:val="22"/>
          <w:szCs w:val="22"/>
          <w:lang w:val="uk-UA" w:eastAsia="ru-RU"/>
        </w:rPr>
      </w:pPr>
      <w:r>
        <w:rPr>
          <w:rFonts w:ascii="Times New Roman" w:eastAsia="Times New Roman" w:hAnsi="Times New Roman"/>
          <w:sz w:val="22"/>
          <w:szCs w:val="22"/>
          <w:lang w:val="uk-UA" w:eastAsia="ru-RU"/>
        </w:rPr>
        <w:t>3. </w:t>
      </w:r>
      <w:proofErr w:type="spellStart"/>
      <w:r w:rsidRPr="00AD2684">
        <w:rPr>
          <w:rFonts w:ascii="Times New Roman" w:eastAsia="Times New Roman" w:hAnsi="Times New Roman"/>
          <w:sz w:val="22"/>
          <w:szCs w:val="22"/>
          <w:lang w:val="uk-UA" w:eastAsia="ru-RU"/>
        </w:rPr>
        <w:t>Сьомич</w:t>
      </w:r>
      <w:proofErr w:type="spellEnd"/>
      <w:r w:rsidRPr="00AD2684">
        <w:rPr>
          <w:rFonts w:ascii="Times New Roman" w:eastAsia="Times New Roman" w:hAnsi="Times New Roman"/>
          <w:sz w:val="22"/>
          <w:szCs w:val="22"/>
          <w:lang w:val="uk-UA" w:eastAsia="ru-RU"/>
        </w:rPr>
        <w:t> М. І. Сучасні підходи до управління конкурентоспроможністю продукції підприємства / М. І. </w:t>
      </w:r>
      <w:proofErr w:type="spellStart"/>
      <w:r w:rsidRPr="00AD2684">
        <w:rPr>
          <w:rFonts w:ascii="Times New Roman" w:eastAsia="Times New Roman" w:hAnsi="Times New Roman"/>
          <w:sz w:val="22"/>
          <w:szCs w:val="22"/>
          <w:lang w:val="uk-UA" w:eastAsia="ru-RU"/>
        </w:rPr>
        <w:t>Сьомич</w:t>
      </w:r>
      <w:proofErr w:type="spellEnd"/>
      <w:r w:rsidRPr="00AD2684">
        <w:rPr>
          <w:rFonts w:ascii="Times New Roman" w:eastAsia="Times New Roman" w:hAnsi="Times New Roman"/>
          <w:sz w:val="22"/>
          <w:szCs w:val="22"/>
          <w:lang w:val="uk-UA" w:eastAsia="ru-RU"/>
        </w:rPr>
        <w:t>, І. А. </w:t>
      </w:r>
      <w:proofErr w:type="spellStart"/>
      <w:r w:rsidRPr="00AD2684">
        <w:rPr>
          <w:rFonts w:ascii="Times New Roman" w:eastAsia="Times New Roman" w:hAnsi="Times New Roman"/>
          <w:sz w:val="22"/>
          <w:szCs w:val="22"/>
          <w:lang w:val="uk-UA" w:eastAsia="ru-RU"/>
        </w:rPr>
        <w:t>Маркіна</w:t>
      </w:r>
      <w:proofErr w:type="spellEnd"/>
      <w:r w:rsidRPr="00AD2684">
        <w:rPr>
          <w:rFonts w:ascii="Times New Roman" w:eastAsia="Times New Roman" w:hAnsi="Times New Roman"/>
          <w:sz w:val="22"/>
          <w:szCs w:val="22"/>
          <w:lang w:val="uk-UA" w:eastAsia="ru-RU"/>
        </w:rPr>
        <w:t>, Н. В. Ковалевська // Вісник Чернівецького торговельно-економічного інституту КНТЕУ. Чернівці: ПВКФ «</w:t>
      </w:r>
      <w:proofErr w:type="spellStart"/>
      <w:r w:rsidRPr="00AD2684">
        <w:rPr>
          <w:rFonts w:ascii="Times New Roman" w:eastAsia="Times New Roman" w:hAnsi="Times New Roman"/>
          <w:sz w:val="22"/>
          <w:szCs w:val="22"/>
          <w:lang w:val="uk-UA" w:eastAsia="ru-RU"/>
        </w:rPr>
        <w:t>Технодрук</w:t>
      </w:r>
      <w:proofErr w:type="spellEnd"/>
      <w:r w:rsidRPr="00AD2684">
        <w:rPr>
          <w:rFonts w:ascii="Times New Roman" w:eastAsia="Times New Roman" w:hAnsi="Times New Roman"/>
          <w:sz w:val="22"/>
          <w:szCs w:val="22"/>
          <w:lang w:val="uk-UA" w:eastAsia="ru-RU"/>
        </w:rPr>
        <w:t xml:space="preserve">», 2017. </w:t>
      </w:r>
      <w:proofErr w:type="spellStart"/>
      <w:r w:rsidRPr="00AD2684">
        <w:rPr>
          <w:rFonts w:ascii="Times New Roman" w:eastAsia="Times New Roman" w:hAnsi="Times New Roman"/>
          <w:sz w:val="22"/>
          <w:szCs w:val="22"/>
          <w:lang w:val="uk-UA" w:eastAsia="ru-RU"/>
        </w:rPr>
        <w:t>Вип</w:t>
      </w:r>
      <w:proofErr w:type="spellEnd"/>
      <w:r w:rsidRPr="00AD2684">
        <w:rPr>
          <w:rFonts w:ascii="Times New Roman" w:eastAsia="Times New Roman" w:hAnsi="Times New Roman"/>
          <w:sz w:val="22"/>
          <w:szCs w:val="22"/>
          <w:lang w:val="uk-UA" w:eastAsia="ru-RU"/>
        </w:rPr>
        <w:t>. 4 (68). С. 145–154.</w:t>
      </w:r>
    </w:p>
    <w:p w14:paraId="48CE9BC4" w14:textId="7A5798C9" w:rsidR="00C519E9" w:rsidRPr="00C519E9" w:rsidRDefault="00712B25" w:rsidP="00041DC6">
      <w:pPr>
        <w:ind w:firstLine="426"/>
        <w:jc w:val="both"/>
        <w:rPr>
          <w:rFonts w:ascii="Times New Roman" w:hAnsi="Times New Roman" w:cs="Times New Roman"/>
          <w:sz w:val="22"/>
          <w:szCs w:val="22"/>
          <w:lang w:val="uk-UA"/>
        </w:rPr>
      </w:pPr>
      <w:r w:rsidRPr="00712B25">
        <w:rPr>
          <w:rFonts w:ascii="Times New Roman" w:hAnsi="Times New Roman" w:cs="Times New Roman"/>
          <w:sz w:val="22"/>
          <w:szCs w:val="22"/>
          <w:lang w:val="uk-UA"/>
        </w:rPr>
        <w:t>4</w:t>
      </w:r>
      <w:r w:rsidR="00C519E9">
        <w:rPr>
          <w:rFonts w:ascii="Times New Roman" w:hAnsi="Times New Roman" w:cs="Times New Roman"/>
          <w:sz w:val="22"/>
          <w:szCs w:val="22"/>
          <w:lang w:val="uk-UA"/>
        </w:rPr>
        <w:t>. </w:t>
      </w:r>
      <w:proofErr w:type="spellStart"/>
      <w:r w:rsidR="00C519E9" w:rsidRPr="00C519E9">
        <w:rPr>
          <w:rFonts w:ascii="Times New Roman" w:eastAsia="Times New Roman" w:hAnsi="Times New Roman"/>
          <w:sz w:val="22"/>
          <w:szCs w:val="22"/>
          <w:lang w:val="uk-UA" w:eastAsia="ru-RU"/>
        </w:rPr>
        <w:t>Миколенко</w:t>
      </w:r>
      <w:proofErr w:type="spellEnd"/>
      <w:r w:rsidR="00C519E9" w:rsidRPr="00C519E9">
        <w:rPr>
          <w:rFonts w:ascii="Times New Roman" w:eastAsia="Times New Roman" w:hAnsi="Times New Roman"/>
          <w:sz w:val="22"/>
          <w:szCs w:val="22"/>
          <w:lang w:val="uk-UA" w:eastAsia="ru-RU"/>
        </w:rPr>
        <w:t xml:space="preserve"> І.Г. Стратегії конкурентного розвитку </w:t>
      </w:r>
      <w:proofErr w:type="spellStart"/>
      <w:r w:rsidR="00C519E9" w:rsidRPr="00C519E9">
        <w:rPr>
          <w:rFonts w:ascii="Times New Roman" w:eastAsia="Times New Roman" w:hAnsi="Times New Roman"/>
          <w:sz w:val="22"/>
          <w:szCs w:val="22"/>
          <w:lang w:val="uk-UA" w:eastAsia="ru-RU"/>
        </w:rPr>
        <w:t>aгрaрних</w:t>
      </w:r>
      <w:proofErr w:type="spellEnd"/>
      <w:r w:rsidR="00C519E9" w:rsidRPr="00C519E9">
        <w:rPr>
          <w:rFonts w:ascii="Times New Roman" w:eastAsia="Times New Roman" w:hAnsi="Times New Roman"/>
          <w:sz w:val="22"/>
          <w:szCs w:val="22"/>
          <w:lang w:val="uk-UA" w:eastAsia="ru-RU"/>
        </w:rPr>
        <w:t xml:space="preserve"> </w:t>
      </w:r>
      <w:proofErr w:type="spellStart"/>
      <w:r w:rsidR="00C519E9" w:rsidRPr="00C519E9">
        <w:rPr>
          <w:rFonts w:ascii="Times New Roman" w:eastAsia="Times New Roman" w:hAnsi="Times New Roman"/>
          <w:sz w:val="22"/>
          <w:szCs w:val="22"/>
          <w:lang w:val="uk-UA" w:eastAsia="ru-RU"/>
        </w:rPr>
        <w:t>пiдприємcтв</w:t>
      </w:r>
      <w:proofErr w:type="spellEnd"/>
      <w:r w:rsidR="00C519E9" w:rsidRPr="00C519E9">
        <w:rPr>
          <w:rFonts w:ascii="Times New Roman" w:eastAsia="Times New Roman" w:hAnsi="Times New Roman"/>
          <w:sz w:val="22"/>
          <w:szCs w:val="22"/>
          <w:lang w:val="uk-UA" w:eastAsia="ru-RU"/>
        </w:rPr>
        <w:t>: механізми та інструментарій. Монографія. Харків: «Смугаста типографія», 2021. 320 с.</w:t>
      </w:r>
    </w:p>
    <w:sectPr w:rsidR="00C519E9" w:rsidRPr="00C519E9" w:rsidSect="00041DC6">
      <w:pgSz w:w="8397" w:h="11901"/>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DC6"/>
    <w:rsid w:val="00041DC6"/>
    <w:rsid w:val="00712B25"/>
    <w:rsid w:val="0075558E"/>
    <w:rsid w:val="009509B6"/>
    <w:rsid w:val="00AD2684"/>
    <w:rsid w:val="00C519E9"/>
    <w:rsid w:val="00F426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3CB92E8"/>
  <w15:chartTrackingRefBased/>
  <w15:docId w15:val="{73FAFC53-51B4-DC4A-BB3E-A0FB61D6B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oleObject" Target="embeddings/oleObject1.bin"/><Relationship Id="rId4" Type="http://schemas.openxmlformats.org/officeDocument/2006/relationships/image" Target="media/image1.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685</Words>
  <Characters>3908</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Алексей Красноруцкий</dc:creator>
  <cp:keywords/>
  <dc:description/>
  <cp:lastModifiedBy>1</cp:lastModifiedBy>
  <cp:revision>3</cp:revision>
  <dcterms:created xsi:type="dcterms:W3CDTF">2022-04-28T17:37:00Z</dcterms:created>
  <dcterms:modified xsi:type="dcterms:W3CDTF">2022-05-03T06:26:00Z</dcterms:modified>
</cp:coreProperties>
</file>