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503" w:rsidRDefault="00206503" w:rsidP="00206503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b/>
          <w:sz w:val="28"/>
          <w:szCs w:val="28"/>
          <w:lang w:val="uk-UA"/>
        </w:rPr>
        <w:t>Воронько-Невіднича</w:t>
      </w:r>
      <w:r w:rsidRPr="002065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05536">
        <w:rPr>
          <w:rFonts w:ascii="Times New Roman" w:hAnsi="Times New Roman" w:cs="Times New Roman"/>
          <w:b/>
          <w:sz w:val="28"/>
          <w:szCs w:val="28"/>
          <w:lang w:val="uk-UA"/>
        </w:rPr>
        <w:t>Т. В.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6503" w:rsidRPr="00206503" w:rsidRDefault="00206503" w:rsidP="00206503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05536"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 w:rsidRPr="00F05536">
        <w:rPr>
          <w:rFonts w:ascii="Times New Roman" w:hAnsi="Times New Roman" w:cs="Times New Roman"/>
          <w:sz w:val="28"/>
          <w:szCs w:val="28"/>
          <w:lang w:val="uk-UA"/>
        </w:rPr>
        <w:t>., доцент</w:t>
      </w:r>
      <w:r w:rsidRPr="0020650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05536" w:rsidRDefault="009A1680" w:rsidP="00206503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b/>
          <w:sz w:val="28"/>
          <w:szCs w:val="28"/>
          <w:lang w:val="uk-UA"/>
        </w:rPr>
        <w:t>Прокопенко</w:t>
      </w:r>
      <w:r w:rsidR="00206503" w:rsidRPr="002065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06503" w:rsidRPr="00F05536">
        <w:rPr>
          <w:rFonts w:ascii="Times New Roman" w:hAnsi="Times New Roman" w:cs="Times New Roman"/>
          <w:b/>
          <w:sz w:val="28"/>
          <w:szCs w:val="28"/>
          <w:lang w:val="uk-UA"/>
        </w:rPr>
        <w:t>Н. О.</w:t>
      </w:r>
      <w:r w:rsidR="000E0EC9" w:rsidRPr="00F05536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F055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Цимбал</w:t>
      </w:r>
      <w:r w:rsidR="00206503" w:rsidRPr="002065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06503" w:rsidRPr="00F05536">
        <w:rPr>
          <w:rFonts w:ascii="Times New Roman" w:hAnsi="Times New Roman" w:cs="Times New Roman"/>
          <w:b/>
          <w:sz w:val="28"/>
          <w:szCs w:val="28"/>
          <w:lang w:val="uk-UA"/>
        </w:rPr>
        <w:t>В. В.</w:t>
      </w:r>
    </w:p>
    <w:p w:rsidR="009A1680" w:rsidRPr="00F05536" w:rsidRDefault="000E0EC9" w:rsidP="00F05536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>здобувачі вищої освіти</w:t>
      </w:r>
      <w:r w:rsidR="00206503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спеціальності 073 Менеджмент</w:t>
      </w:r>
    </w:p>
    <w:p w:rsidR="00F05536" w:rsidRPr="00F05536" w:rsidRDefault="000E0EC9" w:rsidP="00F05536">
      <w:pPr>
        <w:spacing w:after="0" w:line="360" w:lineRule="auto"/>
        <w:ind w:firstLine="284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i/>
          <w:sz w:val="28"/>
          <w:szCs w:val="28"/>
          <w:lang w:val="uk-UA"/>
        </w:rPr>
        <w:t>Полтавський державний аграрний університет</w:t>
      </w:r>
    </w:p>
    <w:p w:rsidR="000E0EC9" w:rsidRPr="00F05536" w:rsidRDefault="00F05536" w:rsidP="00F05536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i/>
          <w:sz w:val="28"/>
          <w:szCs w:val="28"/>
          <w:lang w:val="uk-UA"/>
        </w:rPr>
        <w:t>м. Полтава, Україна</w:t>
      </w:r>
      <w:r w:rsidR="000E0EC9"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341D9" w:rsidRPr="00F05536" w:rsidRDefault="00A341D9" w:rsidP="00F05536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A1680" w:rsidRPr="00F05536" w:rsidRDefault="00A341D9" w:rsidP="00F0553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ЗНАЧЕННЯ АНАЛІЗУ ЧИННИКІВ ЗОВНІШНЬОГО </w:t>
      </w:r>
      <w:r w:rsidR="00F05536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F055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ВНУТРІШНЬОГО СЕРЕДОВИЩА ПІДПРИЄМСТВА АГРОПРОМИСЛОВОЇ СФЕРИ</w:t>
      </w:r>
    </w:p>
    <w:p w:rsidR="00A341D9" w:rsidRPr="00F05536" w:rsidRDefault="00A341D9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341D9" w:rsidRPr="00F05536" w:rsidRDefault="000E0EC9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>Як зауважують дослідники [2] г</w:t>
      </w:r>
      <w:r w:rsidR="00A341D9" w:rsidRPr="00F05536">
        <w:rPr>
          <w:rFonts w:ascii="Times New Roman" w:hAnsi="Times New Roman" w:cs="Times New Roman"/>
          <w:sz w:val="28"/>
          <w:szCs w:val="28"/>
          <w:lang w:val="uk-UA"/>
        </w:rPr>
        <w:t>оловним чинником розвитку будь-якого підприємства є правильно сформована керівництвом стратегія, яка дає можливість досягти чіткої поставленої мети. В умовах жорсткої конкуренції, яка посилюється на вітчизняному ринку агропродовольчої продукції, коли непрофесійні дії керівництва можуть коштувати великих втрат, а в окремих випадках і банкрутства підприємства, поволі проходять часи інтуїтивного ухвалення рішень на основі суб’єктивного вибору напрямів і шляхів розвитку учасників ринку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790F" w:rsidRPr="00F05536" w:rsidRDefault="0036790F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>Все частіше жорстко ставиться проблема вибору чіткої та погодженої стратегії, політики стратегічного управління і планування як для кожного підприємства окремо, так і для галузі в цілому [3, с. 281].</w:t>
      </w:r>
    </w:p>
    <w:p w:rsidR="009A1680" w:rsidRPr="00F05536" w:rsidRDefault="000E0EC9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>Безумовно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A1680"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5536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стратегія охоплює всю діяльність суб’єкта господарювання, усіх співробітників і спрямована на досягнення невпинного розвитку  та високих результатів господарювання. Процес формування стратегії починається з того моменту, коли усвідомлюється необхідність певних дій  щодо забезпечення досягнення конкурентних переваг на ринку</w:t>
      </w:r>
      <w:r w:rsidR="009A1680" w:rsidRPr="00F055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0EC9" w:rsidRPr="00F05536" w:rsidRDefault="000E0EC9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До того ж, за сучасних умов </w:t>
      </w:r>
      <w:r w:rsidR="0036790F" w:rsidRPr="00F05536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при розробці та реалізації стратегії потрібно постійно враховувати зміни, які виникають під впливом як  зовнішнього, так і внутрішнього середовища. Тому необхідним є потреба у своєчасному коригуванні, що призводить до її доповнення, якісного удосконалення, змін тощо.</w:t>
      </w:r>
    </w:p>
    <w:p w:rsidR="002D68BA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Крім того, на розробку і реалізацію стратегії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підприємств агропродовольчої сфери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впивають і особливості агровиробництва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36790F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Нестача фінансових, матеріально-технічних, інформаційних, інтелектуальних ресурсів не дозволяє підприємствам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агропродовольчої сфери 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успішно розробляти і реалізовувати стратегію навіть в найсприятливіших зовнішніх умовах. </w:t>
      </w:r>
    </w:p>
    <w:p w:rsidR="009A1680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>Обираючи напрям стратегічного розвитку, агр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>підприємству необхідно враховувати ряд чинників, таких як, потенціал підприємства, цілі підприємства, технології виробництва продукції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виробляється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та її особливості, стану ринку, позиція підприємства на ньому, стратегії конкурентів, потреби споживачів, економічну і політичну ситуацію в країні, рівень розвитку науково-технічного прогресу, природно-кліматичних умов тощо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341D9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Але, врахувати всі ці чинники при визначенні стратегії розвитку підприємства практично неможливо. Розробка будь-якої стратегії вимагає обґрунтування цілей і завдань, застосування набутих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у прийнятті стратегічних управлінських рішень. </w:t>
      </w:r>
    </w:p>
    <w:p w:rsidR="00A341D9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Тому, формування стратегії розвитку підприємства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агропродовольчої сфери 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слід починати з аналізу зовнішнього і внутрішнього середовища. Від того, наскільки правильно він проведений, залежить успіх всіх інших дій з розробки та реалізації стратегії. </w:t>
      </w:r>
    </w:p>
    <w:p w:rsidR="00A341D9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>Зовнішнє оточення підприємства вивчається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для того, щоб розкрити ті загрози і можливості, які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суб’єкт господарювання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враховувати при постановці цілей та їх досягненні, тому його аналіз є найважливішою вихідною ланкою при розробці стратегії розвитку. </w:t>
      </w:r>
    </w:p>
    <w:p w:rsidR="009A1680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>Визначення стратегічних перспектив розвитку підприємства даної галузі має базуватися на аналізі змін, що відбуваються у зовнішньому середовищі, оцінці стратегічних позицій підприємства, його сильних і слабких сторін.</w:t>
      </w:r>
    </w:p>
    <w:p w:rsidR="009A1680" w:rsidRPr="00F05536" w:rsidRDefault="009A1680" w:rsidP="00F0553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Аналіз чинників зовнішнього та внутрішнього середовища </w:t>
      </w:r>
      <w:r w:rsidR="0036790F" w:rsidRPr="00F05536">
        <w:rPr>
          <w:rFonts w:ascii="Times New Roman" w:hAnsi="Times New Roman" w:cs="Times New Roman"/>
          <w:sz w:val="28"/>
          <w:szCs w:val="28"/>
          <w:lang w:val="uk-UA"/>
        </w:rPr>
        <w:t>агропідприємств дозволяє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 виокремити позитивні та негативні риси його стратегічного розвитку, які є підставою до формування ефективної стратегії.</w:t>
      </w:r>
    </w:p>
    <w:p w:rsidR="009A1680" w:rsidRPr="00F05536" w:rsidRDefault="009A1680" w:rsidP="00F05536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0553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0E0EC9" w:rsidRPr="00F05536" w:rsidRDefault="000E0EC9" w:rsidP="00F05536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</w:p>
    <w:p w:rsidR="000E0EC9" w:rsidRPr="00F05536" w:rsidRDefault="000E0EC9" w:rsidP="00F05536">
      <w:pPr>
        <w:pStyle w:val="a4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Кадирус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І. Г.,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Донських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А. С., Терещенко В. А.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Формування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стратегії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розвитку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аграрного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підприємства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F0553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Ефективна</w:t>
      </w:r>
      <w:proofErr w:type="spellEnd"/>
      <w:r w:rsidRPr="00F0553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економіка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. 2020. №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7. 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http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://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www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economy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nayka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com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ua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/?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op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=1&amp;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=8063. 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DOI: </w:t>
      </w:r>
      <w:hyperlink r:id="rId5" w:tgtFrame="_blank" w:history="1">
        <w:r w:rsidRPr="00F05536">
          <w:rPr>
            <w:rStyle w:val="a3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10.32702/2307-2105-2020.7.64</w:t>
        </w:r>
      </w:hyperlink>
      <w:r w:rsidRPr="00F05536">
        <w:rPr>
          <w:rStyle w:val="a3"/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.</w:t>
      </w:r>
    </w:p>
    <w:p w:rsidR="000E0EC9" w:rsidRPr="00F05536" w:rsidRDefault="000E0EC9" w:rsidP="00F05536">
      <w:pPr>
        <w:pStyle w:val="a4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Федірець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О.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Воронько-Невіднича 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Т. В.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Особливості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стратегічного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управління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аграрних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підприємствах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Науково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-практична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конференція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професорсько-викладацького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складу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Полтавської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державної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аграрної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академії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за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підсумками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науково</w:t>
      </w:r>
      <w:bookmarkStart w:id="0" w:name="_GoBack"/>
      <w:bookmarkEnd w:id="0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-дослідної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роботи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2017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році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(м.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Полтава, 16-17 </w:t>
      </w:r>
      <w:proofErr w:type="spell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травня</w:t>
      </w:r>
      <w:proofErr w:type="spell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2018</w:t>
      </w:r>
      <w:r w:rsid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року). </w:t>
      </w:r>
      <w:proofErr w:type="gramStart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Полтава :</w:t>
      </w:r>
      <w:proofErr w:type="gramEnd"/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РВВ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</w:rPr>
        <w:t>ПДАА, 2018. 292 с. С. 56-58</w:t>
      </w:r>
      <w:r w:rsidRPr="00F05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E0EC9" w:rsidRPr="00F05536" w:rsidRDefault="000E0EC9" w:rsidP="00F05536">
      <w:pPr>
        <w:pStyle w:val="a4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536">
        <w:rPr>
          <w:rFonts w:ascii="Times New Roman" w:hAnsi="Times New Roman" w:cs="Times New Roman"/>
          <w:sz w:val="28"/>
          <w:szCs w:val="28"/>
        </w:rPr>
        <w:t>Хоружа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 xml:space="preserve"> К. В.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Стратегічне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передумова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аграрних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05536">
        <w:rPr>
          <w:rFonts w:ascii="Times New Roman" w:hAnsi="Times New Roman" w:cs="Times New Roman"/>
          <w:i/>
          <w:sz w:val="28"/>
          <w:szCs w:val="28"/>
        </w:rPr>
        <w:t>Науковий</w:t>
      </w:r>
      <w:proofErr w:type="spellEnd"/>
      <w:r w:rsidRPr="00F0553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536">
        <w:rPr>
          <w:rFonts w:ascii="Times New Roman" w:hAnsi="Times New Roman" w:cs="Times New Roman"/>
          <w:i/>
          <w:sz w:val="28"/>
          <w:szCs w:val="28"/>
        </w:rPr>
        <w:t>вісник</w:t>
      </w:r>
      <w:proofErr w:type="spellEnd"/>
      <w:r w:rsidRPr="00F0553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536">
        <w:rPr>
          <w:rFonts w:ascii="Times New Roman" w:hAnsi="Times New Roman" w:cs="Times New Roman"/>
          <w:i/>
          <w:sz w:val="28"/>
          <w:szCs w:val="28"/>
        </w:rPr>
        <w:t>Луган</w:t>
      </w:r>
      <w:proofErr w:type="spellEnd"/>
      <w:r w:rsidRPr="00F05536">
        <w:rPr>
          <w:rFonts w:ascii="Times New Roman" w:hAnsi="Times New Roman" w:cs="Times New Roman"/>
          <w:i/>
          <w:sz w:val="28"/>
          <w:szCs w:val="28"/>
        </w:rPr>
        <w:t xml:space="preserve">. нац. </w:t>
      </w:r>
      <w:proofErr w:type="spellStart"/>
      <w:r w:rsidRPr="00F05536">
        <w:rPr>
          <w:rFonts w:ascii="Times New Roman" w:hAnsi="Times New Roman" w:cs="Times New Roman"/>
          <w:i/>
          <w:sz w:val="28"/>
          <w:szCs w:val="28"/>
        </w:rPr>
        <w:t>аграр</w:t>
      </w:r>
      <w:proofErr w:type="spellEnd"/>
      <w:r w:rsidRPr="00F05536">
        <w:rPr>
          <w:rFonts w:ascii="Times New Roman" w:hAnsi="Times New Roman" w:cs="Times New Roman"/>
          <w:i/>
          <w:sz w:val="28"/>
          <w:szCs w:val="28"/>
        </w:rPr>
        <w:t xml:space="preserve">. ун-ту. Сер. </w:t>
      </w:r>
      <w:proofErr w:type="spellStart"/>
      <w:r w:rsidRPr="00F05536">
        <w:rPr>
          <w:rFonts w:ascii="Times New Roman" w:hAnsi="Times New Roman" w:cs="Times New Roman"/>
          <w:i/>
          <w:sz w:val="28"/>
          <w:szCs w:val="28"/>
        </w:rPr>
        <w:t>Економічні</w:t>
      </w:r>
      <w:proofErr w:type="spellEnd"/>
      <w:r w:rsidRPr="00F05536">
        <w:rPr>
          <w:rFonts w:ascii="Times New Roman" w:hAnsi="Times New Roman" w:cs="Times New Roman"/>
          <w:i/>
          <w:sz w:val="28"/>
          <w:szCs w:val="28"/>
        </w:rPr>
        <w:t xml:space="preserve"> науки</w:t>
      </w:r>
      <w:r w:rsidRPr="00F055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05536">
        <w:rPr>
          <w:rFonts w:ascii="Times New Roman" w:hAnsi="Times New Roman" w:cs="Times New Roman"/>
          <w:sz w:val="28"/>
          <w:szCs w:val="28"/>
        </w:rPr>
        <w:t>Луганськ</w:t>
      </w:r>
      <w:proofErr w:type="spellEnd"/>
      <w:r w:rsidRPr="00F05536">
        <w:rPr>
          <w:rFonts w:ascii="Times New Roman" w:hAnsi="Times New Roman" w:cs="Times New Roman"/>
          <w:sz w:val="28"/>
          <w:szCs w:val="28"/>
        </w:rPr>
        <w:t>: Елтон-2, 2016. № 32. С. 280-285.</w:t>
      </w:r>
    </w:p>
    <w:sectPr w:rsidR="000E0EC9" w:rsidRPr="00F05536" w:rsidSect="00F05536">
      <w:pgSz w:w="11906" w:h="16838" w:code="9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3B31E8"/>
    <w:multiLevelType w:val="hybridMultilevel"/>
    <w:tmpl w:val="B20CFF44"/>
    <w:lvl w:ilvl="0" w:tplc="989C029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80"/>
    <w:rsid w:val="000E0EC9"/>
    <w:rsid w:val="00206503"/>
    <w:rsid w:val="002A210B"/>
    <w:rsid w:val="002D68BA"/>
    <w:rsid w:val="0036790F"/>
    <w:rsid w:val="00392B73"/>
    <w:rsid w:val="00924C1E"/>
    <w:rsid w:val="009731CE"/>
    <w:rsid w:val="009A1680"/>
    <w:rsid w:val="00A341D9"/>
    <w:rsid w:val="00C022DD"/>
    <w:rsid w:val="00C10C12"/>
    <w:rsid w:val="00F05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1F47A8-4F68-418B-8579-0389FE17F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A168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A341D9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0E0E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0E0EC9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0E0E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33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32702/2307-2105-2020.7.6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666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Tania</cp:lastModifiedBy>
  <cp:revision>2</cp:revision>
  <dcterms:created xsi:type="dcterms:W3CDTF">2022-02-16T18:05:00Z</dcterms:created>
  <dcterms:modified xsi:type="dcterms:W3CDTF">2022-02-16T18:05:00Z</dcterms:modified>
</cp:coreProperties>
</file>