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3AE" w:rsidRDefault="00AA13AE" w:rsidP="0068358A">
      <w:pPr>
        <w:tabs>
          <w:tab w:val="left" w:pos="284"/>
          <w:tab w:val="left" w:pos="426"/>
        </w:tabs>
        <w:ind w:firstLine="284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</w:p>
    <w:p w:rsidR="00B61629" w:rsidRPr="00AA13AE" w:rsidRDefault="00B61629" w:rsidP="0068358A">
      <w:pPr>
        <w:tabs>
          <w:tab w:val="left" w:pos="284"/>
          <w:tab w:val="left" w:pos="426"/>
        </w:tabs>
        <w:ind w:firstLine="284"/>
        <w:rPr>
          <w:b/>
          <w:color w:val="000000"/>
          <w:sz w:val="28"/>
          <w:szCs w:val="28"/>
          <w:lang w:val="uk-UA"/>
        </w:rPr>
      </w:pPr>
      <w:r w:rsidRPr="00B61629">
        <w:rPr>
          <w:b/>
          <w:color w:val="000000"/>
          <w:sz w:val="28"/>
          <w:szCs w:val="28"/>
          <w:lang w:val="uk-UA"/>
        </w:rPr>
        <w:t>ОСОБЛИВОСТІ МОТИВАЦІЇ КЕРІВНИКІВ ДО ПРИЙНЯТТЯ УПРАВЛІНСЬКИХ РІШЕНЬ</w:t>
      </w:r>
    </w:p>
    <w:p w:rsidR="00B61629" w:rsidRPr="009F6A28" w:rsidRDefault="00B61629" w:rsidP="0068358A">
      <w:pPr>
        <w:tabs>
          <w:tab w:val="left" w:pos="284"/>
          <w:tab w:val="left" w:pos="426"/>
        </w:tabs>
        <w:ind w:firstLine="284"/>
        <w:rPr>
          <w:rFonts w:eastAsiaTheme="minorHAnsi"/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Шульженко І.</w:t>
      </w:r>
      <w:r w:rsidRPr="009F6A28">
        <w:rPr>
          <w:b/>
          <w:color w:val="000000"/>
          <w:sz w:val="28"/>
          <w:szCs w:val="28"/>
          <w:lang w:val="uk-UA"/>
        </w:rPr>
        <w:t>В.,</w:t>
      </w:r>
      <w:r>
        <w:rPr>
          <w:b/>
          <w:color w:val="000000"/>
          <w:sz w:val="28"/>
          <w:szCs w:val="28"/>
          <w:lang w:val="uk-UA"/>
        </w:rPr>
        <w:t>кандидат економічних наук, доцент,</w:t>
      </w:r>
      <w:r w:rsidR="00C6122A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uk-UA"/>
        </w:rPr>
        <w:t>доцент</w:t>
      </w:r>
      <w:proofErr w:type="spellEnd"/>
      <w:r>
        <w:rPr>
          <w:b/>
          <w:color w:val="000000"/>
          <w:sz w:val="28"/>
          <w:szCs w:val="28"/>
          <w:lang w:val="uk-UA"/>
        </w:rPr>
        <w:t xml:space="preserve"> кафедри менеджменту Полтавської державної аграрної академії</w:t>
      </w:r>
    </w:p>
    <w:p w:rsidR="00B61629" w:rsidRDefault="00B61629" w:rsidP="0068358A">
      <w:pPr>
        <w:tabs>
          <w:tab w:val="left" w:pos="284"/>
          <w:tab w:val="left" w:pos="426"/>
        </w:tabs>
        <w:ind w:firstLine="284"/>
        <w:jc w:val="both"/>
        <w:rPr>
          <w:color w:val="000000"/>
          <w:sz w:val="28"/>
          <w:szCs w:val="28"/>
          <w:lang w:val="uk-UA"/>
        </w:rPr>
      </w:pPr>
    </w:p>
    <w:p w:rsidR="00B61629" w:rsidRDefault="00B61629" w:rsidP="0068358A">
      <w:pPr>
        <w:tabs>
          <w:tab w:val="left" w:pos="284"/>
          <w:tab w:val="left" w:pos="426"/>
        </w:tabs>
        <w:ind w:firstLine="284"/>
        <w:jc w:val="both"/>
        <w:rPr>
          <w:sz w:val="28"/>
          <w:szCs w:val="28"/>
          <w:lang w:val="uk-UA"/>
        </w:rPr>
      </w:pPr>
      <w:r w:rsidRPr="003277AD">
        <w:rPr>
          <w:sz w:val="28"/>
          <w:szCs w:val="28"/>
          <w:lang w:val="uk-UA"/>
        </w:rPr>
        <w:t xml:space="preserve">В ринкових умовах господарювання гостро постає проблема прийняття відповідних управлінських рішень, які будуть підвищувати конкурентоспроможність підприємства, умови його подальшого функціонування, яка </w:t>
      </w:r>
      <w:r w:rsidRPr="00031072">
        <w:rPr>
          <w:sz w:val="28"/>
          <w:szCs w:val="28"/>
          <w:lang w:val="uk-UA"/>
        </w:rPr>
        <w:t>визначається не лише</w:t>
      </w:r>
      <w:r w:rsidRPr="003277AD">
        <w:rPr>
          <w:sz w:val="28"/>
          <w:szCs w:val="28"/>
          <w:lang w:val="uk-UA"/>
        </w:rPr>
        <w:t xml:space="preserve"> його</w:t>
      </w:r>
      <w:r w:rsidRPr="00031072">
        <w:rPr>
          <w:sz w:val="28"/>
          <w:szCs w:val="28"/>
          <w:lang w:val="uk-UA"/>
        </w:rPr>
        <w:t xml:space="preserve"> </w:t>
      </w:r>
      <w:r w:rsidRPr="003277AD">
        <w:rPr>
          <w:sz w:val="28"/>
          <w:szCs w:val="28"/>
          <w:lang w:val="uk-UA"/>
        </w:rPr>
        <w:t>прибутковістю</w:t>
      </w:r>
      <w:r w:rsidRPr="00031072">
        <w:rPr>
          <w:sz w:val="28"/>
          <w:szCs w:val="28"/>
          <w:lang w:val="uk-UA"/>
        </w:rPr>
        <w:t>, а й особливостями мотивації керівник</w:t>
      </w:r>
      <w:r w:rsidRPr="003277AD">
        <w:rPr>
          <w:sz w:val="28"/>
          <w:szCs w:val="28"/>
          <w:lang w:val="uk-UA"/>
        </w:rPr>
        <w:t>ів</w:t>
      </w:r>
      <w:r w:rsidRPr="00031072">
        <w:rPr>
          <w:sz w:val="28"/>
          <w:szCs w:val="28"/>
          <w:lang w:val="uk-UA"/>
        </w:rPr>
        <w:t xml:space="preserve"> до управлінської діяльності</w:t>
      </w:r>
      <w:r w:rsidRPr="003277AD">
        <w:rPr>
          <w:sz w:val="28"/>
          <w:szCs w:val="28"/>
          <w:lang w:val="uk-UA"/>
        </w:rPr>
        <w:t>.</w:t>
      </w:r>
    </w:p>
    <w:p w:rsid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На сьогодні більшість організацій недостатньо використовують цей механізм, що визначає необхідність детального вивчення проблеми, виникає потреба в діагностиці задоволеності керівників управлінською діяльністю,тобто внутрішньою мотивацією їх до роботи як відправної ланки прийняття ефективних управлінських рішень.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 xml:space="preserve">Науковцями виділяється різні критерії класифікації видів мотивації. Зокрема, це зовнішня та внутрішня мотивація. Деякі науковці наводять два парадокси про дію зовнішньої винагороди на внутрішню мотивацію: по-перше, зовнішня винагорода існує насамперед для того, щоб стимулювати внутрішню мотивацію; по-друге, внутрішня мотивація дає змогу легше виконувати нецікаву роботу, яка не матиме обіцяної нагороди ззовні. Зазвичай, кожну діяльність завжди  спонукає комплекс,поєднання зовнішніх і внутрішніх мотивів. Причому в одних ситуаціях здебільшого впливають зовнішні мотиви, а в інших – внутрішні. 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Внутрішня мотивація відрізняється від зовнішньої за наступними  ознаками [1]: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-</w:t>
      </w:r>
      <w:r w:rsidRPr="00B61629">
        <w:rPr>
          <w:color w:val="000000"/>
          <w:sz w:val="28"/>
          <w:szCs w:val="28"/>
          <w:lang w:val="uk-UA"/>
        </w:rPr>
        <w:tab/>
        <w:t xml:space="preserve">прагнення  без послаблення інтенсивності: внутрішня мотивація не служить для задоволення фізіологічних потреб, таких як голод, спрага. 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До внутрішньої мотивації, насамперед, належать потреби в саморозвитку і особистісному зростанні;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-</w:t>
      </w:r>
      <w:r w:rsidRPr="00B61629">
        <w:rPr>
          <w:color w:val="000000"/>
          <w:sz w:val="28"/>
          <w:szCs w:val="28"/>
          <w:lang w:val="uk-UA"/>
        </w:rPr>
        <w:tab/>
        <w:t>свобода мети: поведінка формується на основі бажань або на досягненні мети, яка еквівалентна поведінці. Результативна поведінка тоді мотивована зсередини, коли її кінцевою метою є результат поведінки, а не його очікувані наслідки, або коли досвід результативної поведінки зумовлює відчуття ділової успішності й прагнення до цього відчуття;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-</w:t>
      </w:r>
      <w:r w:rsidRPr="00B61629">
        <w:rPr>
          <w:color w:val="000000"/>
          <w:sz w:val="28"/>
          <w:szCs w:val="28"/>
          <w:lang w:val="uk-UA"/>
        </w:rPr>
        <w:tab/>
        <w:t xml:space="preserve">оптимальний рівень активації і </w:t>
      </w:r>
      <w:proofErr w:type="spellStart"/>
      <w:r w:rsidRPr="00B61629">
        <w:rPr>
          <w:color w:val="000000"/>
          <w:sz w:val="28"/>
          <w:szCs w:val="28"/>
          <w:lang w:val="uk-UA"/>
        </w:rPr>
        <w:t>розузгодження</w:t>
      </w:r>
      <w:proofErr w:type="spellEnd"/>
      <w:r w:rsidRPr="00B61629">
        <w:rPr>
          <w:color w:val="000000"/>
          <w:sz w:val="28"/>
          <w:szCs w:val="28"/>
          <w:lang w:val="uk-UA"/>
        </w:rPr>
        <w:t>: внутрішня мотивація можлива, коли досягають «оптимального рівня активації», тобто коли забезпечується баланс між кількістю прийнятої інформації  й  адекватним рівнем адаптації або очікування. Згідно із цим, активація і комплексність інформації, яку переробляють, приблизно однакові; незначні розбіжності між ними є стимулом до дії, а значні мають негативний ефект;</w:t>
      </w:r>
    </w:p>
    <w:p w:rsidR="00B61629" w:rsidRP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-</w:t>
      </w:r>
      <w:r w:rsidRPr="00B61629">
        <w:rPr>
          <w:color w:val="000000"/>
          <w:sz w:val="28"/>
          <w:szCs w:val="28"/>
          <w:lang w:val="uk-UA"/>
        </w:rPr>
        <w:tab/>
        <w:t>самовизначення: внутрішня мотивація можлива тоді, коли люди мають змогу вибирати способи поведінки й виокремлювати в них етапи для ефективнішого контролю; отже, вони мають відчуття впевненості у власних силах;</w:t>
      </w:r>
    </w:p>
    <w:p w:rsidR="00B61629" w:rsidRDefault="00B61629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61629">
        <w:rPr>
          <w:color w:val="000000"/>
          <w:sz w:val="28"/>
          <w:szCs w:val="28"/>
          <w:lang w:val="uk-UA"/>
        </w:rPr>
        <w:t>-</w:t>
      </w:r>
      <w:r w:rsidRPr="00B61629">
        <w:rPr>
          <w:color w:val="000000"/>
          <w:sz w:val="28"/>
          <w:szCs w:val="28"/>
          <w:lang w:val="uk-UA"/>
        </w:rPr>
        <w:tab/>
        <w:t xml:space="preserve">готовність «розчинитися» (зануритися з головою) в діяльність: це діяльність активних осіб, які не бояться надмірних вимог і не відчувають нудьги в разі занижених. Тобто, це так званий flow-ефект – повне занурення людини в діяльність, коли увага цілковито сконцентрована на ній. Flow-ефекти наявні в осіб з </w:t>
      </w:r>
      <w:r w:rsidRPr="00B61629">
        <w:rPr>
          <w:color w:val="000000"/>
          <w:sz w:val="28"/>
          <w:szCs w:val="28"/>
          <w:lang w:val="uk-UA"/>
        </w:rPr>
        <w:lastRenderedPageBreak/>
        <w:t xml:space="preserve">внутрішньою мотивацією або </w:t>
      </w:r>
      <w:proofErr w:type="spellStart"/>
      <w:r w:rsidRPr="00B61629">
        <w:rPr>
          <w:color w:val="000000"/>
          <w:sz w:val="28"/>
          <w:szCs w:val="28"/>
          <w:lang w:val="uk-UA"/>
        </w:rPr>
        <w:t>самостимулюванням</w:t>
      </w:r>
      <w:proofErr w:type="spellEnd"/>
      <w:r w:rsidRPr="00B61629">
        <w:rPr>
          <w:color w:val="000000"/>
          <w:sz w:val="28"/>
          <w:szCs w:val="28"/>
          <w:lang w:val="uk-UA"/>
        </w:rPr>
        <w:t>. Flow-ефекти  можуть траплятися під час роботи, якщо вимоги до працівника оптимальні.</w:t>
      </w:r>
    </w:p>
    <w:p w:rsidR="00BF732D" w:rsidRPr="00BF732D" w:rsidRDefault="00BF732D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F732D">
        <w:rPr>
          <w:color w:val="000000"/>
          <w:sz w:val="28"/>
          <w:szCs w:val="28"/>
          <w:lang w:val="uk-UA"/>
        </w:rPr>
        <w:t>Далі звернемо увагу на наступне. Якщо керівник збудував грамотну систему мотивації для співробітників, яка в цілому їх задовольняє, але для себе її не розробив, то втома і відсутність такої системи «для себе» починає призводити до того, що він перестає бути «натхненником» команди. І уся система мотивації для співробітників також починає працювати гірше [2] .</w:t>
      </w:r>
    </w:p>
    <w:p w:rsidR="00BF732D" w:rsidRPr="00BF732D" w:rsidRDefault="00BF732D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F732D">
        <w:rPr>
          <w:color w:val="000000"/>
          <w:sz w:val="28"/>
          <w:szCs w:val="28"/>
          <w:lang w:val="uk-UA"/>
        </w:rPr>
        <w:t>Flow-ефект близький до стану творчого натхнення, тобто складного комплексу інтелектуальних і емоційних компонентів. Воно проявляється у творчому піднесенні, загостренні сприймання, відтворення, зростанні потужності уяви, виникнення цілого ряду комбінацій оригінальних вражень, рішень, виявів великої кількості думок і легкості знаходження суттєвого, повній зосередженості і зростанні фізичної енергії, які призводять до великої працездатності, до психічного стану радості творчості і нечутливості до втоми.</w:t>
      </w:r>
    </w:p>
    <w:p w:rsidR="000211D3" w:rsidRPr="000211D3" w:rsidRDefault="00BF732D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BF732D">
        <w:rPr>
          <w:color w:val="000000"/>
          <w:sz w:val="28"/>
          <w:szCs w:val="28"/>
          <w:lang w:val="uk-UA"/>
        </w:rPr>
        <w:t>Треба зазначити,що управлінська діяльність керівника може досягти flow-ефекту за певних умов.</w:t>
      </w:r>
      <w:r w:rsidR="000211D3" w:rsidRPr="000211D3">
        <w:t xml:space="preserve"> </w:t>
      </w:r>
      <w:r w:rsidR="000211D3" w:rsidRPr="000211D3">
        <w:rPr>
          <w:color w:val="000000"/>
          <w:sz w:val="28"/>
          <w:szCs w:val="28"/>
          <w:lang w:val="uk-UA"/>
        </w:rPr>
        <w:t>Зокрема, ця діяльність повинна:</w:t>
      </w:r>
    </w:p>
    <w:p w:rsidR="000211D3" w:rsidRPr="000211D3" w:rsidRDefault="000211D3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 xml:space="preserve">1) мати конкретні та реалістичні цілі; </w:t>
      </w:r>
    </w:p>
    <w:p w:rsidR="000211D3" w:rsidRPr="000211D3" w:rsidRDefault="000211D3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 xml:space="preserve">2) пред’являти вимоги, які відповідають здібностям керівника. У нього повинні бути рівновага між рівнем здібностей, його компетентністю і складністю завдання; </w:t>
      </w:r>
    </w:p>
    <w:p w:rsidR="000211D3" w:rsidRPr="000211D3" w:rsidRDefault="000211D3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 xml:space="preserve">3) мати безпосередній зворотній зв’язок з продуктивністю для коригування руху до цілі; </w:t>
      </w:r>
    </w:p>
    <w:p w:rsidR="000211D3" w:rsidRPr="000211D3" w:rsidRDefault="000211D3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 xml:space="preserve">4) не обмежувати можливість концентруватися на постановці завдань; </w:t>
      </w:r>
    </w:p>
    <w:p w:rsidR="00B61629" w:rsidRDefault="000211D3" w:rsidP="000211D3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>5) мати можливість сконцентровуватися на діяльності і глибоко в неї занурюватися без відвертань і переривань[ 3].</w:t>
      </w:r>
    </w:p>
    <w:p w:rsidR="0068358A" w:rsidRDefault="000211D3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0211D3">
        <w:rPr>
          <w:color w:val="000000"/>
          <w:sz w:val="28"/>
          <w:szCs w:val="28"/>
          <w:lang w:val="uk-UA"/>
        </w:rPr>
        <w:t>Ефективність рішення залежить не тільки від його оптимальності, але й від того, як це рішення доведено до виконавців та особистих якостей керівників, досягнення ними flow-ефекту.</w:t>
      </w:r>
    </w:p>
    <w:p w:rsidR="0068358A" w:rsidRPr="0068358A" w:rsidRDefault="0068358A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r w:rsidRPr="0068358A">
        <w:rPr>
          <w:color w:val="000000"/>
          <w:sz w:val="28"/>
          <w:szCs w:val="28"/>
          <w:lang w:val="uk-UA"/>
        </w:rPr>
        <w:t>Все вищеперераховане дозволяє керівнику приймати ефективні управлінські рішення, які будуть найкращими як для діяльності організації в цілому, так і для окремого працівника. Внутрішньо мотивований керівник застосовує ефективну систему мотивації і для своїх працівників. Відомо, що грамотно мотивовані працівники,особисті цілі яких збігаються з цілями підприємства,будуть працювати з максимальною продуктивністю.</w:t>
      </w:r>
    </w:p>
    <w:p w:rsidR="0068358A" w:rsidRPr="0068358A" w:rsidRDefault="0068358A" w:rsidP="0068358A">
      <w:pPr>
        <w:widowControl w:val="0"/>
        <w:tabs>
          <w:tab w:val="left" w:pos="284"/>
          <w:tab w:val="left" w:pos="426"/>
        </w:tabs>
        <w:autoSpaceDE w:val="0"/>
        <w:autoSpaceDN w:val="0"/>
        <w:adjustRightInd w:val="0"/>
        <w:ind w:firstLine="284"/>
        <w:jc w:val="both"/>
        <w:rPr>
          <w:color w:val="000000"/>
          <w:sz w:val="28"/>
          <w:szCs w:val="28"/>
          <w:lang w:val="uk-UA"/>
        </w:rPr>
      </w:pPr>
      <w:proofErr w:type="spellStart"/>
      <w:r w:rsidRPr="0068358A">
        <w:rPr>
          <w:color w:val="000000"/>
          <w:sz w:val="28"/>
          <w:szCs w:val="28"/>
        </w:rPr>
        <w:t>Перспективним</w:t>
      </w:r>
      <w:proofErr w:type="spell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напрямком</w:t>
      </w:r>
      <w:proofErr w:type="spellEnd"/>
      <w:r w:rsidRPr="0068358A">
        <w:rPr>
          <w:color w:val="000000"/>
          <w:sz w:val="28"/>
          <w:szCs w:val="28"/>
        </w:rPr>
        <w:t xml:space="preserve"> в </w:t>
      </w:r>
      <w:proofErr w:type="spellStart"/>
      <w:r w:rsidRPr="0068358A">
        <w:rPr>
          <w:color w:val="000000"/>
          <w:sz w:val="28"/>
          <w:szCs w:val="28"/>
        </w:rPr>
        <w:t>розвитку</w:t>
      </w:r>
      <w:proofErr w:type="spell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професіоналізму</w:t>
      </w:r>
      <w:proofErr w:type="spell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керівників</w:t>
      </w:r>
      <w:proofErr w:type="spellEnd"/>
      <w:r w:rsidRPr="0068358A">
        <w:rPr>
          <w:color w:val="000000"/>
          <w:sz w:val="28"/>
          <w:szCs w:val="28"/>
        </w:rPr>
        <w:t xml:space="preserve"> є </w:t>
      </w:r>
      <w:proofErr w:type="spellStart"/>
      <w:r w:rsidRPr="0068358A">
        <w:rPr>
          <w:color w:val="000000"/>
          <w:sz w:val="28"/>
          <w:szCs w:val="28"/>
        </w:rPr>
        <w:t>формування</w:t>
      </w:r>
      <w:proofErr w:type="spellEnd"/>
      <w:r w:rsidRPr="0068358A">
        <w:rPr>
          <w:color w:val="000000"/>
          <w:sz w:val="28"/>
          <w:szCs w:val="28"/>
        </w:rPr>
        <w:t xml:space="preserve"> у них </w:t>
      </w:r>
      <w:proofErr w:type="gramStart"/>
      <w:r w:rsidRPr="0068358A">
        <w:rPr>
          <w:color w:val="000000"/>
          <w:sz w:val="28"/>
          <w:szCs w:val="28"/>
        </w:rPr>
        <w:t>позитивного</w:t>
      </w:r>
      <w:proofErr w:type="gram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емоційного</w:t>
      </w:r>
      <w:proofErr w:type="spell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ставлення</w:t>
      </w:r>
      <w:proofErr w:type="spellEnd"/>
      <w:r w:rsidRPr="0068358A">
        <w:rPr>
          <w:color w:val="000000"/>
          <w:sz w:val="28"/>
          <w:szCs w:val="28"/>
        </w:rPr>
        <w:t xml:space="preserve"> до </w:t>
      </w:r>
      <w:proofErr w:type="spellStart"/>
      <w:r w:rsidRPr="0068358A">
        <w:rPr>
          <w:color w:val="000000"/>
          <w:sz w:val="28"/>
          <w:szCs w:val="28"/>
        </w:rPr>
        <w:t>управлінської</w:t>
      </w:r>
      <w:proofErr w:type="spellEnd"/>
      <w:r w:rsidRPr="0068358A">
        <w:rPr>
          <w:color w:val="000000"/>
          <w:sz w:val="28"/>
          <w:szCs w:val="28"/>
        </w:rPr>
        <w:t xml:space="preserve"> </w:t>
      </w:r>
      <w:proofErr w:type="spellStart"/>
      <w:r w:rsidRPr="0068358A">
        <w:rPr>
          <w:color w:val="000000"/>
          <w:sz w:val="28"/>
          <w:szCs w:val="28"/>
        </w:rPr>
        <w:t>діяльності</w:t>
      </w:r>
      <w:proofErr w:type="spellEnd"/>
      <w:r w:rsidRPr="0068358A">
        <w:rPr>
          <w:color w:val="000000"/>
          <w:sz w:val="28"/>
          <w:szCs w:val="28"/>
        </w:rPr>
        <w:t>.</w:t>
      </w:r>
    </w:p>
    <w:p w:rsidR="0068358A" w:rsidRDefault="0068358A" w:rsidP="0068358A">
      <w:pPr>
        <w:tabs>
          <w:tab w:val="left" w:pos="284"/>
          <w:tab w:val="left" w:pos="426"/>
        </w:tabs>
        <w:ind w:firstLine="284"/>
        <w:rPr>
          <w:sz w:val="28"/>
          <w:szCs w:val="28"/>
          <w:lang w:val="uk-UA"/>
        </w:rPr>
      </w:pPr>
    </w:p>
    <w:p w:rsidR="00BF732D" w:rsidRPr="00BF732D" w:rsidRDefault="00BF732D" w:rsidP="0068358A">
      <w:pPr>
        <w:tabs>
          <w:tab w:val="left" w:pos="284"/>
          <w:tab w:val="left" w:pos="426"/>
        </w:tabs>
        <w:ind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BF732D">
        <w:rPr>
          <w:sz w:val="28"/>
          <w:szCs w:val="28"/>
          <w:lang w:val="uk-UA"/>
        </w:rPr>
        <w:t>Андрусь О. І. Мотивація як фактор управління діяльністю персоналу / О. І. Андрусь // Формування ринкових відносин в Україні. – 2014. – № 2. – С. 119-123.</w:t>
      </w:r>
    </w:p>
    <w:p w:rsidR="00803661" w:rsidRDefault="00BF732D" w:rsidP="0068358A">
      <w:pPr>
        <w:tabs>
          <w:tab w:val="left" w:pos="284"/>
          <w:tab w:val="left" w:pos="426"/>
        </w:tabs>
        <w:ind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</w:t>
      </w:r>
      <w:r w:rsidRPr="00BF732D">
        <w:rPr>
          <w:sz w:val="28"/>
          <w:szCs w:val="28"/>
          <w:lang w:val="uk-UA"/>
        </w:rPr>
        <w:t xml:space="preserve"> </w:t>
      </w:r>
      <w:r w:rsidR="00803661" w:rsidRPr="003277AD">
        <w:rPr>
          <w:sz w:val="28"/>
          <w:szCs w:val="28"/>
          <w:lang w:val="uk-UA"/>
        </w:rPr>
        <w:t>Винахідлива мотивація: Секрети успішних компаній [Електр</w:t>
      </w:r>
      <w:r w:rsidR="00803661">
        <w:rPr>
          <w:sz w:val="28"/>
          <w:szCs w:val="28"/>
          <w:lang w:val="uk-UA"/>
        </w:rPr>
        <w:t xml:space="preserve">онний ресурс]. – Режим доступу: </w:t>
      </w:r>
      <w:hyperlink r:id="rId6" w:history="1">
        <w:r w:rsidR="00803661" w:rsidRPr="003277AD">
          <w:rPr>
            <w:sz w:val="28"/>
            <w:szCs w:val="28"/>
          </w:rPr>
          <w:t>http://escadra.com.ua/ua/izobretatelnaya-motivaciya-sekrety-uspeshnyx-kompanij.html</w:t>
        </w:r>
      </w:hyperlink>
    </w:p>
    <w:p w:rsidR="00BF732D" w:rsidRDefault="00803661" w:rsidP="0068358A">
      <w:pPr>
        <w:tabs>
          <w:tab w:val="left" w:pos="284"/>
          <w:tab w:val="left" w:pos="426"/>
        </w:tabs>
        <w:ind w:firstLine="284"/>
        <w:rPr>
          <w:sz w:val="28"/>
          <w:szCs w:val="28"/>
          <w:lang w:val="uk-UA"/>
        </w:rPr>
      </w:pPr>
      <w:r w:rsidRPr="00BF732D">
        <w:rPr>
          <w:sz w:val="28"/>
          <w:szCs w:val="28"/>
          <w:lang w:val="uk-UA"/>
        </w:rPr>
        <w:t xml:space="preserve">3. </w:t>
      </w:r>
      <w:proofErr w:type="spellStart"/>
      <w:r w:rsidR="00BF732D" w:rsidRPr="00BF732D">
        <w:rPr>
          <w:sz w:val="28"/>
          <w:szCs w:val="28"/>
          <w:lang w:val="uk-UA"/>
        </w:rPr>
        <w:t>Жиксентмихайл</w:t>
      </w:r>
      <w:proofErr w:type="spellEnd"/>
      <w:r w:rsidR="00BF732D" w:rsidRPr="00BF732D">
        <w:rPr>
          <w:sz w:val="28"/>
          <w:szCs w:val="28"/>
          <w:lang w:val="uk-UA"/>
        </w:rPr>
        <w:t xml:space="preserve"> М. В </w:t>
      </w:r>
      <w:proofErr w:type="spellStart"/>
      <w:r w:rsidR="00BF732D" w:rsidRPr="00BF732D">
        <w:rPr>
          <w:sz w:val="28"/>
          <w:szCs w:val="28"/>
          <w:lang w:val="uk-UA"/>
        </w:rPr>
        <w:t>поисках</w:t>
      </w:r>
      <w:proofErr w:type="spellEnd"/>
      <w:r w:rsidR="00BF732D" w:rsidRPr="00BF732D">
        <w:rPr>
          <w:sz w:val="28"/>
          <w:szCs w:val="28"/>
          <w:lang w:val="uk-UA"/>
        </w:rPr>
        <w:t xml:space="preserve"> </w:t>
      </w:r>
      <w:proofErr w:type="spellStart"/>
      <w:r w:rsidR="00BF732D" w:rsidRPr="00BF732D">
        <w:rPr>
          <w:sz w:val="28"/>
          <w:szCs w:val="28"/>
          <w:lang w:val="uk-UA"/>
        </w:rPr>
        <w:t>потока</w:t>
      </w:r>
      <w:proofErr w:type="spellEnd"/>
      <w:r w:rsidR="00BF732D" w:rsidRPr="00BF732D">
        <w:rPr>
          <w:sz w:val="28"/>
          <w:szCs w:val="28"/>
          <w:lang w:val="uk-UA"/>
        </w:rPr>
        <w:t xml:space="preserve"> : </w:t>
      </w:r>
      <w:proofErr w:type="spellStart"/>
      <w:r w:rsidR="00BF732D" w:rsidRPr="00BF732D">
        <w:rPr>
          <w:sz w:val="28"/>
          <w:szCs w:val="28"/>
          <w:lang w:val="uk-UA"/>
        </w:rPr>
        <w:t>Психология</w:t>
      </w:r>
      <w:proofErr w:type="spellEnd"/>
      <w:r w:rsidR="00BF732D" w:rsidRPr="00BF732D">
        <w:rPr>
          <w:sz w:val="28"/>
          <w:szCs w:val="28"/>
          <w:lang w:val="uk-UA"/>
        </w:rPr>
        <w:t xml:space="preserve"> </w:t>
      </w:r>
      <w:proofErr w:type="spellStart"/>
      <w:r w:rsidR="00BF732D" w:rsidRPr="00BF732D">
        <w:rPr>
          <w:sz w:val="28"/>
          <w:szCs w:val="28"/>
          <w:lang w:val="uk-UA"/>
        </w:rPr>
        <w:t>включенности</w:t>
      </w:r>
      <w:proofErr w:type="spellEnd"/>
      <w:r w:rsidR="00BF732D" w:rsidRPr="00BF732D">
        <w:rPr>
          <w:sz w:val="28"/>
          <w:szCs w:val="28"/>
          <w:lang w:val="uk-UA"/>
        </w:rPr>
        <w:t xml:space="preserve"> в</w:t>
      </w:r>
      <w:r w:rsidR="00BF732D">
        <w:rPr>
          <w:sz w:val="28"/>
          <w:szCs w:val="28"/>
          <w:lang w:val="uk-UA"/>
        </w:rPr>
        <w:t xml:space="preserve"> </w:t>
      </w:r>
      <w:proofErr w:type="spellStart"/>
      <w:r w:rsidR="00BF732D" w:rsidRPr="00BF732D">
        <w:rPr>
          <w:sz w:val="28"/>
          <w:szCs w:val="28"/>
          <w:lang w:val="uk-UA"/>
        </w:rPr>
        <w:t>повседневность</w:t>
      </w:r>
      <w:proofErr w:type="spellEnd"/>
      <w:r w:rsidR="00BF732D">
        <w:rPr>
          <w:sz w:val="28"/>
          <w:szCs w:val="28"/>
          <w:lang w:val="uk-UA"/>
        </w:rPr>
        <w:t xml:space="preserve"> </w:t>
      </w:r>
      <w:r w:rsidR="00BF732D" w:rsidRPr="00BF732D">
        <w:rPr>
          <w:sz w:val="28"/>
          <w:szCs w:val="28"/>
          <w:lang w:val="uk-UA"/>
        </w:rPr>
        <w:t xml:space="preserve"> / </w:t>
      </w:r>
      <w:proofErr w:type="spellStart"/>
      <w:r w:rsidR="00BF732D" w:rsidRPr="00BF732D">
        <w:rPr>
          <w:sz w:val="28"/>
          <w:szCs w:val="28"/>
          <w:lang w:val="uk-UA"/>
        </w:rPr>
        <w:t>Михай</w:t>
      </w:r>
      <w:proofErr w:type="spellEnd"/>
      <w:r w:rsidR="00BF732D" w:rsidRPr="00BF732D">
        <w:rPr>
          <w:sz w:val="28"/>
          <w:szCs w:val="28"/>
          <w:lang w:val="uk-UA"/>
        </w:rPr>
        <w:t xml:space="preserve"> </w:t>
      </w:r>
      <w:proofErr w:type="spellStart"/>
      <w:r w:rsidR="00BF732D" w:rsidRPr="00BF732D">
        <w:rPr>
          <w:sz w:val="28"/>
          <w:szCs w:val="28"/>
          <w:lang w:val="uk-UA"/>
        </w:rPr>
        <w:t>Жиксентмихайл</w:t>
      </w:r>
      <w:proofErr w:type="spellEnd"/>
      <w:r w:rsidR="00BF732D" w:rsidRPr="00BF732D">
        <w:rPr>
          <w:sz w:val="28"/>
          <w:szCs w:val="28"/>
          <w:lang w:val="uk-UA"/>
        </w:rPr>
        <w:t xml:space="preserve">; пер с англ. – М.: </w:t>
      </w:r>
      <w:proofErr w:type="spellStart"/>
      <w:r w:rsidR="00BF732D" w:rsidRPr="00BF732D">
        <w:rPr>
          <w:sz w:val="28"/>
          <w:szCs w:val="28"/>
          <w:lang w:val="uk-UA"/>
        </w:rPr>
        <w:t>Альтика</w:t>
      </w:r>
      <w:proofErr w:type="spellEnd"/>
      <w:r w:rsidR="00BF732D" w:rsidRPr="00BF732D">
        <w:rPr>
          <w:sz w:val="28"/>
          <w:szCs w:val="28"/>
          <w:lang w:val="uk-UA"/>
        </w:rPr>
        <w:t xml:space="preserve"> </w:t>
      </w:r>
      <w:proofErr w:type="spellStart"/>
      <w:r w:rsidR="00BF732D" w:rsidRPr="00BF732D">
        <w:rPr>
          <w:sz w:val="28"/>
          <w:szCs w:val="28"/>
          <w:lang w:val="uk-UA"/>
        </w:rPr>
        <w:t>конфикшн</w:t>
      </w:r>
      <w:proofErr w:type="spellEnd"/>
      <w:r w:rsidR="00BF732D" w:rsidRPr="00BF732D">
        <w:rPr>
          <w:sz w:val="28"/>
          <w:szCs w:val="28"/>
          <w:lang w:val="uk-UA"/>
        </w:rPr>
        <w:t>, 2011. – 194 с.</w:t>
      </w:r>
    </w:p>
    <w:p w:rsidR="003B198D" w:rsidRDefault="003B198D" w:rsidP="0068358A">
      <w:pPr>
        <w:tabs>
          <w:tab w:val="left" w:pos="284"/>
          <w:tab w:val="left" w:pos="426"/>
        </w:tabs>
        <w:ind w:firstLine="284"/>
      </w:pPr>
    </w:p>
    <w:sectPr w:rsidR="003B198D" w:rsidSect="00BF732D"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DB6A7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74D"/>
    <w:rsid w:val="000211D3"/>
    <w:rsid w:val="003B198D"/>
    <w:rsid w:val="00413073"/>
    <w:rsid w:val="0068358A"/>
    <w:rsid w:val="00803661"/>
    <w:rsid w:val="00AA13AE"/>
    <w:rsid w:val="00B61629"/>
    <w:rsid w:val="00B8574D"/>
    <w:rsid w:val="00BF732D"/>
    <w:rsid w:val="00C6122A"/>
    <w:rsid w:val="00CF3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6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6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scadra.com.ua/ua/izobretatelnaya-motivaciya-sekrety-uspeshnyx-kompanij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8</cp:revision>
  <dcterms:created xsi:type="dcterms:W3CDTF">2016-11-06T15:21:00Z</dcterms:created>
  <dcterms:modified xsi:type="dcterms:W3CDTF">2018-05-21T09:38:00Z</dcterms:modified>
</cp:coreProperties>
</file>