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4B8B4" w14:textId="6F573D94" w:rsidR="009F4867" w:rsidRDefault="007E124B" w:rsidP="00A15EC9">
      <w:pPr>
        <w:spacing w:after="0" w:line="240" w:lineRule="auto"/>
        <w:jc w:val="center"/>
        <w:rPr>
          <w:rFonts w:ascii="Times New Roman" w:hAnsi="Times New Roman" w:cs="Times New Roman"/>
          <w:b/>
          <w:bCs/>
          <w:sz w:val="28"/>
          <w:szCs w:val="28"/>
          <w:lang w:val="uk-UA"/>
        </w:rPr>
      </w:pPr>
      <w:r w:rsidRPr="007E124B">
        <w:t>https://conf.scnchub.com/index.php/ICCM/ICCM-2026/paper/view/1145</w:t>
      </w:r>
    </w:p>
    <w:p w14:paraId="217250D8" w14:textId="77777777" w:rsidR="009F4867" w:rsidRDefault="009F4867" w:rsidP="00A15EC9">
      <w:pPr>
        <w:spacing w:after="0" w:line="240" w:lineRule="auto"/>
        <w:jc w:val="center"/>
        <w:rPr>
          <w:rFonts w:ascii="Times New Roman" w:hAnsi="Times New Roman" w:cs="Times New Roman"/>
          <w:b/>
          <w:bCs/>
          <w:sz w:val="28"/>
          <w:szCs w:val="28"/>
          <w:lang w:val="uk-UA"/>
        </w:rPr>
      </w:pPr>
    </w:p>
    <w:p w14:paraId="50449F1B" w14:textId="60FE93A0" w:rsidR="00D57004" w:rsidRPr="002F32B5" w:rsidRDefault="00F420BD" w:rsidP="00A15EC9">
      <w:pPr>
        <w:spacing w:after="0" w:line="240" w:lineRule="auto"/>
        <w:jc w:val="center"/>
        <w:rPr>
          <w:rFonts w:ascii="Times New Roman" w:hAnsi="Times New Roman" w:cs="Times New Roman"/>
          <w:b/>
          <w:bCs/>
          <w:sz w:val="28"/>
          <w:szCs w:val="28"/>
          <w:lang w:val="uk-UA"/>
        </w:rPr>
      </w:pPr>
      <w:r w:rsidRPr="002F32B5">
        <w:rPr>
          <w:rFonts w:ascii="Times New Roman" w:hAnsi="Times New Roman" w:cs="Times New Roman"/>
          <w:b/>
          <w:bCs/>
          <w:sz w:val="28"/>
          <w:szCs w:val="28"/>
        </w:rPr>
        <w:t>DIGITAL TOOLS FOR DEVELOPING LEADERSHIP POTENTIAL IN THE CORPORATE GOVERNANCE SYSTEM OF INNOVATIVE COMPANIES</w:t>
      </w:r>
    </w:p>
    <w:p w14:paraId="0469AD9B" w14:textId="77777777" w:rsidR="00F420BD" w:rsidRPr="0038499E" w:rsidRDefault="00F420BD" w:rsidP="00A15EC9">
      <w:pPr>
        <w:spacing w:after="0" w:line="240" w:lineRule="auto"/>
        <w:jc w:val="center"/>
        <w:rPr>
          <w:rFonts w:ascii="Times New Roman" w:hAnsi="Times New Roman" w:cs="Times New Roman"/>
          <w:sz w:val="28"/>
          <w:szCs w:val="28"/>
          <w:lang w:val="uk-UA"/>
        </w:rPr>
      </w:pPr>
    </w:p>
    <w:p w14:paraId="384B77F9" w14:textId="77777777" w:rsidR="002D444E" w:rsidRDefault="001738F9" w:rsidP="00A15EC9">
      <w:pPr>
        <w:widowControl w:val="0"/>
        <w:spacing w:after="0" w:line="240" w:lineRule="auto"/>
        <w:jc w:val="center"/>
        <w:rPr>
          <w:rFonts w:ascii="Times New Roman" w:hAnsi="Times New Roman" w:cs="Times New Roman"/>
          <w:b/>
          <w:bCs/>
          <w:color w:val="000000"/>
          <w:sz w:val="28"/>
          <w:szCs w:val="28"/>
          <w:lang w:val="uk-UA"/>
        </w:rPr>
      </w:pPr>
      <w:r w:rsidRPr="0038499E">
        <w:rPr>
          <w:rFonts w:ascii="Times New Roman" w:hAnsi="Times New Roman" w:cs="Times New Roman"/>
          <w:b/>
          <w:bCs/>
          <w:color w:val="000000"/>
          <w:sz w:val="28"/>
          <w:szCs w:val="28"/>
          <w:lang w:val="uk-UA"/>
        </w:rPr>
        <w:t>Anton Nesterenko</w:t>
      </w:r>
      <w:r w:rsidRPr="0038499E">
        <w:rPr>
          <w:rFonts w:ascii="Times New Roman" w:hAnsi="Times New Roman" w:cs="Times New Roman"/>
          <w:b/>
          <w:bCs/>
          <w:color w:val="000000"/>
          <w:sz w:val="28"/>
          <w:szCs w:val="28"/>
        </w:rPr>
        <w:t xml:space="preserve">, </w:t>
      </w:r>
    </w:p>
    <w:p w14:paraId="75B33CE4" w14:textId="2F0A46D0" w:rsidR="001738F9" w:rsidRPr="0038499E" w:rsidRDefault="001738F9" w:rsidP="00A15EC9">
      <w:pPr>
        <w:widowControl w:val="0"/>
        <w:spacing w:after="0" w:line="240" w:lineRule="auto"/>
        <w:jc w:val="center"/>
        <w:rPr>
          <w:rFonts w:ascii="Times New Roman" w:hAnsi="Times New Roman" w:cs="Times New Roman"/>
          <w:color w:val="000000"/>
          <w:sz w:val="28"/>
          <w:szCs w:val="28"/>
          <w:lang w:val="uk-UA"/>
        </w:rPr>
      </w:pPr>
      <w:r w:rsidRPr="0038499E">
        <w:rPr>
          <w:rFonts w:ascii="Times New Roman" w:hAnsi="Times New Roman" w:cs="Times New Roman"/>
          <w:sz w:val="28"/>
          <w:szCs w:val="28"/>
        </w:rPr>
        <w:t>PhD Student, Poltava State Agrarian University</w:t>
      </w:r>
      <w:r w:rsidRPr="0038499E">
        <w:rPr>
          <w:rFonts w:ascii="Times New Roman" w:hAnsi="Times New Roman" w:cs="Times New Roman"/>
          <w:color w:val="000000"/>
          <w:sz w:val="28"/>
          <w:szCs w:val="28"/>
        </w:rPr>
        <w:t>,</w:t>
      </w:r>
      <w:r w:rsidRPr="0038499E">
        <w:rPr>
          <w:rFonts w:ascii="Times New Roman" w:hAnsi="Times New Roman" w:cs="Times New Roman"/>
          <w:color w:val="000000"/>
          <w:sz w:val="28"/>
          <w:szCs w:val="28"/>
          <w:lang w:val="uk-UA"/>
        </w:rPr>
        <w:t xml:space="preserve"> </w:t>
      </w:r>
      <w:r w:rsidRPr="0038499E">
        <w:rPr>
          <w:rFonts w:ascii="Times New Roman" w:hAnsi="Times New Roman" w:cs="Times New Roman"/>
          <w:color w:val="000000"/>
          <w:sz w:val="28"/>
          <w:szCs w:val="28"/>
        </w:rPr>
        <w:t>Ukraine, Poltava</w:t>
      </w:r>
    </w:p>
    <w:p w14:paraId="7833F0E2" w14:textId="4ABD4175" w:rsidR="001738F9" w:rsidRPr="0038499E" w:rsidRDefault="00FD5F3E" w:rsidP="00A15EC9">
      <w:pPr>
        <w:widowControl w:val="0"/>
        <w:spacing w:after="0" w:line="240" w:lineRule="auto"/>
        <w:jc w:val="center"/>
        <w:rPr>
          <w:rFonts w:ascii="Times New Roman" w:hAnsi="Times New Roman" w:cs="Times New Roman"/>
          <w:color w:val="2D2C37"/>
          <w:sz w:val="28"/>
          <w:szCs w:val="28"/>
          <w:shd w:val="clear" w:color="auto" w:fill="FFFFFF"/>
        </w:rPr>
      </w:pPr>
      <w:r w:rsidRPr="00FD5F3E">
        <w:rPr>
          <w:rFonts w:ascii="Times New Roman" w:hAnsi="Times New Roman" w:cs="Times New Roman"/>
          <w:sz w:val="28"/>
          <w:szCs w:val="28"/>
        </w:rPr>
        <w:t>ORCID ID: https://orcid.org/</w:t>
      </w:r>
      <w:r w:rsidR="001738F9" w:rsidRPr="0038499E">
        <w:rPr>
          <w:rFonts w:ascii="Times New Roman" w:hAnsi="Times New Roman" w:cs="Times New Roman"/>
          <w:color w:val="2D2C37"/>
          <w:sz w:val="28"/>
          <w:szCs w:val="28"/>
          <w:shd w:val="clear" w:color="auto" w:fill="FFFFFF"/>
        </w:rPr>
        <w:t>0009-0007-3124-1498</w:t>
      </w:r>
    </w:p>
    <w:p w14:paraId="7BAD0A41" w14:textId="77777777" w:rsidR="001738F9" w:rsidRPr="0038499E" w:rsidRDefault="001738F9" w:rsidP="00A15EC9">
      <w:pPr>
        <w:widowControl w:val="0"/>
        <w:spacing w:after="0" w:line="240" w:lineRule="auto"/>
        <w:jc w:val="center"/>
        <w:rPr>
          <w:rFonts w:ascii="Times New Roman" w:hAnsi="Times New Roman" w:cs="Times New Roman"/>
          <w:sz w:val="28"/>
          <w:szCs w:val="28"/>
          <w:lang w:val="uk-UA"/>
        </w:rPr>
      </w:pPr>
      <w:hyperlink r:id="rId6" w:history="1">
        <w:r w:rsidRPr="0038499E">
          <w:rPr>
            <w:rStyle w:val="af"/>
            <w:rFonts w:ascii="Times New Roman" w:hAnsi="Times New Roman" w:cs="Times New Roman"/>
            <w:sz w:val="28"/>
            <w:szCs w:val="28"/>
            <w:shd w:val="clear" w:color="auto" w:fill="FFFFFF"/>
          </w:rPr>
          <w:t>anton.nesterenko@pdau.edu.ua</w:t>
        </w:r>
      </w:hyperlink>
    </w:p>
    <w:p w14:paraId="349B13FA" w14:textId="4683A6F7" w:rsidR="0038499E" w:rsidRPr="0038499E" w:rsidRDefault="00C51598" w:rsidP="00A15EC9">
      <w:pPr>
        <w:spacing w:after="0" w:line="240" w:lineRule="auto"/>
        <w:jc w:val="center"/>
        <w:rPr>
          <w:rFonts w:ascii="Times New Roman" w:hAnsi="Times New Roman" w:cs="Times New Roman"/>
          <w:b/>
          <w:color w:val="000000"/>
          <w:sz w:val="28"/>
          <w:szCs w:val="28"/>
          <w:lang w:eastAsia="ru-RU"/>
        </w:rPr>
      </w:pPr>
      <w:r w:rsidRPr="00C51598">
        <w:rPr>
          <w:rFonts w:ascii="Times New Roman" w:hAnsi="Times New Roman" w:cs="Times New Roman"/>
          <w:b/>
          <w:bCs/>
          <w:color w:val="000000"/>
          <w:sz w:val="28"/>
          <w:szCs w:val="28"/>
        </w:rPr>
        <w:t>Iryna</w:t>
      </w:r>
      <w:r w:rsidR="0038499E" w:rsidRPr="0038499E">
        <w:rPr>
          <w:rFonts w:ascii="Times New Roman" w:hAnsi="Times New Roman" w:cs="Times New Roman"/>
          <w:b/>
          <w:color w:val="000000"/>
          <w:sz w:val="28"/>
          <w:szCs w:val="28"/>
        </w:rPr>
        <w:t xml:space="preserve"> Hnatenko,</w:t>
      </w:r>
    </w:p>
    <w:p w14:paraId="3C5A2D9F" w14:textId="7F7A976C" w:rsidR="0038499E" w:rsidRDefault="00E016AB" w:rsidP="00A15EC9">
      <w:pPr>
        <w:tabs>
          <w:tab w:val="left" w:pos="851"/>
        </w:tabs>
        <w:spacing w:after="0" w:line="240" w:lineRule="auto"/>
        <w:jc w:val="center"/>
        <w:rPr>
          <w:rFonts w:ascii="Times New Roman" w:hAnsi="Times New Roman" w:cs="Times New Roman"/>
          <w:color w:val="000000"/>
          <w:sz w:val="28"/>
          <w:szCs w:val="28"/>
          <w:lang w:val="uk-UA"/>
        </w:rPr>
      </w:pPr>
      <w:r w:rsidRPr="0038499E">
        <w:rPr>
          <w:rFonts w:ascii="Times New Roman" w:hAnsi="Times New Roman" w:cs="Times New Roman"/>
          <w:color w:val="000000" w:themeColor="text1"/>
          <w:sz w:val="28"/>
          <w:szCs w:val="28"/>
          <w:lang w:val="en-US"/>
        </w:rPr>
        <w:t xml:space="preserve">Doctor of Sciences (Economics), </w:t>
      </w:r>
      <w:r w:rsidR="0038499E" w:rsidRPr="0038499E">
        <w:rPr>
          <w:rFonts w:ascii="Times New Roman" w:hAnsi="Times New Roman" w:cs="Times New Roman"/>
          <w:color w:val="000000"/>
          <w:sz w:val="28"/>
          <w:szCs w:val="28"/>
        </w:rPr>
        <w:t>Professor</w:t>
      </w:r>
      <w:r w:rsidR="0038499E" w:rsidRPr="0038499E">
        <w:rPr>
          <w:rFonts w:ascii="Times New Roman" w:hAnsi="Times New Roman" w:cs="Times New Roman"/>
          <w:color w:val="000000"/>
          <w:sz w:val="28"/>
          <w:szCs w:val="28"/>
          <w:lang w:eastAsia="ru-RU"/>
        </w:rPr>
        <w:t xml:space="preserve">, </w:t>
      </w:r>
      <w:r w:rsidR="0038499E" w:rsidRPr="0038499E">
        <w:rPr>
          <w:rFonts w:ascii="Times New Roman" w:hAnsi="Times New Roman" w:cs="Times New Roman"/>
          <w:color w:val="000000"/>
          <w:sz w:val="28"/>
          <w:szCs w:val="28"/>
        </w:rPr>
        <w:t xml:space="preserve">Professor of the Department of </w:t>
      </w:r>
      <w:r w:rsidRPr="00E016AB">
        <w:rPr>
          <w:rFonts w:ascii="Times New Roman" w:hAnsi="Times New Roman" w:cs="Times New Roman"/>
          <w:color w:val="000000" w:themeColor="text1"/>
          <w:sz w:val="28"/>
          <w:szCs w:val="28"/>
          <w:lang w:val="uk-UA"/>
        </w:rPr>
        <w:t>Management</w:t>
      </w:r>
      <w:r w:rsidR="0038499E" w:rsidRPr="0038499E">
        <w:rPr>
          <w:rFonts w:ascii="Times New Roman" w:hAnsi="Times New Roman" w:cs="Times New Roman"/>
          <w:color w:val="000000"/>
          <w:sz w:val="28"/>
          <w:szCs w:val="28"/>
        </w:rPr>
        <w:t>, Kyiv National University of Technologies and Design</w:t>
      </w:r>
      <w:r w:rsidR="002D444E" w:rsidRPr="0038499E">
        <w:rPr>
          <w:rFonts w:ascii="Times New Roman" w:hAnsi="Times New Roman" w:cs="Times New Roman"/>
          <w:color w:val="000000"/>
          <w:sz w:val="28"/>
          <w:szCs w:val="28"/>
        </w:rPr>
        <w:t>, Ukraine</w:t>
      </w:r>
      <w:r w:rsidR="0038499E" w:rsidRPr="0038499E">
        <w:rPr>
          <w:rFonts w:ascii="Times New Roman" w:hAnsi="Times New Roman" w:cs="Times New Roman"/>
          <w:color w:val="000000"/>
          <w:sz w:val="28"/>
          <w:szCs w:val="28"/>
        </w:rPr>
        <w:t>, Kyiv</w:t>
      </w:r>
    </w:p>
    <w:p w14:paraId="417ECCD0" w14:textId="7B617D80" w:rsidR="0038621C" w:rsidRDefault="0038621C" w:rsidP="00A15EC9">
      <w:pPr>
        <w:widowControl w:val="0"/>
        <w:spacing w:after="0" w:line="240" w:lineRule="auto"/>
        <w:contextualSpacing/>
        <w:mirrorIndents/>
        <w:jc w:val="center"/>
        <w:rPr>
          <w:rFonts w:ascii="Times New Roman" w:hAnsi="Times New Roman" w:cs="Times New Roman"/>
          <w:bCs/>
          <w:color w:val="000000" w:themeColor="text1"/>
          <w:sz w:val="28"/>
          <w:szCs w:val="28"/>
          <w:lang w:val="en-US"/>
        </w:rPr>
      </w:pPr>
      <w:r w:rsidRPr="00FD5F3E">
        <w:rPr>
          <w:rFonts w:ascii="Times New Roman" w:hAnsi="Times New Roman" w:cs="Times New Roman"/>
          <w:sz w:val="28"/>
          <w:szCs w:val="28"/>
        </w:rPr>
        <w:t xml:space="preserve">ORCID ID: </w:t>
      </w:r>
      <w:hyperlink r:id="rId7" w:history="1">
        <w:r w:rsidRPr="00B832EA">
          <w:rPr>
            <w:rStyle w:val="af"/>
            <w:rFonts w:ascii="Times New Roman" w:hAnsi="Times New Roman" w:cs="Times New Roman"/>
            <w:bCs/>
            <w:sz w:val="28"/>
            <w:szCs w:val="28"/>
            <w:lang w:val="uk-UA"/>
          </w:rPr>
          <w:t>https://orcid.org/0000-0002-0254-2466</w:t>
        </w:r>
      </w:hyperlink>
    </w:p>
    <w:p w14:paraId="6116242E" w14:textId="2A0FF6E1" w:rsidR="00FD5F3E" w:rsidRDefault="00AB2D2B" w:rsidP="00A15EC9">
      <w:pPr>
        <w:widowControl w:val="0"/>
        <w:spacing w:after="0" w:line="240" w:lineRule="auto"/>
        <w:contextualSpacing/>
        <w:mirrorIndents/>
        <w:jc w:val="center"/>
        <w:rPr>
          <w:rFonts w:ascii="Times New Roman" w:hAnsi="Times New Roman" w:cs="Times New Roman"/>
          <w:bCs/>
          <w:color w:val="000000" w:themeColor="text1"/>
          <w:sz w:val="28"/>
          <w:szCs w:val="28"/>
          <w:lang w:val="en-US"/>
        </w:rPr>
      </w:pPr>
      <w:hyperlink r:id="rId8" w:history="1">
        <w:r w:rsidRPr="00B832EA">
          <w:rPr>
            <w:rStyle w:val="af"/>
            <w:rFonts w:ascii="Times New Roman" w:hAnsi="Times New Roman" w:cs="Times New Roman"/>
            <w:bCs/>
            <w:sz w:val="28"/>
            <w:szCs w:val="28"/>
            <w:lang w:val="uk-UA"/>
          </w:rPr>
          <w:t>q17208@ukr.net</w:t>
        </w:r>
      </w:hyperlink>
    </w:p>
    <w:p w14:paraId="04280B24" w14:textId="59851226" w:rsidR="00993E0E" w:rsidRPr="0038499E" w:rsidRDefault="00993E0E" w:rsidP="00A15EC9">
      <w:pPr>
        <w:widowControl w:val="0"/>
        <w:spacing w:after="0" w:line="240" w:lineRule="auto"/>
        <w:contextualSpacing/>
        <w:mirrorIndents/>
        <w:jc w:val="center"/>
        <w:rPr>
          <w:rFonts w:ascii="Times New Roman" w:hAnsi="Times New Roman" w:cs="Times New Roman"/>
          <w:b/>
          <w:color w:val="000000" w:themeColor="text1"/>
          <w:sz w:val="28"/>
          <w:szCs w:val="28"/>
          <w:lang w:val="en-US"/>
        </w:rPr>
      </w:pPr>
      <w:r w:rsidRPr="0038499E">
        <w:rPr>
          <w:rFonts w:ascii="Times New Roman" w:hAnsi="Times New Roman" w:cs="Times New Roman"/>
          <w:b/>
          <w:color w:val="000000" w:themeColor="text1"/>
          <w:sz w:val="28"/>
          <w:szCs w:val="28"/>
        </w:rPr>
        <w:t>М</w:t>
      </w:r>
      <w:r w:rsidRPr="0038499E">
        <w:rPr>
          <w:rFonts w:ascii="Times New Roman" w:hAnsi="Times New Roman" w:cs="Times New Roman"/>
          <w:b/>
          <w:color w:val="000000" w:themeColor="text1"/>
          <w:sz w:val="28"/>
          <w:szCs w:val="28"/>
          <w:lang w:val="en-US"/>
        </w:rPr>
        <w:t>ykola Zos-Kior,</w:t>
      </w:r>
    </w:p>
    <w:p w14:paraId="3528B53A" w14:textId="73670F35" w:rsidR="007764B4" w:rsidRPr="0038499E" w:rsidRDefault="00993E0E" w:rsidP="00A15EC9">
      <w:pPr>
        <w:widowControl w:val="0"/>
        <w:spacing w:after="0" w:line="240" w:lineRule="auto"/>
        <w:contextualSpacing/>
        <w:mirrorIndents/>
        <w:jc w:val="center"/>
        <w:rPr>
          <w:rFonts w:ascii="Times New Roman" w:hAnsi="Times New Roman" w:cs="Times New Roman"/>
          <w:sz w:val="28"/>
          <w:szCs w:val="28"/>
          <w:lang w:val="uk-UA"/>
        </w:rPr>
      </w:pPr>
      <w:r w:rsidRPr="0038499E">
        <w:rPr>
          <w:rFonts w:ascii="Times New Roman" w:hAnsi="Times New Roman" w:cs="Times New Roman"/>
          <w:color w:val="000000" w:themeColor="text1"/>
          <w:sz w:val="28"/>
          <w:szCs w:val="28"/>
          <w:lang w:val="en-US"/>
        </w:rPr>
        <w:t>Doctor of Sciences (Economics), Professor</w:t>
      </w:r>
      <w:r w:rsidRPr="0038499E">
        <w:rPr>
          <w:rFonts w:ascii="Times New Roman" w:hAnsi="Times New Roman" w:cs="Times New Roman"/>
          <w:color w:val="000000" w:themeColor="text1"/>
          <w:sz w:val="28"/>
          <w:szCs w:val="28"/>
          <w:lang w:val="uk-UA"/>
        </w:rPr>
        <w:t>,</w:t>
      </w:r>
      <w:r w:rsidR="00E016AB">
        <w:rPr>
          <w:rFonts w:ascii="Times New Roman" w:hAnsi="Times New Roman" w:cs="Times New Roman"/>
          <w:color w:val="000000" w:themeColor="text1"/>
          <w:sz w:val="28"/>
          <w:szCs w:val="28"/>
          <w:lang w:val="uk-UA"/>
        </w:rPr>
        <w:t xml:space="preserve"> </w:t>
      </w:r>
      <w:r w:rsidR="00E016AB" w:rsidRPr="00E016AB">
        <w:rPr>
          <w:rFonts w:ascii="Times New Roman" w:hAnsi="Times New Roman" w:cs="Times New Roman"/>
          <w:color w:val="000000" w:themeColor="text1"/>
          <w:sz w:val="28"/>
          <w:szCs w:val="28"/>
          <w:lang w:val="uk-UA"/>
        </w:rPr>
        <w:t>Professor of I. Markina Department of Management,</w:t>
      </w:r>
      <w:r w:rsidR="00E016AB">
        <w:rPr>
          <w:rFonts w:ascii="Times New Roman" w:hAnsi="Times New Roman" w:cs="Times New Roman"/>
          <w:color w:val="000000" w:themeColor="text1"/>
          <w:sz w:val="28"/>
          <w:szCs w:val="28"/>
          <w:lang w:val="uk-UA"/>
        </w:rPr>
        <w:t xml:space="preserve"> </w:t>
      </w:r>
      <w:r w:rsidRPr="0038499E">
        <w:rPr>
          <w:rFonts w:ascii="Times New Roman" w:hAnsi="Times New Roman" w:cs="Times New Roman"/>
          <w:color w:val="000000" w:themeColor="text1"/>
          <w:sz w:val="28"/>
          <w:szCs w:val="28"/>
          <w:lang w:val="en-US"/>
        </w:rPr>
        <w:t>Poltava State Agrarian University</w:t>
      </w:r>
      <w:r w:rsidR="00A15EC9" w:rsidRPr="0038499E">
        <w:rPr>
          <w:rFonts w:ascii="Times New Roman" w:hAnsi="Times New Roman" w:cs="Times New Roman"/>
          <w:color w:val="000000" w:themeColor="text1"/>
          <w:sz w:val="28"/>
          <w:szCs w:val="28"/>
          <w:lang w:val="en-US"/>
        </w:rPr>
        <w:t>, Ukraine</w:t>
      </w:r>
      <w:r w:rsidRPr="0038499E">
        <w:rPr>
          <w:rFonts w:ascii="Times New Roman" w:hAnsi="Times New Roman" w:cs="Times New Roman"/>
          <w:color w:val="000000" w:themeColor="text1"/>
          <w:sz w:val="28"/>
          <w:szCs w:val="28"/>
          <w:lang w:val="en-US"/>
        </w:rPr>
        <w:t>, Poltava</w:t>
      </w:r>
    </w:p>
    <w:p w14:paraId="475AC4CE" w14:textId="77777777" w:rsidR="00FD5F3E" w:rsidRDefault="00FD5F3E" w:rsidP="00A15EC9">
      <w:pPr>
        <w:spacing w:after="0" w:line="240" w:lineRule="auto"/>
        <w:jc w:val="center"/>
        <w:rPr>
          <w:rFonts w:ascii="Times New Roman" w:hAnsi="Times New Roman" w:cs="Times New Roman"/>
          <w:sz w:val="28"/>
          <w:szCs w:val="28"/>
          <w:lang w:val="uk-UA"/>
        </w:rPr>
      </w:pPr>
      <w:r w:rsidRPr="00FD5F3E">
        <w:rPr>
          <w:rFonts w:ascii="Times New Roman" w:hAnsi="Times New Roman" w:cs="Times New Roman"/>
          <w:sz w:val="28"/>
          <w:szCs w:val="28"/>
        </w:rPr>
        <w:t xml:space="preserve">ORCID ID: https://orcid.org/0000-0001-8330-2909 </w:t>
      </w:r>
    </w:p>
    <w:p w14:paraId="24931820" w14:textId="5749748A" w:rsidR="00786EFD" w:rsidRDefault="00FD5F3E" w:rsidP="00A15EC9">
      <w:pPr>
        <w:spacing w:after="0" w:line="240" w:lineRule="auto"/>
        <w:jc w:val="center"/>
        <w:rPr>
          <w:rFonts w:ascii="Times New Roman" w:hAnsi="Times New Roman" w:cs="Times New Roman"/>
          <w:sz w:val="28"/>
          <w:szCs w:val="28"/>
          <w:lang w:val="uk-UA"/>
        </w:rPr>
      </w:pPr>
      <w:hyperlink r:id="rId9" w:history="1">
        <w:r w:rsidRPr="00B832EA">
          <w:rPr>
            <w:rStyle w:val="af"/>
            <w:rFonts w:ascii="Times New Roman" w:hAnsi="Times New Roman" w:cs="Times New Roman"/>
            <w:sz w:val="28"/>
            <w:szCs w:val="28"/>
          </w:rPr>
          <w:t>mykola.zos-kior@pdau.edu.ua</w:t>
        </w:r>
      </w:hyperlink>
    </w:p>
    <w:p w14:paraId="4016C9A9" w14:textId="77777777" w:rsidR="00C86739" w:rsidRPr="00C86739" w:rsidRDefault="00C86739" w:rsidP="0038499E">
      <w:pPr>
        <w:spacing w:after="0" w:line="240" w:lineRule="auto"/>
        <w:jc w:val="center"/>
        <w:rPr>
          <w:rFonts w:ascii="Times New Roman" w:hAnsi="Times New Roman" w:cs="Times New Roman"/>
          <w:sz w:val="28"/>
          <w:szCs w:val="28"/>
          <w:lang w:val="uk-UA"/>
        </w:rPr>
      </w:pPr>
    </w:p>
    <w:p w14:paraId="307A2E03" w14:textId="77777777" w:rsidR="00972CBF" w:rsidRPr="002F32B5" w:rsidRDefault="00972CBF" w:rsidP="00972CBF">
      <w:pPr>
        <w:spacing w:after="0" w:line="240" w:lineRule="auto"/>
        <w:ind w:firstLine="567"/>
        <w:jc w:val="both"/>
        <w:rPr>
          <w:rFonts w:ascii="Times New Roman" w:hAnsi="Times New Roman" w:cs="Times New Roman"/>
          <w:sz w:val="28"/>
          <w:szCs w:val="28"/>
          <w:lang w:val="uk-UA"/>
        </w:rPr>
      </w:pPr>
      <w:r w:rsidRPr="002F32B5">
        <w:rPr>
          <w:rFonts w:ascii="Times New Roman" w:hAnsi="Times New Roman" w:cs="Times New Roman"/>
          <w:sz w:val="28"/>
          <w:szCs w:val="28"/>
          <w:lang w:val="uk-UA"/>
        </w:rPr>
        <w:t>Innovative companies operate in an environment where a management decision quickly loses its value if it is made late, is not based on data, or is not supported by the team. That is why in the corporate governance system, not only the formal distribution of powers is becoming increasingly important, but also the leadership potential of the manager, his ability to see the future, coordinate people, maintain the pace of change, and ensure results in a complex digital environment. The relevance of the topic is due to the fact that leadership development today is increasingly closely linked not only to the personal qualities of the manager, but also to what digital tools he uses in daily management practice. In the activities of innovative companies, this is no longer abstract digitalization, but the specific use of Power BI, Tableau, Salesforce, SAP S/4HANA, Microsoft Teams, Slack, Jira, Asana, Trello, Notion, Monday.com, Miro and other platforms that change the methods of analysis, communication, planning and control. In this context, digital solutions become not only technical support for business, but a real environment for the formation of a modern leadership style.</w:t>
      </w:r>
    </w:p>
    <w:p w14:paraId="5A43F7D7" w14:textId="04531A52" w:rsidR="00972CBF" w:rsidRPr="002F32B5" w:rsidRDefault="00972CBF" w:rsidP="00972CBF">
      <w:pPr>
        <w:spacing w:after="0" w:line="240" w:lineRule="auto"/>
        <w:ind w:firstLine="567"/>
        <w:jc w:val="both"/>
        <w:rPr>
          <w:rFonts w:ascii="Times New Roman" w:hAnsi="Times New Roman" w:cs="Times New Roman"/>
          <w:sz w:val="28"/>
          <w:szCs w:val="28"/>
          <w:lang w:val="uk-UA"/>
        </w:rPr>
      </w:pPr>
      <w:r w:rsidRPr="002F32B5">
        <w:rPr>
          <w:rFonts w:ascii="Times New Roman" w:hAnsi="Times New Roman" w:cs="Times New Roman"/>
          <w:sz w:val="28"/>
          <w:szCs w:val="28"/>
          <w:lang w:val="uk-UA"/>
        </w:rPr>
        <w:t>The purpose of the study is to determine the role of digital tools in the development of leadership potential in the corporate governance system of innovative companies. The object of the study is the process of forming and developing leadership potential in the management system of innovation</w:t>
      </w:r>
      <w:r w:rsidR="002F32B5" w:rsidRPr="002F32B5">
        <w:rPr>
          <w:rFonts w:ascii="Times New Roman" w:hAnsi="Times New Roman" w:cs="Times New Roman"/>
          <w:sz w:val="28"/>
          <w:szCs w:val="28"/>
          <w:lang w:val="uk-UA"/>
        </w:rPr>
        <w:t>–</w:t>
      </w:r>
      <w:r w:rsidRPr="002F32B5">
        <w:rPr>
          <w:rFonts w:ascii="Times New Roman" w:hAnsi="Times New Roman" w:cs="Times New Roman"/>
          <w:sz w:val="28"/>
          <w:szCs w:val="28"/>
          <w:lang w:val="uk-UA"/>
        </w:rPr>
        <w:t>oriented enterprises. The theoretical basis of the study is modern approaches to digital leadership, corporate governance, organizational adaptability and management of innovation processes. The work uses a systems approach, methods of analysis, generalization and logical interpretation of modern management practices.</w:t>
      </w:r>
    </w:p>
    <w:p w14:paraId="7C87C945" w14:textId="6E82F47A" w:rsidR="00972CBF" w:rsidRPr="002F32B5" w:rsidRDefault="00972CBF" w:rsidP="00972CBF">
      <w:pPr>
        <w:spacing w:after="0" w:line="240" w:lineRule="auto"/>
        <w:ind w:firstLine="567"/>
        <w:jc w:val="both"/>
        <w:rPr>
          <w:rFonts w:ascii="Times New Roman" w:hAnsi="Times New Roman" w:cs="Times New Roman"/>
          <w:sz w:val="28"/>
          <w:szCs w:val="28"/>
          <w:lang w:val="uk-UA"/>
        </w:rPr>
      </w:pPr>
      <w:r w:rsidRPr="002F32B5">
        <w:rPr>
          <w:rFonts w:ascii="Times New Roman" w:hAnsi="Times New Roman" w:cs="Times New Roman"/>
          <w:sz w:val="28"/>
          <w:szCs w:val="28"/>
          <w:lang w:val="uk-UA"/>
        </w:rPr>
        <w:t xml:space="preserve">The study found that digital tools affect the development of leadership potential of managers in three main areas. The first is related to the analytical capabilities of the manager. If previously management assessment often relied on experience, intuition </w:t>
      </w:r>
      <w:r w:rsidRPr="002F32B5">
        <w:rPr>
          <w:rFonts w:ascii="Times New Roman" w:hAnsi="Times New Roman" w:cs="Times New Roman"/>
          <w:sz w:val="28"/>
          <w:szCs w:val="28"/>
          <w:lang w:val="uk-UA"/>
        </w:rPr>
        <w:lastRenderedPageBreak/>
        <w:t xml:space="preserve">and fragmented reports, today the manager works with interactive Power BI or Tableau dashboards, data from the Salesforce CRM system, indicators from the SAP S/4HANA ERP environment and other digital monitoring systems. This changes the very nature of the leadership decision. The manager sees not only the overall result, but also the causes of deviations, KPI dynamics, bottlenecks in processes and risks of an innovation project. That is why digital analytical solutions strengthen the strategic vision, increase the evidence base of management and reduce dependence on situational or intuitive actions. The second direction concerns communication and coordination. For an innovative company, it is important not only to make a decision, but also to quickly translate it into coordinated action. Microsoft Teams, Slack, Google Workspace, Notion, Miro, Jira, Asana, Trello and Monday.com play a special role here. These services are changing corporate interaction, as they allow you to work with teams in a mode of constant information exchange, record tasks, control deadlines, see progress and quickly agree on changes. Under such conditions, leadership potential is manifested not only in the ability to set a goal, but also in the ability to maintain the integrity of teamwork, maintain transparency of communication and ensure the responsibility of each participant in the innovation process. This is especially important for a project environment, where not only efficiency but also the viability of the innovation itself often depends on the speed of coordination. The third direction is related to the adaptability and development of the leader. The use of digital platforms allows the leader not only to control execution, but also to see how the system reacts to his decisions in real time. For example, through Jira or Asana, you can track team overload, through Microsoft Teams or Slack </w:t>
      </w:r>
      <w:r w:rsidR="002F32B5" w:rsidRPr="002F32B5">
        <w:rPr>
          <w:rFonts w:ascii="Times New Roman" w:hAnsi="Times New Roman" w:cs="Times New Roman"/>
          <w:sz w:val="28"/>
          <w:szCs w:val="28"/>
          <w:lang w:val="uk-UA"/>
        </w:rPr>
        <w:t>–</w:t>
      </w:r>
      <w:r w:rsidRPr="002F32B5">
        <w:rPr>
          <w:rFonts w:ascii="Times New Roman" w:hAnsi="Times New Roman" w:cs="Times New Roman"/>
          <w:sz w:val="28"/>
          <w:szCs w:val="28"/>
          <w:lang w:val="uk-UA"/>
        </w:rPr>
        <w:t xml:space="preserve"> communication slowdown, through Power BI </w:t>
      </w:r>
      <w:r w:rsidR="002F32B5" w:rsidRPr="002F32B5">
        <w:rPr>
          <w:rFonts w:ascii="Times New Roman" w:hAnsi="Times New Roman" w:cs="Times New Roman"/>
          <w:sz w:val="28"/>
          <w:szCs w:val="28"/>
          <w:lang w:val="uk-UA"/>
        </w:rPr>
        <w:t>–</w:t>
      </w:r>
      <w:r w:rsidRPr="002F32B5">
        <w:rPr>
          <w:rFonts w:ascii="Times New Roman" w:hAnsi="Times New Roman" w:cs="Times New Roman"/>
          <w:sz w:val="28"/>
          <w:szCs w:val="28"/>
          <w:lang w:val="uk-UA"/>
        </w:rPr>
        <w:t xml:space="preserve"> a drop in the effectiveness of a separate direction, and through a CRM system </w:t>
      </w:r>
      <w:r w:rsidR="002F32B5" w:rsidRPr="002F32B5">
        <w:rPr>
          <w:rFonts w:ascii="Times New Roman" w:hAnsi="Times New Roman" w:cs="Times New Roman"/>
          <w:sz w:val="28"/>
          <w:szCs w:val="28"/>
          <w:lang w:val="uk-UA"/>
        </w:rPr>
        <w:t>–</w:t>
      </w:r>
      <w:r w:rsidRPr="002F32B5">
        <w:rPr>
          <w:rFonts w:ascii="Times New Roman" w:hAnsi="Times New Roman" w:cs="Times New Roman"/>
          <w:sz w:val="28"/>
          <w:szCs w:val="28"/>
          <w:lang w:val="uk-UA"/>
        </w:rPr>
        <w:t xml:space="preserve"> a change in the behavior of a client or partner. All this creates an environment of rapid management learning. The manager does not wait for a quarterly report, but receives grounds for prompt adjustment of the management style. In such a digital environment, leadership potential develops as the ability to learn quickly, change approaches, combine flexibility with responsibility and maintain effectiveness in conditions of uncertainty.</w:t>
      </w:r>
    </w:p>
    <w:p w14:paraId="7D60BE22" w14:textId="004157ED" w:rsidR="004B6B2F" w:rsidRPr="002F32B5" w:rsidRDefault="00972CBF" w:rsidP="00972CBF">
      <w:pPr>
        <w:spacing w:after="0" w:line="240" w:lineRule="auto"/>
        <w:ind w:firstLine="567"/>
        <w:jc w:val="both"/>
        <w:rPr>
          <w:rFonts w:ascii="Times New Roman" w:hAnsi="Times New Roman" w:cs="Times New Roman"/>
          <w:sz w:val="28"/>
          <w:szCs w:val="28"/>
          <w:lang w:val="uk-UA"/>
        </w:rPr>
      </w:pPr>
      <w:r w:rsidRPr="002F32B5">
        <w:rPr>
          <w:rFonts w:ascii="Times New Roman" w:hAnsi="Times New Roman" w:cs="Times New Roman"/>
          <w:sz w:val="28"/>
          <w:szCs w:val="28"/>
          <w:lang w:val="uk-UA"/>
        </w:rPr>
        <w:t>At the same time, the study showed that the list of digital tools alone does not guarantee leadership development. A company can use Microsoft Teams, Power BI or Salesforce, but not receive from this a qualitative strengthening of corporate governance if these solutions are not included in the strategic logic of management. The effect appears when analytical platforms, communication services and project management systems work in harmony. Then Power BI or Tableau support the evidence of decisions, Teams and Slack ensure the speed of coordination, and Jira, Asana or Monday.com translate management intentions into controlled implementation. It is this integration that turns the digital environment into a resource for developing leadership skills.</w:t>
      </w:r>
    </w:p>
    <w:p w14:paraId="113CB21C" w14:textId="77777777" w:rsidR="00972CBF" w:rsidRPr="002F32B5" w:rsidRDefault="00972CBF" w:rsidP="00972CBF">
      <w:pPr>
        <w:spacing w:after="0" w:line="240" w:lineRule="auto"/>
        <w:ind w:firstLine="567"/>
        <w:jc w:val="both"/>
        <w:rPr>
          <w:rFonts w:ascii="Times New Roman" w:hAnsi="Times New Roman" w:cs="Times New Roman"/>
          <w:sz w:val="28"/>
          <w:szCs w:val="28"/>
          <w:lang w:val="uk-UA"/>
        </w:rPr>
      </w:pPr>
    </w:p>
    <w:p w14:paraId="2FF360AF" w14:textId="4A5E51E0" w:rsidR="005E5359" w:rsidRPr="001F2122" w:rsidRDefault="005E5359" w:rsidP="001F2122">
      <w:pPr>
        <w:tabs>
          <w:tab w:val="left" w:pos="851"/>
          <w:tab w:val="left" w:pos="993"/>
        </w:tabs>
        <w:spacing w:after="0" w:line="240" w:lineRule="auto"/>
        <w:jc w:val="center"/>
        <w:rPr>
          <w:rStyle w:val="hps"/>
          <w:rFonts w:ascii="Times New Roman" w:hAnsi="Times New Roman"/>
          <w:color w:val="000000"/>
          <w:sz w:val="28"/>
          <w:szCs w:val="28"/>
        </w:rPr>
      </w:pPr>
      <w:r w:rsidRPr="001F2122">
        <w:rPr>
          <w:rStyle w:val="hps"/>
          <w:rFonts w:ascii="Times New Roman" w:hAnsi="Times New Roman"/>
          <w:color w:val="000000"/>
          <w:sz w:val="28"/>
          <w:szCs w:val="28"/>
        </w:rPr>
        <w:t>References:</w:t>
      </w:r>
    </w:p>
    <w:p w14:paraId="61E3B6F0"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 xml:space="preserve">Buonocore, F., Annosi, M. C., de Gennaro, D., &amp; Riemma, F. (2024). Digital transformation and social change: Leadership strategies for responsible innovation. Journal of Engineering and Technology Management, 74, 101843. </w:t>
      </w:r>
      <w:r w:rsidRPr="001F2122">
        <w:rPr>
          <w:rFonts w:ascii="Times New Roman" w:hAnsi="Times New Roman" w:cs="Times New Roman"/>
          <w:sz w:val="28"/>
          <w:szCs w:val="28"/>
          <w:lang w:val="en-US"/>
        </w:rPr>
        <w:lastRenderedPageBreak/>
        <w:t>https://www.researchgate.net/publication/384527383_Digital_transformation_and_social_change_Leadership_strategies_for_responsible_innovation</w:t>
      </w:r>
    </w:p>
    <w:p w14:paraId="77EE0760"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López-Figueroa, J. C., Ochoa-Jiménez, S., Palafox-Soto, M. O., &amp; Hernandez Munoz, D. S. (2025). Digital leadership: A systematic literature review. Administrative Sciences, 15(4), 129. https://doi.org/10.3390/admsci15040129</w:t>
      </w:r>
    </w:p>
    <w:p w14:paraId="019DE730"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Mayovets, Y., Vdovenko, N., Shevchuk, H., Zos-Kior, M., &amp; Hnatenko, I. (2021). Simulation modeling of the financial risk of bankruptcy of agricultural enterprises in the context of COVID-19. Journal of Hygienic Engineering and Design, 36, 192–198.</w:t>
      </w:r>
    </w:p>
    <w:p w14:paraId="21BAD2EA"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Müller, S. D., Konzag, H., Nielsen, J. A., &amp; Sandholt, H. B. (2024). Digital transformation leadership competencies: A contingency approach. International Journal of Information Management, 75, 102734. https://doi.org/10.1016/j.ijinfomgt.2023.102734</w:t>
      </w:r>
    </w:p>
    <w:p w14:paraId="173A1083"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Oliveira, F., Kakabadse, N., &amp; Khan, N. (2022). Board engagement with digital technologies: A resource dependence framework. Journal of Business Research, 139, 804–818. https://doi.org/10.1016/j.jbusres.2021.10.010</w:t>
      </w:r>
    </w:p>
    <w:p w14:paraId="299824BB"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Rakhmetulina, Z., Narimbetova, A., &amp; Kornet, R. (2025). Mechanism for implementing the process of integrated management of the digital development of enterprise human capital. Bulletin of Poltava State Agrarian University. Series: Economics, Management and Finance, 4, 16–22.</w:t>
      </w:r>
    </w:p>
    <w:p w14:paraId="4CC5DF6E"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Rossokha, V., Mykhaylov, S., Bolshaia, O., Diukariev, D., Galtsova, O., Trokhymets, O., Ilin, V., Zos-Kior, M., Hnatenko, I., &amp; Rubezhanska, V. (2021). Management of simultaneous strategizing of innovative projects of agricultural enterprises responsive to risks, outsourcing and competition. Journal of Hygienic Engineering and Design, 36, 199–205.</w:t>
      </w:r>
    </w:p>
    <w:p w14:paraId="5E1957B6"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Schiuma, G., Santarsiero, F., Carlucci, D., &amp; Jarrar, Y. (2024). Transformative leadership competencies for organizational digital transformation. Business Horizons, 67(4), 425–437. https://doi.org/10.1016/j.bushor.2024.04.004</w:t>
      </w:r>
    </w:p>
    <w:p w14:paraId="0D46D410" w14:textId="77777777" w:rsidR="001F2122" w:rsidRPr="001F2122"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en-US"/>
        </w:rPr>
      </w:pPr>
      <w:r w:rsidRPr="001F2122">
        <w:rPr>
          <w:rFonts w:ascii="Times New Roman" w:hAnsi="Times New Roman" w:cs="Times New Roman"/>
          <w:sz w:val="28"/>
          <w:szCs w:val="28"/>
          <w:lang w:val="en-US"/>
        </w:rPr>
        <w:t>Zos-Kior, M., Kuksa, I., Samoilyk, I., &amp; Storoška, M. (2017). Methodology for assessing globalisation development of countries. Economic Annals-XXI, 163, 4–8.</w:t>
      </w:r>
    </w:p>
    <w:p w14:paraId="4AF6F27C" w14:textId="71420F59" w:rsidR="009D7B20" w:rsidRPr="002F32B5" w:rsidRDefault="001F2122" w:rsidP="001F2122">
      <w:pPr>
        <w:pStyle w:val="a9"/>
        <w:numPr>
          <w:ilvl w:val="0"/>
          <w:numId w:val="6"/>
        </w:numPr>
        <w:tabs>
          <w:tab w:val="left" w:pos="709"/>
          <w:tab w:val="left" w:pos="851"/>
          <w:tab w:val="left" w:pos="993"/>
        </w:tabs>
        <w:spacing w:after="0" w:line="240" w:lineRule="auto"/>
        <w:ind w:left="0" w:firstLine="567"/>
        <w:jc w:val="both"/>
        <w:rPr>
          <w:rFonts w:ascii="Times New Roman" w:hAnsi="Times New Roman" w:cs="Times New Roman"/>
          <w:sz w:val="28"/>
          <w:szCs w:val="28"/>
          <w:lang w:val="uk-UA"/>
        </w:rPr>
      </w:pPr>
      <w:r w:rsidRPr="001F2122">
        <w:rPr>
          <w:rFonts w:ascii="Times New Roman" w:hAnsi="Times New Roman" w:cs="Times New Roman"/>
          <w:sz w:val="28"/>
          <w:szCs w:val="28"/>
          <w:lang w:val="en-US"/>
        </w:rPr>
        <w:t>Zos-Kior, N. V. (2011). Foreign economic activity management of Ukrainian enterprises in conditions of globalization. Ekonomiczno-Informatyczny Kwartalnik Teoretyczny, 28, 87–96.</w:t>
      </w:r>
    </w:p>
    <w:p w14:paraId="455F1963" w14:textId="77777777" w:rsidR="00D57004" w:rsidRPr="002F32B5" w:rsidRDefault="00D57004" w:rsidP="001F2122">
      <w:pPr>
        <w:tabs>
          <w:tab w:val="left" w:pos="709"/>
          <w:tab w:val="left" w:pos="851"/>
          <w:tab w:val="left" w:pos="993"/>
        </w:tabs>
        <w:spacing w:after="0" w:line="240" w:lineRule="auto"/>
        <w:ind w:firstLine="567"/>
        <w:jc w:val="both"/>
        <w:rPr>
          <w:rFonts w:ascii="Times New Roman" w:hAnsi="Times New Roman" w:cs="Times New Roman"/>
          <w:sz w:val="28"/>
          <w:szCs w:val="28"/>
          <w:lang w:val="en-US"/>
        </w:rPr>
      </w:pPr>
    </w:p>
    <w:sectPr w:rsidR="00D57004" w:rsidRPr="002F32B5" w:rsidSect="00F41AD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aramond">
    <w:panose1 w:val="020204040303010108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65E73"/>
    <w:multiLevelType w:val="multilevel"/>
    <w:tmpl w:val="3CC84D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D07500F"/>
    <w:multiLevelType w:val="hybridMultilevel"/>
    <w:tmpl w:val="35740EAC"/>
    <w:lvl w:ilvl="0" w:tplc="5D22628C">
      <w:start w:val="1"/>
      <w:numFmt w:val="decimal"/>
      <w:lvlText w:val="%1."/>
      <w:lvlJc w:val="left"/>
      <w:pPr>
        <w:ind w:left="2204" w:hanging="360"/>
      </w:pPr>
      <w:rPr>
        <w:b w:val="0"/>
        <w:b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44757B7B"/>
    <w:multiLevelType w:val="hybridMultilevel"/>
    <w:tmpl w:val="F468049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52C232CF"/>
    <w:multiLevelType w:val="hybridMultilevel"/>
    <w:tmpl w:val="6C243FC2"/>
    <w:lvl w:ilvl="0" w:tplc="0422000F">
      <w:start w:val="1"/>
      <w:numFmt w:val="decimal"/>
      <w:lvlText w:val="%1."/>
      <w:lvlJc w:val="left"/>
      <w:pPr>
        <w:ind w:left="880" w:hanging="5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609038D9"/>
    <w:multiLevelType w:val="hybridMultilevel"/>
    <w:tmpl w:val="4974704A"/>
    <w:lvl w:ilvl="0" w:tplc="2EF2628C">
      <w:start w:val="1"/>
      <w:numFmt w:val="decimal"/>
      <w:lvlText w:val="%1."/>
      <w:lvlJc w:val="left"/>
      <w:pPr>
        <w:ind w:left="927" w:hanging="360"/>
      </w:pPr>
      <w:rPr>
        <w:rFonts w:hint="default"/>
        <w:b w:val="0"/>
        <w:bCs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7BD911A4"/>
    <w:multiLevelType w:val="hybridMultilevel"/>
    <w:tmpl w:val="70DE7F16"/>
    <w:lvl w:ilvl="0" w:tplc="6A0CC7F4">
      <w:start w:val="1"/>
      <w:numFmt w:val="decimal"/>
      <w:lvlText w:val="%1."/>
      <w:lvlJc w:val="left"/>
      <w:pPr>
        <w:ind w:left="1040" w:hanging="440"/>
      </w:pPr>
      <w:rPr>
        <w:rFonts w:eastAsia="Times New Roman" w:hint="default"/>
      </w:rPr>
    </w:lvl>
    <w:lvl w:ilvl="1" w:tplc="04220019" w:tentative="1">
      <w:start w:val="1"/>
      <w:numFmt w:val="lowerLetter"/>
      <w:lvlText w:val="%2."/>
      <w:lvlJc w:val="left"/>
      <w:pPr>
        <w:ind w:left="1680" w:hanging="360"/>
      </w:pPr>
    </w:lvl>
    <w:lvl w:ilvl="2" w:tplc="0422001B" w:tentative="1">
      <w:start w:val="1"/>
      <w:numFmt w:val="lowerRoman"/>
      <w:lvlText w:val="%3."/>
      <w:lvlJc w:val="right"/>
      <w:pPr>
        <w:ind w:left="2400" w:hanging="180"/>
      </w:pPr>
    </w:lvl>
    <w:lvl w:ilvl="3" w:tplc="0422000F" w:tentative="1">
      <w:start w:val="1"/>
      <w:numFmt w:val="decimal"/>
      <w:lvlText w:val="%4."/>
      <w:lvlJc w:val="left"/>
      <w:pPr>
        <w:ind w:left="3120" w:hanging="360"/>
      </w:pPr>
    </w:lvl>
    <w:lvl w:ilvl="4" w:tplc="04220019" w:tentative="1">
      <w:start w:val="1"/>
      <w:numFmt w:val="lowerLetter"/>
      <w:lvlText w:val="%5."/>
      <w:lvlJc w:val="left"/>
      <w:pPr>
        <w:ind w:left="3840" w:hanging="360"/>
      </w:pPr>
    </w:lvl>
    <w:lvl w:ilvl="5" w:tplc="0422001B" w:tentative="1">
      <w:start w:val="1"/>
      <w:numFmt w:val="lowerRoman"/>
      <w:lvlText w:val="%6."/>
      <w:lvlJc w:val="right"/>
      <w:pPr>
        <w:ind w:left="4560" w:hanging="180"/>
      </w:pPr>
    </w:lvl>
    <w:lvl w:ilvl="6" w:tplc="0422000F" w:tentative="1">
      <w:start w:val="1"/>
      <w:numFmt w:val="decimal"/>
      <w:lvlText w:val="%7."/>
      <w:lvlJc w:val="left"/>
      <w:pPr>
        <w:ind w:left="5280" w:hanging="360"/>
      </w:pPr>
    </w:lvl>
    <w:lvl w:ilvl="7" w:tplc="04220019" w:tentative="1">
      <w:start w:val="1"/>
      <w:numFmt w:val="lowerLetter"/>
      <w:lvlText w:val="%8."/>
      <w:lvlJc w:val="left"/>
      <w:pPr>
        <w:ind w:left="6000" w:hanging="360"/>
      </w:pPr>
    </w:lvl>
    <w:lvl w:ilvl="8" w:tplc="0422001B" w:tentative="1">
      <w:start w:val="1"/>
      <w:numFmt w:val="lowerRoman"/>
      <w:lvlText w:val="%9."/>
      <w:lvlJc w:val="right"/>
      <w:pPr>
        <w:ind w:left="6720" w:hanging="180"/>
      </w:pPr>
    </w:lvl>
  </w:abstractNum>
  <w:num w:numId="1" w16cid:durableId="1432628036">
    <w:abstractNumId w:val="4"/>
  </w:num>
  <w:num w:numId="2" w16cid:durableId="1040664690">
    <w:abstractNumId w:val="5"/>
  </w:num>
  <w:num w:numId="3" w16cid:durableId="487671962">
    <w:abstractNumId w:val="0"/>
  </w:num>
  <w:num w:numId="4" w16cid:durableId="243807076">
    <w:abstractNumId w:val="1"/>
  </w:num>
  <w:num w:numId="5" w16cid:durableId="1563565537">
    <w:abstractNumId w:val="3"/>
  </w:num>
  <w:num w:numId="6" w16cid:durableId="149992497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F8A"/>
    <w:rsid w:val="00084800"/>
    <w:rsid w:val="001630C3"/>
    <w:rsid w:val="001738F9"/>
    <w:rsid w:val="001F2122"/>
    <w:rsid w:val="002710A5"/>
    <w:rsid w:val="00294409"/>
    <w:rsid w:val="002D444E"/>
    <w:rsid w:val="002F32B5"/>
    <w:rsid w:val="0032448E"/>
    <w:rsid w:val="00342D34"/>
    <w:rsid w:val="0038499E"/>
    <w:rsid w:val="0038621C"/>
    <w:rsid w:val="003D3438"/>
    <w:rsid w:val="003E6AEC"/>
    <w:rsid w:val="00491949"/>
    <w:rsid w:val="00497EE6"/>
    <w:rsid w:val="004A3AC7"/>
    <w:rsid w:val="004B6B2F"/>
    <w:rsid w:val="004C281A"/>
    <w:rsid w:val="00514CF8"/>
    <w:rsid w:val="005417A3"/>
    <w:rsid w:val="00550EA9"/>
    <w:rsid w:val="00567312"/>
    <w:rsid w:val="005A41AD"/>
    <w:rsid w:val="005E5359"/>
    <w:rsid w:val="006354F4"/>
    <w:rsid w:val="00652FC5"/>
    <w:rsid w:val="00685F8A"/>
    <w:rsid w:val="006E415D"/>
    <w:rsid w:val="007447B6"/>
    <w:rsid w:val="00760124"/>
    <w:rsid w:val="00767746"/>
    <w:rsid w:val="007764B4"/>
    <w:rsid w:val="00786EFD"/>
    <w:rsid w:val="00795649"/>
    <w:rsid w:val="007E124B"/>
    <w:rsid w:val="00916949"/>
    <w:rsid w:val="00972CBF"/>
    <w:rsid w:val="009748C7"/>
    <w:rsid w:val="00993E0E"/>
    <w:rsid w:val="009A1C85"/>
    <w:rsid w:val="009D7B20"/>
    <w:rsid w:val="009F4867"/>
    <w:rsid w:val="00A15EC9"/>
    <w:rsid w:val="00AB2D2B"/>
    <w:rsid w:val="00B24517"/>
    <w:rsid w:val="00C51598"/>
    <w:rsid w:val="00C86739"/>
    <w:rsid w:val="00C916EB"/>
    <w:rsid w:val="00D47C9E"/>
    <w:rsid w:val="00D50015"/>
    <w:rsid w:val="00D57004"/>
    <w:rsid w:val="00D73A1F"/>
    <w:rsid w:val="00D74A15"/>
    <w:rsid w:val="00E016AB"/>
    <w:rsid w:val="00EF2D4F"/>
    <w:rsid w:val="00F41AD8"/>
    <w:rsid w:val="00F420BD"/>
    <w:rsid w:val="00FD5F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7A28C"/>
  <w15:chartTrackingRefBased/>
  <w15:docId w15:val="{937374FD-D5DE-4A1D-8D68-8C1943E07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85F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85F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85F8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85F8A"/>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85F8A"/>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85F8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85F8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85F8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85F8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85F8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85F8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85F8A"/>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85F8A"/>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85F8A"/>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85F8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85F8A"/>
    <w:rPr>
      <w:rFonts w:eastAsiaTheme="majorEastAsia" w:cstheme="majorBidi"/>
      <w:color w:val="595959" w:themeColor="text1" w:themeTint="A6"/>
    </w:rPr>
  </w:style>
  <w:style w:type="character" w:customStyle="1" w:styleId="80">
    <w:name w:val="Заголовок 8 Знак"/>
    <w:basedOn w:val="a0"/>
    <w:link w:val="8"/>
    <w:uiPriority w:val="9"/>
    <w:semiHidden/>
    <w:rsid w:val="00685F8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85F8A"/>
    <w:rPr>
      <w:rFonts w:eastAsiaTheme="majorEastAsia" w:cstheme="majorBidi"/>
      <w:color w:val="272727" w:themeColor="text1" w:themeTint="D8"/>
    </w:rPr>
  </w:style>
  <w:style w:type="paragraph" w:styleId="a3">
    <w:name w:val="Title"/>
    <w:basedOn w:val="a"/>
    <w:next w:val="a"/>
    <w:link w:val="a4"/>
    <w:uiPriority w:val="10"/>
    <w:qFormat/>
    <w:rsid w:val="00685F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685F8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85F8A"/>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685F8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85F8A"/>
    <w:pPr>
      <w:spacing w:before="160"/>
      <w:jc w:val="center"/>
    </w:pPr>
    <w:rPr>
      <w:i/>
      <w:iCs/>
      <w:color w:val="404040" w:themeColor="text1" w:themeTint="BF"/>
    </w:rPr>
  </w:style>
  <w:style w:type="character" w:customStyle="1" w:styleId="a8">
    <w:name w:val="Цитата Знак"/>
    <w:basedOn w:val="a0"/>
    <w:link w:val="a7"/>
    <w:uiPriority w:val="29"/>
    <w:rsid w:val="00685F8A"/>
    <w:rPr>
      <w:i/>
      <w:iCs/>
      <w:color w:val="404040" w:themeColor="text1" w:themeTint="BF"/>
    </w:rPr>
  </w:style>
  <w:style w:type="paragraph" w:styleId="a9">
    <w:name w:val="List Paragraph"/>
    <w:aliases w:val="Абзац списка_нащ,Заголовак 3,Абзац списка2"/>
    <w:basedOn w:val="a"/>
    <w:link w:val="aa"/>
    <w:uiPriority w:val="34"/>
    <w:qFormat/>
    <w:rsid w:val="00685F8A"/>
    <w:pPr>
      <w:ind w:left="720"/>
      <w:contextualSpacing/>
    </w:pPr>
  </w:style>
  <w:style w:type="character" w:styleId="ab">
    <w:name w:val="Intense Emphasis"/>
    <w:basedOn w:val="a0"/>
    <w:uiPriority w:val="21"/>
    <w:qFormat/>
    <w:rsid w:val="00685F8A"/>
    <w:rPr>
      <w:i/>
      <w:iCs/>
      <w:color w:val="0F4761" w:themeColor="accent1" w:themeShade="BF"/>
    </w:rPr>
  </w:style>
  <w:style w:type="paragraph" w:styleId="ac">
    <w:name w:val="Intense Quote"/>
    <w:basedOn w:val="a"/>
    <w:next w:val="a"/>
    <w:link w:val="ad"/>
    <w:uiPriority w:val="30"/>
    <w:qFormat/>
    <w:rsid w:val="00685F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0"/>
    <w:link w:val="ac"/>
    <w:uiPriority w:val="30"/>
    <w:rsid w:val="00685F8A"/>
    <w:rPr>
      <w:i/>
      <w:iCs/>
      <w:color w:val="0F4761" w:themeColor="accent1" w:themeShade="BF"/>
    </w:rPr>
  </w:style>
  <w:style w:type="character" w:styleId="ae">
    <w:name w:val="Intense Reference"/>
    <w:basedOn w:val="a0"/>
    <w:uiPriority w:val="32"/>
    <w:qFormat/>
    <w:rsid w:val="00685F8A"/>
    <w:rPr>
      <w:b/>
      <w:bCs/>
      <w:smallCaps/>
      <w:color w:val="0F4761" w:themeColor="accent1" w:themeShade="BF"/>
      <w:spacing w:val="5"/>
    </w:rPr>
  </w:style>
  <w:style w:type="character" w:styleId="af">
    <w:name w:val="Hyperlink"/>
    <w:basedOn w:val="a0"/>
    <w:uiPriority w:val="99"/>
    <w:unhideWhenUsed/>
    <w:rsid w:val="004C281A"/>
    <w:rPr>
      <w:color w:val="467886" w:themeColor="hyperlink"/>
      <w:u w:val="single"/>
    </w:rPr>
  </w:style>
  <w:style w:type="character" w:styleId="af0">
    <w:name w:val="Unresolved Mention"/>
    <w:basedOn w:val="a0"/>
    <w:uiPriority w:val="99"/>
    <w:semiHidden/>
    <w:unhideWhenUsed/>
    <w:rsid w:val="004C281A"/>
    <w:rPr>
      <w:color w:val="605E5C"/>
      <w:shd w:val="clear" w:color="auto" w:fill="E1DFDD"/>
    </w:rPr>
  </w:style>
  <w:style w:type="character" w:styleId="af1">
    <w:name w:val="Emphasis"/>
    <w:basedOn w:val="a0"/>
    <w:uiPriority w:val="20"/>
    <w:qFormat/>
    <w:rsid w:val="005A41AD"/>
    <w:rPr>
      <w:i/>
      <w:iCs/>
    </w:rPr>
  </w:style>
  <w:style w:type="paragraph" w:customStyle="1" w:styleId="06Body">
    <w:name w:val="06Body"/>
    <w:basedOn w:val="af2"/>
    <w:link w:val="06BodyChar"/>
    <w:qFormat/>
    <w:rsid w:val="005A41AD"/>
    <w:pPr>
      <w:widowControl w:val="0"/>
      <w:jc w:val="both"/>
    </w:pPr>
    <w:rPr>
      <w:rFonts w:ascii="Garamond" w:eastAsia="Times New Roman" w:hAnsi="Garamond" w:cs="Times New Roman"/>
      <w:kern w:val="0"/>
      <w:sz w:val="22"/>
      <w:szCs w:val="20"/>
      <w:lang w:val="en-US"/>
      <w14:ligatures w14:val="none"/>
    </w:rPr>
  </w:style>
  <w:style w:type="character" w:customStyle="1" w:styleId="06BodyChar">
    <w:name w:val="06Body Char"/>
    <w:basedOn w:val="a0"/>
    <w:link w:val="06Body"/>
    <w:rsid w:val="005A41AD"/>
    <w:rPr>
      <w:rFonts w:ascii="Garamond" w:eastAsia="Times New Roman" w:hAnsi="Garamond" w:cs="Times New Roman"/>
      <w:kern w:val="0"/>
      <w:sz w:val="22"/>
      <w:szCs w:val="20"/>
      <w:lang w:val="en-US"/>
      <w14:ligatures w14:val="none"/>
    </w:rPr>
  </w:style>
  <w:style w:type="character" w:styleId="af3">
    <w:name w:val="Strong"/>
    <w:basedOn w:val="a0"/>
    <w:uiPriority w:val="22"/>
    <w:qFormat/>
    <w:rsid w:val="005A41AD"/>
    <w:rPr>
      <w:b/>
      <w:bCs/>
    </w:rPr>
  </w:style>
  <w:style w:type="character" w:customStyle="1" w:styleId="aa">
    <w:name w:val="Абзац списку Знак"/>
    <w:aliases w:val="Абзац списка_нащ Знак,Заголовак 3 Знак,Абзац списка2 Знак"/>
    <w:link w:val="a9"/>
    <w:uiPriority w:val="34"/>
    <w:qFormat/>
    <w:locked/>
    <w:rsid w:val="005A41AD"/>
  </w:style>
  <w:style w:type="paragraph" w:styleId="af2">
    <w:name w:val="No Spacing"/>
    <w:uiPriority w:val="1"/>
    <w:qFormat/>
    <w:rsid w:val="005A41AD"/>
    <w:pPr>
      <w:spacing w:after="0" w:line="240" w:lineRule="auto"/>
    </w:pPr>
  </w:style>
  <w:style w:type="character" w:customStyle="1" w:styleId="hps">
    <w:name w:val="hps"/>
    <w:rsid w:val="005E53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q17208@ukr.net" TargetMode="External"/><Relationship Id="rId3" Type="http://schemas.openxmlformats.org/officeDocument/2006/relationships/styles" Target="styles.xml"/><Relationship Id="rId7" Type="http://schemas.openxmlformats.org/officeDocument/2006/relationships/hyperlink" Target="https://orcid.org/0000-0002-0254-246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ton.nesterenko@pdau.edu.u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ykola.zos-kior@pdau.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24733-29DA-4F97-96CF-AF7DFF6FF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5594</Words>
  <Characters>3189</Characters>
  <Application>Microsoft Office Word</Application>
  <DocSecurity>0</DocSecurity>
  <Lines>26</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Валентина Губенко</dc:creator>
  <cp:keywords/>
  <dc:description/>
  <cp:lastModifiedBy>Микола Зось-Кіор</cp:lastModifiedBy>
  <cp:revision>35</cp:revision>
  <dcterms:created xsi:type="dcterms:W3CDTF">2026-03-23T11:08:00Z</dcterms:created>
  <dcterms:modified xsi:type="dcterms:W3CDTF">2026-05-10T11:33:00Z</dcterms:modified>
</cp:coreProperties>
</file>