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ACA" w:rsidRDefault="00146ACA" w:rsidP="00146ACA">
      <w:pPr>
        <w:spacing w:line="326" w:lineRule="auto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МІНІСТЕРСТВО ОСВІТИ І НАУКИ УКРАЇНИ ПОЛТАВСЬКА ДЕРЖАВНА АГРАРНА АКАДЕМІЯ ДНІПРОВСЬКИЙ ДЕРЖАВНИЙ АГРАРНО-ЕКОНОМІЧНИЙ УНІВЕРСИТЕТ МИКОЛАЇВСЬКИЙ НАЦІОНАЛЬНИЙ АГРАРНИЙ УНІВЕРСИТЕТ</w:t>
      </w:r>
    </w:p>
    <w:p w:rsidR="00146ACA" w:rsidRDefault="00146ACA" w:rsidP="00146ACA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417830</wp:posOffset>
            </wp:positionV>
            <wp:extent cx="4718050" cy="1486535"/>
            <wp:effectExtent l="0" t="0" r="63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8050" cy="1486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64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ЗБАЛАНСОВАНИЙ РОЗВИТОК АГРОЕКОСИСТЕМ УКРАЇНИ:</w:t>
      </w:r>
    </w:p>
    <w:p w:rsidR="00146ACA" w:rsidRDefault="00146ACA" w:rsidP="00146ACA">
      <w:pPr>
        <w:spacing w:line="2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0" w:lineRule="atLeast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СУЧАСНИЙ ПОГЛЯД ТА ІННОВАЦІЇ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3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0" w:lineRule="atLeast"/>
        <w:ind w:right="-1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Матеріали</w:t>
      </w:r>
    </w:p>
    <w:p w:rsidR="00146ACA" w:rsidRDefault="00146ACA" w:rsidP="00146ACA">
      <w:pPr>
        <w:spacing w:line="16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052"/>
        </w:tabs>
        <w:spacing w:line="234" w:lineRule="auto"/>
        <w:ind w:left="3360" w:right="1700" w:hanging="165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Всеукраїнської науково-практичної конференції 21 листопада 2019 року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Полтава 2019</w:t>
      </w:r>
    </w:p>
    <w:p w:rsidR="00146ACA" w:rsidRDefault="00146ACA" w:rsidP="00146ACA">
      <w:pPr>
        <w:spacing w:line="28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</w:t>
      </w:r>
    </w:p>
    <w:p w:rsidR="00146ACA" w:rsidRDefault="00146ACA" w:rsidP="00146ACA">
      <w:pPr>
        <w:spacing w:line="0" w:lineRule="atLeast"/>
        <w:ind w:right="-19"/>
        <w:jc w:val="center"/>
        <w:rPr>
          <w:rFonts w:ascii="Times New Roman" w:eastAsia="Times New Roman" w:hAnsi="Times New Roman"/>
          <w:sz w:val="24"/>
        </w:rPr>
        <w:sectPr w:rsidR="00146ACA">
          <w:pgSz w:w="11900" w:h="16838"/>
          <w:pgMar w:top="1138" w:right="1186" w:bottom="430" w:left="1180" w:header="0" w:footer="0" w:gutter="0"/>
          <w:cols w:space="0" w:equalWidth="0">
            <w:col w:w="9540"/>
          </w:cols>
          <w:docGrid w:linePitch="360"/>
        </w:sectPr>
      </w:pPr>
    </w:p>
    <w:p w:rsidR="00146ACA" w:rsidRDefault="00146ACA" w:rsidP="00146ACA">
      <w:pPr>
        <w:spacing w:line="0" w:lineRule="atLeast"/>
        <w:ind w:left="7"/>
        <w:rPr>
          <w:rFonts w:ascii="Times New Roman" w:eastAsia="Times New Roman" w:hAnsi="Times New Roman"/>
          <w:b/>
          <w:sz w:val="26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6"/>
        </w:rPr>
        <w:lastRenderedPageBreak/>
        <w:t>УДК 631.95</w:t>
      </w:r>
    </w:p>
    <w:p w:rsidR="00146ACA" w:rsidRDefault="00146ACA" w:rsidP="00146ACA">
      <w:pPr>
        <w:spacing w:line="1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2"/>
        </w:numPr>
        <w:tabs>
          <w:tab w:val="left" w:pos="267"/>
        </w:tabs>
        <w:spacing w:line="0" w:lineRule="atLeast"/>
        <w:ind w:left="267" w:hanging="202"/>
        <w:rPr>
          <w:rFonts w:ascii="Times New Roman" w:eastAsia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sz w:val="26"/>
        </w:rPr>
        <w:t>– 41</w:t>
      </w:r>
    </w:p>
    <w:p w:rsidR="00146ACA" w:rsidRDefault="00146ACA" w:rsidP="00146ACA">
      <w:pPr>
        <w:spacing w:line="30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5" w:lineRule="auto"/>
        <w:ind w:left="7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i/>
          <w:sz w:val="26"/>
        </w:rPr>
        <w:t xml:space="preserve">Збалансований розвиток </w:t>
      </w:r>
      <w:proofErr w:type="spellStart"/>
      <w:r>
        <w:rPr>
          <w:rFonts w:ascii="Times New Roman" w:eastAsia="Times New Roman" w:hAnsi="Times New Roman"/>
          <w:i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i/>
          <w:sz w:val="26"/>
        </w:rPr>
        <w:t xml:space="preserve"> України: сучасний погляд та інновації </w:t>
      </w:r>
      <w:r>
        <w:rPr>
          <w:rFonts w:ascii="Times New Roman" w:eastAsia="Times New Roman" w:hAnsi="Times New Roman"/>
          <w:sz w:val="26"/>
        </w:rPr>
        <w:t>:</w:t>
      </w:r>
      <w:r>
        <w:rPr>
          <w:rFonts w:ascii="Times New Roman" w:eastAsia="Times New Roman" w:hAnsi="Times New Roman"/>
          <w:i/>
          <w:sz w:val="26"/>
        </w:rPr>
        <w:t xml:space="preserve"> </w:t>
      </w:r>
      <w:r>
        <w:rPr>
          <w:rFonts w:ascii="Times New Roman" w:eastAsia="Times New Roman" w:hAnsi="Times New Roman"/>
          <w:sz w:val="26"/>
        </w:rPr>
        <w:t xml:space="preserve">матеріали ІІІ </w:t>
      </w:r>
      <w:proofErr w:type="spellStart"/>
      <w:r>
        <w:rPr>
          <w:rFonts w:ascii="Times New Roman" w:eastAsia="Times New Roman" w:hAnsi="Times New Roman"/>
          <w:sz w:val="26"/>
        </w:rPr>
        <w:t>Всеукр</w:t>
      </w:r>
      <w:proofErr w:type="spellEnd"/>
      <w:r>
        <w:rPr>
          <w:rFonts w:ascii="Times New Roman" w:eastAsia="Times New Roman" w:hAnsi="Times New Roman"/>
          <w:sz w:val="26"/>
        </w:rPr>
        <w:t>. наук.-</w:t>
      </w:r>
      <w:proofErr w:type="spellStart"/>
      <w:r>
        <w:rPr>
          <w:rFonts w:ascii="Times New Roman" w:eastAsia="Times New Roman" w:hAnsi="Times New Roman"/>
          <w:sz w:val="26"/>
        </w:rPr>
        <w:t>практ</w:t>
      </w:r>
      <w:proofErr w:type="spellEnd"/>
      <w:r>
        <w:rPr>
          <w:rFonts w:ascii="Times New Roman" w:eastAsia="Times New Roman" w:hAnsi="Times New Roman"/>
          <w:sz w:val="26"/>
        </w:rPr>
        <w:t xml:space="preserve">. </w:t>
      </w:r>
      <w:proofErr w:type="spellStart"/>
      <w:r>
        <w:rPr>
          <w:rFonts w:ascii="Times New Roman" w:eastAsia="Times New Roman" w:hAnsi="Times New Roman"/>
          <w:sz w:val="26"/>
        </w:rPr>
        <w:t>конф</w:t>
      </w:r>
      <w:proofErr w:type="spellEnd"/>
      <w:r>
        <w:rPr>
          <w:rFonts w:ascii="Times New Roman" w:eastAsia="Times New Roman" w:hAnsi="Times New Roman"/>
          <w:sz w:val="26"/>
        </w:rPr>
        <w:t>. (м. Полтава, 21 листопада 2019 р.). Полтава: ПДАА, 2019. 196 с.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1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right="20"/>
        <w:jc w:val="both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Міністерство освіти і науки України, Державна наукова установа «Український інститут науково-технічної експертизи та інформації» (</w:t>
      </w:r>
      <w:proofErr w:type="spellStart"/>
      <w:r>
        <w:rPr>
          <w:rFonts w:ascii="Times New Roman" w:eastAsia="Times New Roman" w:hAnsi="Times New Roman"/>
          <w:sz w:val="26"/>
        </w:rPr>
        <w:t>УкрІНТЕІ</w:t>
      </w:r>
      <w:proofErr w:type="spellEnd"/>
      <w:r>
        <w:rPr>
          <w:rFonts w:ascii="Times New Roman" w:eastAsia="Times New Roman" w:hAnsi="Times New Roman"/>
          <w:sz w:val="26"/>
        </w:rPr>
        <w:t>), Посвідчення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3"/>
        </w:numPr>
        <w:tabs>
          <w:tab w:val="left" w:pos="398"/>
        </w:tabs>
        <w:spacing w:line="234" w:lineRule="auto"/>
        <w:ind w:left="7" w:right="20" w:hanging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 xml:space="preserve">583 від 29 жовтня 2019 р. (ІІІ Всеукраїнська науково-практична конференція «Збалансований розвиток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України: сучасний погляд та інновації»)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98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left="7"/>
        <w:rPr>
          <w:rFonts w:ascii="Times New Roman" w:eastAsia="Times New Roman" w:hAnsi="Times New Roman"/>
          <w:sz w:val="26"/>
        </w:rPr>
      </w:pPr>
      <w:r>
        <w:rPr>
          <w:rFonts w:ascii="Times New Roman" w:eastAsia="Times New Roman" w:hAnsi="Times New Roman"/>
          <w:sz w:val="26"/>
        </w:rPr>
        <w:t>У збірнику представлені матеріали присвячені сучасним проблемам збалансованого</w:t>
      </w:r>
    </w:p>
    <w:p w:rsidR="00146ACA" w:rsidRDefault="00146ACA" w:rsidP="00146ACA">
      <w:pPr>
        <w:spacing w:line="16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8" w:lineRule="auto"/>
        <w:ind w:left="7"/>
        <w:jc w:val="both"/>
        <w:rPr>
          <w:rFonts w:ascii="Times New Roman" w:eastAsia="Times New Roman" w:hAnsi="Times New Roman"/>
          <w:color w:val="000000"/>
          <w:sz w:val="26"/>
        </w:rPr>
      </w:pPr>
      <w:r>
        <w:rPr>
          <w:rFonts w:ascii="Times New Roman" w:eastAsia="Times New Roman" w:hAnsi="Times New Roman"/>
          <w:sz w:val="26"/>
        </w:rPr>
        <w:t xml:space="preserve">розвитку </w:t>
      </w:r>
      <w:proofErr w:type="spellStart"/>
      <w:r>
        <w:rPr>
          <w:rFonts w:ascii="Times New Roman" w:eastAsia="Times New Roman" w:hAnsi="Times New Roman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sz w:val="26"/>
        </w:rPr>
        <w:t xml:space="preserve"> України, </w:t>
      </w:r>
      <w:r>
        <w:rPr>
          <w:rFonts w:ascii="Times New Roman" w:eastAsia="Times New Roman" w:hAnsi="Times New Roman"/>
          <w:color w:val="292B2C"/>
          <w:sz w:val="26"/>
        </w:rPr>
        <w:t>впровадженню новітніх екологічно</w:t>
      </w:r>
      <w:r>
        <w:rPr>
          <w:rFonts w:ascii="Times New Roman" w:eastAsia="Times New Roman" w:hAnsi="Times New Roman"/>
          <w:sz w:val="26"/>
        </w:rPr>
        <w:t xml:space="preserve"> </w:t>
      </w:r>
      <w:r>
        <w:rPr>
          <w:rFonts w:ascii="Times New Roman" w:eastAsia="Times New Roman" w:hAnsi="Times New Roman"/>
          <w:color w:val="292B2C"/>
          <w:sz w:val="26"/>
        </w:rPr>
        <w:t xml:space="preserve">збалансованих технологій у сільському господарстві. </w:t>
      </w:r>
      <w:r>
        <w:rPr>
          <w:rFonts w:ascii="Times New Roman" w:eastAsia="Times New Roman" w:hAnsi="Times New Roman"/>
          <w:color w:val="000000"/>
          <w:sz w:val="26"/>
        </w:rPr>
        <w:t>Матеріали призначені для</w:t>
      </w:r>
      <w:r>
        <w:rPr>
          <w:rFonts w:ascii="Times New Roman" w:eastAsia="Times New Roman" w:hAnsi="Times New Roman"/>
          <w:color w:val="292B2C"/>
          <w:sz w:val="26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</w:rPr>
        <w:t xml:space="preserve">наукових співробітників, викладачів, студентів й аспірантів вищих навчальних закладів, фахівців і керівників сільськогосподарських та переробних підприємств АПК різної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організаційноправової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форми, працівників державного управління, освіти та місцевого самоврядування, всіх, кого цікавить проблематика збалансованого розвитку </w:t>
      </w:r>
      <w:proofErr w:type="spellStart"/>
      <w:r>
        <w:rPr>
          <w:rFonts w:ascii="Times New Roman" w:eastAsia="Times New Roman" w:hAnsi="Times New Roman"/>
          <w:color w:val="000000"/>
          <w:sz w:val="26"/>
        </w:rPr>
        <w:t>агроекосистем</w:t>
      </w:r>
      <w:proofErr w:type="spellEnd"/>
      <w:r>
        <w:rPr>
          <w:rFonts w:ascii="Times New Roman" w:eastAsia="Times New Roman" w:hAnsi="Times New Roman"/>
          <w:color w:val="000000"/>
          <w:sz w:val="26"/>
        </w:rPr>
        <w:t xml:space="preserve"> України.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>
      <w:r>
        <w:br w:type="page"/>
      </w:r>
    </w:p>
    <w:p w:rsidR="00146ACA" w:rsidRDefault="00146ACA" w:rsidP="00146ACA">
      <w:pPr>
        <w:spacing w:line="237" w:lineRule="auto"/>
        <w:ind w:left="7" w:right="2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lastRenderedPageBreak/>
        <w:t>сформувався більш вагомий качан, ніж на контролі, який перевищував його в середньому на 2,8%, а кількість качанів на 100 рослин зростало в середньому на 6,9шт, що становить 6,1%.</w:t>
      </w:r>
    </w:p>
    <w:p w:rsidR="00146ACA" w:rsidRDefault="00146ACA" w:rsidP="00146ACA">
      <w:pPr>
        <w:spacing w:line="14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Варто відмітити, що формування елементів продуктивності залежало від дози «</w:t>
      </w:r>
      <w:proofErr w:type="spellStart"/>
      <w:r>
        <w:rPr>
          <w:rFonts w:ascii="Times New Roman" w:eastAsia="Times New Roman" w:hAnsi="Times New Roman"/>
          <w:sz w:val="28"/>
        </w:rPr>
        <w:t>Віталисту</w:t>
      </w:r>
      <w:proofErr w:type="spellEnd"/>
      <w:r>
        <w:rPr>
          <w:rFonts w:ascii="Times New Roman" w:eastAsia="Times New Roman" w:hAnsi="Times New Roman"/>
          <w:sz w:val="28"/>
        </w:rPr>
        <w:t>», внесеного в позакореневе підживлення.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Підживлення рослин кукурудзи органо-мінеральним добривом «</w:t>
      </w:r>
      <w:proofErr w:type="spellStart"/>
      <w:r>
        <w:rPr>
          <w:rFonts w:ascii="Times New Roman" w:eastAsia="Times New Roman" w:hAnsi="Times New Roman"/>
          <w:sz w:val="28"/>
        </w:rPr>
        <w:t>Віталист</w:t>
      </w:r>
      <w:proofErr w:type="spellEnd"/>
      <w:r>
        <w:rPr>
          <w:rFonts w:ascii="Times New Roman" w:eastAsia="Times New Roman" w:hAnsi="Times New Roman"/>
          <w:sz w:val="28"/>
        </w:rPr>
        <w:t xml:space="preserve">» сприяло підвищенню врожайності відносно контролю в середньому по удобрених варіантах на 6,8 ц/га, що складає 11,4%, притому від одинарної дози на 4,8ц/га, що становить 8,1%. Збільшення дози в 1,5 і 2 рази привело до підвищення урожайності зерна кукурудзи. За внесення 30л/га приріст урожайності склав 7,1 ц/га або 11,9%, а від 40л/га відповідно 8,5 ц/га і 14,3%. Максимальна врожайність зерна кукурудзи сформувалась за позакореневого підживлення рослин </w:t>
      </w:r>
      <w:proofErr w:type="spellStart"/>
      <w:r>
        <w:rPr>
          <w:rFonts w:ascii="Times New Roman" w:eastAsia="Times New Roman" w:hAnsi="Times New Roman"/>
          <w:sz w:val="28"/>
        </w:rPr>
        <w:t>віталистом</w:t>
      </w:r>
      <w:proofErr w:type="spellEnd"/>
      <w:r>
        <w:rPr>
          <w:rFonts w:ascii="Times New Roman" w:eastAsia="Times New Roman" w:hAnsi="Times New Roman"/>
          <w:sz w:val="28"/>
        </w:rPr>
        <w:t xml:space="preserve"> в дозі 40л/га.</w:t>
      </w:r>
    </w:p>
    <w:p w:rsidR="00146ACA" w:rsidRDefault="00146ACA" w:rsidP="00146ACA">
      <w:pPr>
        <w:spacing w:line="23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898"/>
        </w:tabs>
        <w:spacing w:line="237" w:lineRule="auto"/>
        <w:ind w:left="7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середньому за два роки зерно з мінімальним вмістом білка (10,10%) сформувалось на контролі. При застосуванні органо-мінерального добрива цей показник зріс в порівнянні з контролем в середньому на 0,45%, притому від внесення 20л/га і 30л/га відповідно на 0,31% і 0,44%. Максимальний вміст білка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 зерні кукурудзи одержано за внесення 40л/га </w:t>
      </w:r>
      <w:proofErr w:type="spellStart"/>
      <w:r>
        <w:rPr>
          <w:rFonts w:ascii="Times New Roman" w:eastAsia="Times New Roman" w:hAnsi="Times New Roman"/>
          <w:sz w:val="28"/>
        </w:rPr>
        <w:t>віталисту</w:t>
      </w:r>
      <w:proofErr w:type="spellEnd"/>
      <w:r>
        <w:rPr>
          <w:rFonts w:ascii="Times New Roman" w:eastAsia="Times New Roman" w:hAnsi="Times New Roman"/>
          <w:sz w:val="28"/>
        </w:rPr>
        <w:t>, який на 0,59% перевищував контроль.</w:t>
      </w:r>
    </w:p>
    <w:p w:rsidR="00146ACA" w:rsidRDefault="00146ACA" w:rsidP="00146ACA">
      <w:pPr>
        <w:spacing w:line="331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left="356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146ACA" w:rsidRDefault="00146ACA" w:rsidP="00146ACA">
      <w:pPr>
        <w:spacing w:line="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91"/>
        </w:tabs>
        <w:spacing w:line="234" w:lineRule="auto"/>
        <w:ind w:left="7" w:hanging="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Мандрика Р. Органо-мінеральні добрива: перспективи їхнього застосування. </w:t>
      </w:r>
      <w:r>
        <w:rPr>
          <w:rFonts w:ascii="Times New Roman" w:eastAsia="Times New Roman" w:hAnsi="Times New Roman"/>
          <w:i/>
          <w:sz w:val="24"/>
        </w:rPr>
        <w:t>Пропозиція</w:t>
      </w:r>
      <w:r>
        <w:rPr>
          <w:rFonts w:ascii="Times New Roman" w:eastAsia="Times New Roman" w:hAnsi="Times New Roman"/>
          <w:sz w:val="24"/>
        </w:rPr>
        <w:t>, 2007. № 4. С. 68-70.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91"/>
        </w:tabs>
        <w:spacing w:line="234" w:lineRule="auto"/>
        <w:ind w:left="7" w:hanging="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Скрильник</w:t>
      </w:r>
      <w:proofErr w:type="spellEnd"/>
      <w:r>
        <w:rPr>
          <w:rFonts w:ascii="Times New Roman" w:eastAsia="Times New Roman" w:hAnsi="Times New Roman"/>
          <w:sz w:val="24"/>
        </w:rPr>
        <w:t xml:space="preserve">, Є. В. Органо-мінеральні добрива – ефективний засіб підвищення рентабельності рослинництва. </w:t>
      </w:r>
      <w:r>
        <w:rPr>
          <w:rFonts w:ascii="Times New Roman" w:eastAsia="Times New Roman" w:hAnsi="Times New Roman"/>
          <w:i/>
          <w:sz w:val="24"/>
        </w:rPr>
        <w:t>Вісник ХНАУ</w:t>
      </w:r>
      <w:r>
        <w:rPr>
          <w:rFonts w:ascii="Times New Roman" w:eastAsia="Times New Roman" w:hAnsi="Times New Roman"/>
          <w:sz w:val="24"/>
        </w:rPr>
        <w:t>. 2009. Т1. С. 137-141.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91"/>
        </w:tabs>
        <w:spacing w:line="234" w:lineRule="auto"/>
        <w:ind w:left="7" w:right="20" w:hanging="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Худяков</w:t>
      </w:r>
      <w:proofErr w:type="spellEnd"/>
      <w:r>
        <w:rPr>
          <w:rFonts w:ascii="Times New Roman" w:eastAsia="Times New Roman" w:hAnsi="Times New Roman"/>
          <w:sz w:val="24"/>
        </w:rPr>
        <w:t xml:space="preserve"> А.И. </w:t>
      </w:r>
      <w:proofErr w:type="spellStart"/>
      <w:r>
        <w:rPr>
          <w:rFonts w:ascii="Times New Roman" w:eastAsia="Times New Roman" w:hAnsi="Times New Roman"/>
          <w:sz w:val="24"/>
        </w:rPr>
        <w:t>Эффективность</w:t>
      </w:r>
      <w:proofErr w:type="spellEnd"/>
      <w:r>
        <w:rPr>
          <w:rFonts w:ascii="Times New Roman" w:eastAsia="Times New Roman" w:hAnsi="Times New Roman"/>
          <w:sz w:val="24"/>
        </w:rPr>
        <w:t xml:space="preserve"> органо-</w:t>
      </w:r>
      <w:proofErr w:type="spellStart"/>
      <w:r>
        <w:rPr>
          <w:rFonts w:ascii="Times New Roman" w:eastAsia="Times New Roman" w:hAnsi="Times New Roman"/>
          <w:sz w:val="24"/>
        </w:rPr>
        <w:t>минерального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удобрения</w:t>
      </w:r>
      <w:proofErr w:type="spellEnd"/>
      <w:r>
        <w:rPr>
          <w:rFonts w:ascii="Times New Roman" w:eastAsia="Times New Roman" w:hAnsi="Times New Roman"/>
          <w:sz w:val="24"/>
        </w:rPr>
        <w:t xml:space="preserve"> «</w:t>
      </w:r>
      <w:proofErr w:type="spellStart"/>
      <w:r>
        <w:rPr>
          <w:rFonts w:ascii="Times New Roman" w:eastAsia="Times New Roman" w:hAnsi="Times New Roman"/>
          <w:sz w:val="24"/>
        </w:rPr>
        <w:t>Виталист</w:t>
      </w:r>
      <w:proofErr w:type="spellEnd"/>
      <w:r>
        <w:rPr>
          <w:rFonts w:ascii="Times New Roman" w:eastAsia="Times New Roman" w:hAnsi="Times New Roman"/>
          <w:sz w:val="24"/>
        </w:rPr>
        <w:t xml:space="preserve">» на </w:t>
      </w:r>
      <w:proofErr w:type="spellStart"/>
      <w:r>
        <w:rPr>
          <w:rFonts w:ascii="Times New Roman" w:eastAsia="Times New Roman" w:hAnsi="Times New Roman"/>
          <w:sz w:val="24"/>
        </w:rPr>
        <w:t>посевах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кукурузы</w:t>
      </w:r>
      <w:proofErr w:type="spellEnd"/>
      <w:r>
        <w:rPr>
          <w:rFonts w:ascii="Times New Roman" w:eastAsia="Times New Roman" w:hAnsi="Times New Roman"/>
          <w:sz w:val="24"/>
        </w:rPr>
        <w:t xml:space="preserve">. </w:t>
      </w:r>
      <w:r>
        <w:rPr>
          <w:rFonts w:ascii="Times New Roman" w:eastAsia="Times New Roman" w:hAnsi="Times New Roman"/>
          <w:i/>
          <w:sz w:val="24"/>
        </w:rPr>
        <w:t xml:space="preserve">Корма и </w:t>
      </w:r>
      <w:proofErr w:type="spellStart"/>
      <w:r>
        <w:rPr>
          <w:rFonts w:ascii="Times New Roman" w:eastAsia="Times New Roman" w:hAnsi="Times New Roman"/>
          <w:i/>
          <w:sz w:val="24"/>
        </w:rPr>
        <w:t>кормопроизводство</w:t>
      </w:r>
      <w:proofErr w:type="spellEnd"/>
      <w:r>
        <w:rPr>
          <w:rFonts w:ascii="Times New Roman" w:eastAsia="Times New Roman" w:hAnsi="Times New Roman"/>
          <w:sz w:val="24"/>
        </w:rPr>
        <w:t xml:space="preserve">. 2008, </w:t>
      </w:r>
      <w:proofErr w:type="spellStart"/>
      <w:r>
        <w:rPr>
          <w:rFonts w:ascii="Times New Roman" w:eastAsia="Times New Roman" w:hAnsi="Times New Roman"/>
          <w:sz w:val="24"/>
        </w:rPr>
        <w:t>Вып</w:t>
      </w:r>
      <w:proofErr w:type="spellEnd"/>
      <w:r>
        <w:rPr>
          <w:rFonts w:ascii="Times New Roman" w:eastAsia="Times New Roman" w:hAnsi="Times New Roman"/>
          <w:sz w:val="24"/>
        </w:rPr>
        <w:t>. 61. С.99-103.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361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Воропіна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Віра Олексіївна</w:t>
      </w:r>
    </w:p>
    <w:p w:rsidR="00146ACA" w:rsidRDefault="00146ACA" w:rsidP="00146ACA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асистент кафедри землеробства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146ACA" w:rsidRDefault="00146ACA" w:rsidP="00146ACA">
      <w:pPr>
        <w:spacing w:line="4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Татаренко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Ганна Борисівна</w:t>
      </w:r>
    </w:p>
    <w:p w:rsidR="00146ACA" w:rsidRDefault="00146ACA" w:rsidP="00146ACA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асистент кафедри землеробства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і агрохімії ім. </w:t>
      </w:r>
      <w:proofErr w:type="spellStart"/>
      <w:r>
        <w:rPr>
          <w:rFonts w:ascii="Times New Roman" w:eastAsia="Times New Roman" w:hAnsi="Times New Roman"/>
          <w:sz w:val="28"/>
        </w:rPr>
        <w:t>В.І.Сазанова</w:t>
      </w:r>
      <w:proofErr w:type="spellEnd"/>
    </w:p>
    <w:p w:rsidR="00146ACA" w:rsidRDefault="00146ACA" w:rsidP="00146ACA">
      <w:pPr>
        <w:spacing w:line="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Петренко Ірина Юріївна</w:t>
      </w:r>
    </w:p>
    <w:p w:rsidR="00146ACA" w:rsidRDefault="00146ACA" w:rsidP="00146ACA">
      <w:pPr>
        <w:spacing w:line="236" w:lineRule="auto"/>
        <w:ind w:right="20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здобувач вищої освіти СВО Магістр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державна аграрна академія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м. Полтава, Україна</w:t>
      </w:r>
    </w:p>
    <w:p w:rsidR="00146ACA" w:rsidRDefault="00146ACA" w:rsidP="00146ACA">
      <w:pPr>
        <w:spacing w:line="34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5" w:lineRule="auto"/>
        <w:ind w:right="13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ВПЛИВ ХЕЛАТНИХ КОМПЛЕКСНИХ ДОБРИВ НА УРОЖАЙНІСТЬ І ЯКІСТЬ НАСІННЯ СОНЯШНИКУ</w:t>
      </w:r>
    </w:p>
    <w:p w:rsidR="00146ACA" w:rsidRDefault="00146ACA" w:rsidP="00146ACA">
      <w:pPr>
        <w:spacing w:line="332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6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 сьогодні перспективним напрямом у землеробстві є стратегія оптимізації живлення рослин з урахуванням органогенезу. Застосування позакореневого підживлення як елементу технології вирощування</w:t>
      </w: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59</w:t>
      </w: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146ACA">
          <w:pgSz w:w="11900" w:h="16838"/>
          <w:pgMar w:top="1138" w:right="1126" w:bottom="429" w:left="1133" w:header="0" w:footer="0" w:gutter="0"/>
          <w:cols w:space="0" w:equalWidth="0">
            <w:col w:w="9647"/>
          </w:cols>
          <w:docGrid w:linePitch="360"/>
        </w:sectPr>
      </w:pPr>
    </w:p>
    <w:p w:rsidR="00146ACA" w:rsidRDefault="00146ACA" w:rsidP="00146ACA">
      <w:pPr>
        <w:spacing w:line="237" w:lineRule="auto"/>
        <w:ind w:left="7" w:right="20"/>
        <w:jc w:val="both"/>
        <w:rPr>
          <w:rFonts w:ascii="Times New Roman" w:eastAsia="Times New Roman" w:hAnsi="Times New Roman"/>
          <w:sz w:val="28"/>
        </w:rPr>
      </w:pPr>
      <w:bookmarkStart w:id="2" w:name="page60"/>
      <w:bookmarkEnd w:id="2"/>
      <w:r>
        <w:rPr>
          <w:rFonts w:ascii="Times New Roman" w:eastAsia="Times New Roman" w:hAnsi="Times New Roman"/>
          <w:sz w:val="28"/>
        </w:rPr>
        <w:lastRenderedPageBreak/>
        <w:t>сільськогосподарських культур дозволяє знівелювати нерентабельне витрачання добрив, усунувши небажану трансформацію поживних елементів у ґрунті.</w:t>
      </w:r>
    </w:p>
    <w:p w:rsidR="00146ACA" w:rsidRDefault="00146ACA" w:rsidP="00146ACA">
      <w:pPr>
        <w:spacing w:line="14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Питання оптимізації живлення рослин </w:t>
      </w:r>
      <w:proofErr w:type="spellStart"/>
      <w:r>
        <w:rPr>
          <w:rFonts w:ascii="Times New Roman" w:eastAsia="Times New Roman" w:hAnsi="Times New Roman"/>
          <w:sz w:val="28"/>
        </w:rPr>
        <w:t>макро</w:t>
      </w:r>
      <w:proofErr w:type="spellEnd"/>
      <w:r>
        <w:rPr>
          <w:rFonts w:ascii="Times New Roman" w:eastAsia="Times New Roman" w:hAnsi="Times New Roman"/>
          <w:sz w:val="28"/>
        </w:rPr>
        <w:t>- та мікроелементами з метою підвищення продуктивності і якості зерна ще недостатньо вивчене і потребує подальших досліджень. Необхідно розробити таку систему застосування добрив, яка сприяла б оптимізації живлення рослин, усувала небезпеку забруднення ґрунту та продукції рослинництва небезпечними токсикантами, зберігаючи й підвищуючи при цьому показники родючості ґрунту [1].</w:t>
      </w:r>
    </w:p>
    <w:p w:rsidR="00146ACA" w:rsidRDefault="00146ACA" w:rsidP="00146ACA">
      <w:pPr>
        <w:spacing w:line="16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 переваг позакореневого підживлення рослин відносять: підвищення коефіцієнту корисної дії добрива; усунення перетворення поживних речовин добрив у недоступний стан у ґрунті; рівномірний розподіл на площі дуже малих кількостей поживних речовин, що особливо важливе для підживлення мікроелементами; зменшення стресів рослин від природних аномалій погоди та пристосування їх до оточуючого середовища [2,3].</w:t>
      </w:r>
    </w:p>
    <w:p w:rsidR="00146ACA" w:rsidRDefault="00146ACA" w:rsidP="00146ACA">
      <w:pPr>
        <w:spacing w:line="3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left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Вчасно проведені позакореневі підживлення оптимальними дозами </w:t>
      </w:r>
      <w:proofErr w:type="spellStart"/>
      <w:r>
        <w:rPr>
          <w:rFonts w:ascii="Times New Roman" w:eastAsia="Times New Roman" w:hAnsi="Times New Roman"/>
          <w:sz w:val="28"/>
        </w:rPr>
        <w:t>макро</w:t>
      </w:r>
      <w:proofErr w:type="spellEnd"/>
      <w:r>
        <w:rPr>
          <w:rFonts w:ascii="Times New Roman" w:eastAsia="Times New Roman" w:hAnsi="Times New Roman"/>
          <w:sz w:val="28"/>
        </w:rPr>
        <w:t>-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27"/>
        </w:tabs>
        <w:spacing w:line="234" w:lineRule="auto"/>
        <w:ind w:left="7" w:right="20" w:hanging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мікроелементів </w:t>
      </w:r>
      <w:proofErr w:type="spellStart"/>
      <w:r>
        <w:rPr>
          <w:rFonts w:ascii="Times New Roman" w:eastAsia="Times New Roman" w:hAnsi="Times New Roman"/>
          <w:sz w:val="28"/>
        </w:rPr>
        <w:t>створять</w:t>
      </w:r>
      <w:proofErr w:type="spellEnd"/>
      <w:r>
        <w:rPr>
          <w:rFonts w:ascii="Times New Roman" w:eastAsia="Times New Roman" w:hAnsi="Times New Roman"/>
          <w:sz w:val="28"/>
        </w:rPr>
        <w:t xml:space="preserve"> сприятливі умови для росту і розвитку рослин в подальші фази їх онтогенезу [4].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4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Дослід був закладений на чорноземі опідзоленому </w:t>
      </w:r>
      <w:proofErr w:type="spellStart"/>
      <w:r>
        <w:rPr>
          <w:rFonts w:ascii="Times New Roman" w:eastAsia="Times New Roman" w:hAnsi="Times New Roman"/>
          <w:sz w:val="28"/>
        </w:rPr>
        <w:t>середньозмитому</w:t>
      </w:r>
      <w:proofErr w:type="spellEnd"/>
      <w:r>
        <w:rPr>
          <w:rFonts w:ascii="Times New Roman" w:eastAsia="Times New Roman" w:hAnsi="Times New Roman"/>
          <w:sz w:val="28"/>
        </w:rPr>
        <w:t xml:space="preserve">, з вмістом в орному шарі ґрунту гумусу (за </w:t>
      </w:r>
      <w:proofErr w:type="spellStart"/>
      <w:r>
        <w:rPr>
          <w:rFonts w:ascii="Times New Roman" w:eastAsia="Times New Roman" w:hAnsi="Times New Roman"/>
          <w:sz w:val="28"/>
        </w:rPr>
        <w:t>Тюріним</w:t>
      </w:r>
      <w:proofErr w:type="spellEnd"/>
      <w:r>
        <w:rPr>
          <w:rFonts w:ascii="Times New Roman" w:eastAsia="Times New Roman" w:hAnsi="Times New Roman"/>
          <w:sz w:val="28"/>
        </w:rPr>
        <w:t>) – 4,23%, рухомого фосфору</w:t>
      </w:r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168"/>
        </w:tabs>
        <w:spacing w:line="236" w:lineRule="auto"/>
        <w:ind w:left="7" w:right="20" w:hanging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обмінного калію (за </w:t>
      </w:r>
      <w:proofErr w:type="spellStart"/>
      <w:r>
        <w:rPr>
          <w:rFonts w:ascii="Times New Roman" w:eastAsia="Times New Roman" w:hAnsi="Times New Roman"/>
          <w:sz w:val="28"/>
        </w:rPr>
        <w:t>Чиріковим</w:t>
      </w:r>
      <w:proofErr w:type="spellEnd"/>
      <w:r>
        <w:rPr>
          <w:rFonts w:ascii="Times New Roman" w:eastAsia="Times New Roman" w:hAnsi="Times New Roman"/>
          <w:sz w:val="28"/>
        </w:rPr>
        <w:t xml:space="preserve">) –12,0 і 13,6 мг на 100 г ґрунту відповідно, </w:t>
      </w:r>
      <w:proofErr w:type="spellStart"/>
      <w:r>
        <w:rPr>
          <w:rFonts w:ascii="Times New Roman" w:eastAsia="Times New Roman" w:hAnsi="Times New Roman"/>
          <w:sz w:val="28"/>
        </w:rPr>
        <w:t>рН</w:t>
      </w:r>
      <w:proofErr w:type="spellEnd"/>
      <w:r>
        <w:rPr>
          <w:rFonts w:ascii="Times New Roman" w:eastAsia="Times New Roman" w:hAnsi="Times New Roman"/>
          <w:sz w:val="28"/>
        </w:rPr>
        <w:t xml:space="preserve"> (сольове) - 6,8, гідролітична кислотність 2,84 мг/еквівалент на 100 г ґрунту, ступінь насиченості основами 82%.</w:t>
      </w:r>
    </w:p>
    <w:p w:rsidR="00146ACA" w:rsidRDefault="00146ACA" w:rsidP="00146ACA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6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Схема досліду: 1.Контроль; 2.Адоб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4кг/га - І строк; 3.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4кг/га - ІІ строк; 4.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Олійний 4 л/га - І строк; 5.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Олійний 4 л/га - ІІ строк</w:t>
      </w:r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4" w:lineRule="auto"/>
        <w:ind w:left="7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Обробку ділянок проводили в І строк в фазі 3-4 листків, а в ІІ строк в фазі 7-8 листків.</w:t>
      </w:r>
    </w:p>
    <w:p w:rsidR="00146ACA" w:rsidRDefault="00146ACA" w:rsidP="00146ACA">
      <w:pPr>
        <w:spacing w:line="2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23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Загальна площа ділянки 50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 (4,9 х 10,2). Обприскування добривами проводили за допомогою ранцевого обприскувача, на одну ділянку брали по 20мл </w:t>
      </w:r>
      <w:proofErr w:type="spellStart"/>
      <w:r>
        <w:rPr>
          <w:rFonts w:ascii="Times New Roman" w:eastAsia="Times New Roman" w:hAnsi="Times New Roman"/>
          <w:sz w:val="28"/>
        </w:rPr>
        <w:t>Квантуму</w:t>
      </w:r>
      <w:proofErr w:type="spellEnd"/>
      <w:r>
        <w:rPr>
          <w:rFonts w:ascii="Times New Roman" w:eastAsia="Times New Roman" w:hAnsi="Times New Roman"/>
          <w:sz w:val="28"/>
        </w:rPr>
        <w:t xml:space="preserve"> і 20 г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>, розчиняли в 2 л води (із розрахунку 400 л/га розчину).</w:t>
      </w:r>
    </w:p>
    <w:p w:rsidR="00146ACA" w:rsidRDefault="00146ACA" w:rsidP="00146ACA">
      <w:pPr>
        <w:spacing w:line="4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01" w:lineRule="auto"/>
        <w:ind w:left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Площа облікової ділянки 35,7 м</w:t>
      </w:r>
      <w:r>
        <w:rPr>
          <w:rFonts w:ascii="Times New Roman" w:eastAsia="Times New Roman" w:hAnsi="Times New Roman"/>
          <w:sz w:val="36"/>
          <w:vertAlign w:val="superscript"/>
        </w:rPr>
        <w:t>2</w:t>
      </w:r>
      <w:r>
        <w:rPr>
          <w:rFonts w:ascii="Times New Roman" w:eastAsia="Times New Roman" w:hAnsi="Times New Roman"/>
          <w:sz w:val="28"/>
        </w:rPr>
        <w:t xml:space="preserve"> (3,5 х 10,2).</w:t>
      </w:r>
    </w:p>
    <w:p w:rsidR="00146ACA" w:rsidRDefault="00146ACA" w:rsidP="00146ACA">
      <w:pPr>
        <w:spacing w:line="213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Сівбу проводили пунктирним способом сівалкою СУПН-8 з одночасним внесенням в рядок N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>P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>K</w:t>
      </w:r>
      <w:r>
        <w:rPr>
          <w:rFonts w:ascii="Times New Roman" w:eastAsia="Times New Roman" w:hAnsi="Times New Roman"/>
          <w:sz w:val="36"/>
          <w:vertAlign w:val="subscript"/>
        </w:rPr>
        <w:t>45</w:t>
      </w:r>
      <w:r>
        <w:rPr>
          <w:rFonts w:ascii="Times New Roman" w:eastAsia="Times New Roman" w:hAnsi="Times New Roman"/>
          <w:sz w:val="28"/>
        </w:rPr>
        <w:t xml:space="preserve"> (по 265кг </w:t>
      </w:r>
      <w:proofErr w:type="spellStart"/>
      <w:r>
        <w:rPr>
          <w:rFonts w:ascii="Times New Roman" w:eastAsia="Times New Roman" w:hAnsi="Times New Roman"/>
          <w:sz w:val="28"/>
        </w:rPr>
        <w:t>нітроамофоски</w:t>
      </w:r>
      <w:proofErr w:type="spellEnd"/>
      <w:r>
        <w:rPr>
          <w:rFonts w:ascii="Times New Roman" w:eastAsia="Times New Roman" w:hAnsi="Times New Roman"/>
          <w:sz w:val="28"/>
        </w:rPr>
        <w:t>). Норма висіву 65 тис. штук на гектар.</w:t>
      </w:r>
    </w:p>
    <w:p w:rsidR="00146ACA" w:rsidRDefault="00146ACA" w:rsidP="00146ACA">
      <w:pPr>
        <w:spacing w:line="2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0" w:lineRule="atLeast"/>
        <w:ind w:left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Гібрид соняшнику НК </w:t>
      </w:r>
      <w:proofErr w:type="spellStart"/>
      <w:r>
        <w:rPr>
          <w:rFonts w:ascii="Times New Roman" w:eastAsia="Times New Roman" w:hAnsi="Times New Roman"/>
          <w:sz w:val="28"/>
        </w:rPr>
        <w:t>Конді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4" w:lineRule="auto"/>
        <w:ind w:left="567" w:right="11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Повторність досліду </w:t>
      </w:r>
      <w:proofErr w:type="spellStart"/>
      <w:r>
        <w:rPr>
          <w:rFonts w:ascii="Times New Roman" w:eastAsia="Times New Roman" w:hAnsi="Times New Roman"/>
          <w:sz w:val="28"/>
        </w:rPr>
        <w:t>трьохразова</w:t>
      </w:r>
      <w:proofErr w:type="spellEnd"/>
      <w:r>
        <w:rPr>
          <w:rFonts w:ascii="Times New Roman" w:eastAsia="Times New Roman" w:hAnsi="Times New Roman"/>
          <w:sz w:val="28"/>
        </w:rPr>
        <w:t>, розміщення ділянок послідовне. Збирання врожаю проводили вручну.</w:t>
      </w:r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15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Вологість насіння визначали термостатно-ваговим методом, насіння висушували при 105</w:t>
      </w:r>
      <w:r>
        <w:rPr>
          <w:rFonts w:ascii="Times New Roman" w:eastAsia="Times New Roman" w:hAnsi="Times New Roman"/>
          <w:sz w:val="36"/>
          <w:vertAlign w:val="superscript"/>
        </w:rPr>
        <w:t>о</w:t>
      </w:r>
      <w:r>
        <w:rPr>
          <w:rFonts w:ascii="Times New Roman" w:eastAsia="Times New Roman" w:hAnsi="Times New Roman"/>
          <w:sz w:val="28"/>
        </w:rPr>
        <w:t xml:space="preserve">С до постійної маси. Вміст олії визначали в </w:t>
      </w:r>
      <w:proofErr w:type="spellStart"/>
      <w:r>
        <w:rPr>
          <w:rFonts w:ascii="Times New Roman" w:eastAsia="Times New Roman" w:hAnsi="Times New Roman"/>
          <w:sz w:val="28"/>
        </w:rPr>
        <w:t>апараті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Сокслета</w:t>
      </w:r>
      <w:proofErr w:type="spellEnd"/>
      <w:r>
        <w:rPr>
          <w:rFonts w:ascii="Times New Roman" w:eastAsia="Times New Roman" w:hAnsi="Times New Roman"/>
          <w:sz w:val="28"/>
        </w:rPr>
        <w:t xml:space="preserve"> шляхом екстрагування.</w:t>
      </w:r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4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Результати досліджень показали, що застосування мікродобрив суттєво не впливає на формування густоти рослин соняшнику, а маса насіння з однієї</w:t>
      </w:r>
    </w:p>
    <w:p w:rsidR="00146ACA" w:rsidRDefault="00146ACA" w:rsidP="00146ACA">
      <w:pPr>
        <w:spacing w:line="27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60</w:t>
      </w: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146ACA">
          <w:pgSz w:w="11900" w:h="16838"/>
          <w:pgMar w:top="1138" w:right="1126" w:bottom="430" w:left="1133" w:header="0" w:footer="0" w:gutter="0"/>
          <w:cols w:space="0" w:equalWidth="0">
            <w:col w:w="9647"/>
          </w:cols>
          <w:docGrid w:linePitch="360"/>
        </w:sectPr>
      </w:pPr>
    </w:p>
    <w:p w:rsidR="00146ACA" w:rsidRDefault="00146ACA" w:rsidP="00146ACA">
      <w:pPr>
        <w:spacing w:line="237" w:lineRule="auto"/>
        <w:ind w:left="7" w:right="20"/>
        <w:jc w:val="both"/>
        <w:rPr>
          <w:rFonts w:ascii="Times New Roman" w:eastAsia="Times New Roman" w:hAnsi="Times New Roman"/>
          <w:sz w:val="28"/>
        </w:rPr>
      </w:pPr>
      <w:bookmarkStart w:id="3" w:name="page61"/>
      <w:bookmarkEnd w:id="3"/>
      <w:r>
        <w:rPr>
          <w:rFonts w:ascii="Times New Roman" w:eastAsia="Times New Roman" w:hAnsi="Times New Roman"/>
          <w:sz w:val="28"/>
        </w:rPr>
        <w:lastRenderedPageBreak/>
        <w:t>рослини зростає в порівнянні з контролем в середньому по удобреним варіантам на 4,2г, що становить 6,9%, притому від застосування в І строк на 5,0г, що становить 8,1%, а в ІІ строк відповідно на 3,5г і 5,6%.</w:t>
      </w:r>
    </w:p>
    <w:p w:rsidR="00146ACA" w:rsidRDefault="00146ACA" w:rsidP="00146ACA">
      <w:pPr>
        <w:spacing w:line="14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6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За використання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маса насіння з однієї рослини збільшилась в порівнянні з контролем на 5,4 г, або 8,8% в І строк і відповідно на 3,6 г, або 5,9% в ІІ строк.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5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При застосуванні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олійного в І строк цей показник зріс на 4,5 г, що складає 7,3%, а в ІІ строк відповідно на 3,3 г і 5,4%.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6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Маса 1000 насінин від внесення комплексних хелатних мікродобрив зростає в середньому на 2,8 г (5,1%), притому від застосування в І строк на 3,1г (5,6%), а в ІІ строк відповідно на 2,5г і 4,5%.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7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Слід відмітити, що за підживлення комплексним </w:t>
      </w:r>
      <w:proofErr w:type="spellStart"/>
      <w:r>
        <w:rPr>
          <w:rFonts w:ascii="Times New Roman" w:eastAsia="Times New Roman" w:hAnsi="Times New Roman"/>
          <w:sz w:val="28"/>
        </w:rPr>
        <w:t>хелатним</w:t>
      </w:r>
      <w:proofErr w:type="spellEnd"/>
      <w:r>
        <w:rPr>
          <w:rFonts w:ascii="Times New Roman" w:eastAsia="Times New Roman" w:hAnsi="Times New Roman"/>
          <w:sz w:val="28"/>
        </w:rPr>
        <w:t xml:space="preserve"> добривом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елементи продуктивності сформувались дещо вищими, ніж від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Олійний.</w:t>
      </w:r>
    </w:p>
    <w:p w:rsidR="00146ACA" w:rsidRDefault="00146ACA" w:rsidP="00146ACA">
      <w:pPr>
        <w:spacing w:line="14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right="20" w:firstLine="63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Застосування комплексних хелатних добрив позитивно впливає на формування урожайності насіння соняшнику.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right="2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 обприскуванні добривами цей показник зріс в середньому на 2,6 ц/га, що становить 7,7%.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 внесення добрив в І строк, в фазі 3-4 листків, урожайність насіння соняшнику збільшилась в середньому на 3,1 ц/га ( 9,0%), а в ІІ строк, в фазі 7-8 пар листків , на 2,2 ц/га (6,4%).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За підживлення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урожайність насіння соняшнику зросла в середньому на 2,4 ц/га (7,0%), притому за внесення в І строк на 2,7 ц/га (8,0%), і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32"/>
        </w:tabs>
        <w:spacing w:line="234" w:lineRule="auto"/>
        <w:ind w:left="7" w:hanging="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ІІ строк на 2,0 ц/га (5,9%), від застосування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в І строк на 3,4 ц/га (10,1%), а в ІІ строк відповідно на 2,3 ц/га (6,8%).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5" w:lineRule="auto"/>
        <w:ind w:left="7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Підживлення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олійним майже рівнозначні по ефективності.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6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Слід відмітити, що значно вища урожайність соняшнику сформувалась на варіантах з застосуванням комплексних хелатних добрив в І строк, в фазі 3-4 листків, ніж в ІІ строк, в фазі 7-8 пар листків.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При застосуванні комплексних хелатних добрив вміст олії зріс в середньому на 0,8%, притому за внесення в перший строк, в фазі 3-4 листків, на 0,6%, а в другий строк на 1,0%. Максимальний вміст олії в насінні соняшнику </w:t>
      </w:r>
      <w:proofErr w:type="spellStart"/>
      <w:r>
        <w:rPr>
          <w:rFonts w:ascii="Times New Roman" w:eastAsia="Times New Roman" w:hAnsi="Times New Roman"/>
          <w:sz w:val="28"/>
        </w:rPr>
        <w:t>відмічено</w:t>
      </w:r>
      <w:proofErr w:type="spellEnd"/>
      <w:r>
        <w:rPr>
          <w:rFonts w:ascii="Times New Roman" w:eastAsia="Times New Roman" w:hAnsi="Times New Roman"/>
          <w:sz w:val="28"/>
        </w:rPr>
        <w:t xml:space="preserve"> за позакореневого підживлення комплексним добривом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</w:t>
      </w:r>
      <w:proofErr w:type="spellEnd"/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52"/>
        </w:tabs>
        <w:spacing w:line="236" w:lineRule="auto"/>
        <w:ind w:left="7" w:right="20" w:hanging="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Мікро в ІІ строк, приріст склав 1,1%. Слід відмітити, що вміст олії в насінні соняшнику залежав від строків проведення обприскування добривами і майже не залежав від виду добрива.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Господарська цінність насіння соняшнику визначається виходом олії з гектара, який за використання комплексних хелатних добрив зростає в середньому на 1,49ц/га, притому за внесення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Макро+Мікро</w:t>
      </w:r>
      <w:proofErr w:type="spellEnd"/>
      <w:r>
        <w:rPr>
          <w:rFonts w:ascii="Times New Roman" w:eastAsia="Times New Roman" w:hAnsi="Times New Roman"/>
          <w:sz w:val="28"/>
        </w:rPr>
        <w:t xml:space="preserve"> на 1,65 ц/га (10,6%), а за підживлення </w:t>
      </w:r>
      <w:proofErr w:type="spellStart"/>
      <w:r>
        <w:rPr>
          <w:rFonts w:ascii="Times New Roman" w:eastAsia="Times New Roman" w:hAnsi="Times New Roman"/>
          <w:sz w:val="28"/>
        </w:rPr>
        <w:t>Квантум</w:t>
      </w:r>
      <w:proofErr w:type="spellEnd"/>
      <w:r>
        <w:rPr>
          <w:rFonts w:ascii="Times New Roman" w:eastAsia="Times New Roman" w:hAnsi="Times New Roman"/>
          <w:sz w:val="28"/>
        </w:rPr>
        <w:t xml:space="preserve"> олійний на 1,34 ц/га (8,6%).</w:t>
      </w:r>
    </w:p>
    <w:p w:rsidR="00146ACA" w:rsidRDefault="00146ACA" w:rsidP="00146ACA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4" w:lineRule="auto"/>
        <w:ind w:left="7" w:right="20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Найбільший вихід олії </w:t>
      </w:r>
      <w:proofErr w:type="spellStart"/>
      <w:r>
        <w:rPr>
          <w:rFonts w:ascii="Times New Roman" w:eastAsia="Times New Roman" w:hAnsi="Times New Roman"/>
          <w:sz w:val="28"/>
        </w:rPr>
        <w:t>відмічено</w:t>
      </w:r>
      <w:proofErr w:type="spellEnd"/>
      <w:r>
        <w:rPr>
          <w:rFonts w:ascii="Times New Roman" w:eastAsia="Times New Roman" w:hAnsi="Times New Roman"/>
          <w:sz w:val="28"/>
        </w:rPr>
        <w:t xml:space="preserve"> на варіанті з внесенням </w:t>
      </w:r>
      <w:proofErr w:type="spellStart"/>
      <w:r>
        <w:rPr>
          <w:rFonts w:ascii="Times New Roman" w:eastAsia="Times New Roman" w:hAnsi="Times New Roman"/>
          <w:sz w:val="28"/>
        </w:rPr>
        <w:t>Адоб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Макро</w:t>
      </w:r>
      <w:proofErr w:type="spellEnd"/>
      <w:r>
        <w:rPr>
          <w:rFonts w:ascii="Times New Roman" w:eastAsia="Times New Roman" w:hAnsi="Times New Roman"/>
          <w:sz w:val="28"/>
        </w:rPr>
        <w:t xml:space="preserve"> + Мікро в І строк, який склав 17,41 ц/га, що на 1,83 ц/га більше від контролю.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39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61</w:t>
      </w: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  <w:sectPr w:rsidR="00146ACA">
          <w:pgSz w:w="11900" w:h="16838"/>
          <w:pgMar w:top="1138" w:right="1126" w:bottom="430" w:left="1133" w:header="0" w:footer="0" w:gutter="0"/>
          <w:cols w:space="0" w:equalWidth="0">
            <w:col w:w="9647"/>
          </w:cols>
          <w:docGrid w:linePitch="360"/>
        </w:sectPr>
      </w:pPr>
    </w:p>
    <w:p w:rsidR="00146ACA" w:rsidRDefault="00146ACA" w:rsidP="00146ACA">
      <w:pPr>
        <w:spacing w:line="237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bookmarkStart w:id="4" w:name="page62"/>
      <w:bookmarkEnd w:id="4"/>
      <w:r>
        <w:rPr>
          <w:rFonts w:ascii="Times New Roman" w:eastAsia="Times New Roman" w:hAnsi="Times New Roman"/>
          <w:sz w:val="28"/>
        </w:rPr>
        <w:lastRenderedPageBreak/>
        <w:t xml:space="preserve">Таким чином, позакореневе підживлення комплексними </w:t>
      </w:r>
      <w:proofErr w:type="spellStart"/>
      <w:r>
        <w:rPr>
          <w:rFonts w:ascii="Times New Roman" w:eastAsia="Times New Roman" w:hAnsi="Times New Roman"/>
          <w:sz w:val="28"/>
        </w:rPr>
        <w:t>хелатними</w:t>
      </w:r>
      <w:proofErr w:type="spellEnd"/>
      <w:r>
        <w:rPr>
          <w:rFonts w:ascii="Times New Roman" w:eastAsia="Times New Roman" w:hAnsi="Times New Roman"/>
          <w:sz w:val="28"/>
        </w:rPr>
        <w:t xml:space="preserve"> добривами позитивно впливає на вміст олії в насінні соняшнику та вихід її з одиниці площі.</w:t>
      </w:r>
    </w:p>
    <w:p w:rsidR="00146ACA" w:rsidRDefault="00146ACA" w:rsidP="00146ACA">
      <w:pPr>
        <w:spacing w:line="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left="3567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Бібліографічний список</w:t>
      </w:r>
    </w:p>
    <w:p w:rsidR="00146ACA" w:rsidRDefault="00146ACA" w:rsidP="00146ACA">
      <w:pPr>
        <w:numPr>
          <w:ilvl w:val="0"/>
          <w:numId w:val="1"/>
        </w:numPr>
        <w:tabs>
          <w:tab w:val="left" w:pos="287"/>
        </w:tabs>
        <w:spacing w:line="233" w:lineRule="auto"/>
        <w:ind w:left="287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Анішин</w:t>
      </w:r>
      <w:proofErr w:type="spellEnd"/>
      <w:r>
        <w:rPr>
          <w:rFonts w:ascii="Times New Roman" w:eastAsia="Times New Roman" w:hAnsi="Times New Roman"/>
          <w:sz w:val="24"/>
        </w:rPr>
        <w:t xml:space="preserve"> С.Л. Підживлення </w:t>
      </w:r>
      <w:proofErr w:type="spellStart"/>
      <w:r>
        <w:rPr>
          <w:rFonts w:ascii="Times New Roman" w:eastAsia="Times New Roman" w:hAnsi="Times New Roman"/>
          <w:sz w:val="24"/>
        </w:rPr>
        <w:t>хелатами</w:t>
      </w:r>
      <w:proofErr w:type="spellEnd"/>
      <w:r>
        <w:rPr>
          <w:rFonts w:ascii="Times New Roman" w:eastAsia="Times New Roman" w:hAnsi="Times New Roman"/>
          <w:sz w:val="24"/>
        </w:rPr>
        <w:t xml:space="preserve"> - запорука високого врожаю.  </w:t>
      </w:r>
      <w:r>
        <w:rPr>
          <w:rFonts w:ascii="Times New Roman" w:eastAsia="Times New Roman" w:hAnsi="Times New Roman"/>
          <w:i/>
          <w:sz w:val="24"/>
        </w:rPr>
        <w:t>Агроном.</w:t>
      </w:r>
      <w:r>
        <w:rPr>
          <w:rFonts w:ascii="Times New Roman" w:eastAsia="Times New Roman" w:hAnsi="Times New Roman"/>
          <w:sz w:val="24"/>
        </w:rPr>
        <w:t xml:space="preserve"> 2011. № 2. С.</w:t>
      </w:r>
    </w:p>
    <w:p w:rsidR="00146ACA" w:rsidRDefault="00146ACA" w:rsidP="00146ACA">
      <w:pPr>
        <w:spacing w:line="0" w:lineRule="atLeast"/>
        <w:ind w:left="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34-36.</w:t>
      </w:r>
    </w:p>
    <w:p w:rsidR="00146ACA" w:rsidRDefault="00146ACA" w:rsidP="00146ACA">
      <w:pPr>
        <w:numPr>
          <w:ilvl w:val="0"/>
          <w:numId w:val="1"/>
        </w:numPr>
        <w:tabs>
          <w:tab w:val="left" w:pos="287"/>
        </w:tabs>
        <w:spacing w:line="0" w:lineRule="atLeast"/>
        <w:ind w:left="287" w:hanging="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Васюта М.І. Підживлення – крок до успіху. </w:t>
      </w:r>
      <w:r>
        <w:rPr>
          <w:rFonts w:ascii="Times New Roman" w:eastAsia="Times New Roman" w:hAnsi="Times New Roman"/>
          <w:i/>
          <w:sz w:val="24"/>
        </w:rPr>
        <w:t>Агробізнес сьогодні</w:t>
      </w:r>
      <w:r>
        <w:rPr>
          <w:rFonts w:ascii="Times New Roman" w:eastAsia="Times New Roman" w:hAnsi="Times New Roman"/>
          <w:sz w:val="24"/>
        </w:rPr>
        <w:t>. 2015. № 6. С.18-23.</w:t>
      </w:r>
    </w:p>
    <w:p w:rsidR="00146ACA" w:rsidRDefault="00146ACA" w:rsidP="00146ACA">
      <w:pPr>
        <w:spacing w:line="12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87"/>
        </w:tabs>
        <w:spacing w:line="234" w:lineRule="auto"/>
        <w:ind w:left="287" w:right="20" w:hanging="287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Дудка М., </w:t>
      </w:r>
      <w:proofErr w:type="spellStart"/>
      <w:r>
        <w:rPr>
          <w:rFonts w:ascii="Times New Roman" w:eastAsia="Times New Roman" w:hAnsi="Times New Roman"/>
          <w:sz w:val="24"/>
        </w:rPr>
        <w:t>Черчель</w:t>
      </w:r>
      <w:proofErr w:type="spellEnd"/>
      <w:r>
        <w:rPr>
          <w:rFonts w:ascii="Times New Roman" w:eastAsia="Times New Roman" w:hAnsi="Times New Roman"/>
          <w:sz w:val="24"/>
        </w:rPr>
        <w:t xml:space="preserve"> В. Позакореневе підживлення: необхідність чи альтернатива? </w:t>
      </w:r>
      <w:r>
        <w:rPr>
          <w:rFonts w:ascii="Times New Roman" w:eastAsia="Times New Roman" w:hAnsi="Times New Roman"/>
          <w:i/>
          <w:sz w:val="24"/>
        </w:rPr>
        <w:t>Агроном</w:t>
      </w:r>
      <w:r>
        <w:rPr>
          <w:rFonts w:ascii="Times New Roman" w:eastAsia="Times New Roman" w:hAnsi="Times New Roman"/>
          <w:sz w:val="24"/>
        </w:rPr>
        <w:t>. 2009. № 3. С.14-17.</w:t>
      </w:r>
    </w:p>
    <w:p w:rsidR="00146ACA" w:rsidRDefault="00146ACA" w:rsidP="00146AC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287"/>
        </w:tabs>
        <w:spacing w:line="0" w:lineRule="atLeast"/>
        <w:ind w:left="287" w:hanging="287"/>
        <w:rPr>
          <w:rFonts w:ascii="Times New Roman" w:eastAsia="Times New Roman" w:hAnsi="Times New Roman"/>
          <w:sz w:val="24"/>
        </w:rPr>
      </w:pPr>
      <w:proofErr w:type="spellStart"/>
      <w:r>
        <w:rPr>
          <w:rFonts w:ascii="Times New Roman" w:eastAsia="Times New Roman" w:hAnsi="Times New Roman"/>
          <w:sz w:val="24"/>
        </w:rPr>
        <w:t>Лихочвор</w:t>
      </w:r>
      <w:proofErr w:type="spellEnd"/>
      <w:r>
        <w:rPr>
          <w:rFonts w:ascii="Times New Roman" w:eastAsia="Times New Roman" w:hAnsi="Times New Roman"/>
          <w:sz w:val="24"/>
        </w:rPr>
        <w:t xml:space="preserve"> В. </w:t>
      </w:r>
      <w:proofErr w:type="spellStart"/>
      <w:r>
        <w:rPr>
          <w:rFonts w:ascii="Times New Roman" w:eastAsia="Times New Roman" w:hAnsi="Times New Roman"/>
          <w:sz w:val="24"/>
        </w:rPr>
        <w:t>Особенности</w:t>
      </w:r>
      <w:proofErr w:type="spellEnd"/>
      <w:r>
        <w:rPr>
          <w:rFonts w:ascii="Times New Roman" w:eastAsia="Times New Roman" w:hAnsi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</w:rPr>
        <w:t>листовой</w:t>
      </w:r>
      <w:proofErr w:type="spellEnd"/>
      <w:r>
        <w:rPr>
          <w:rFonts w:ascii="Times New Roman" w:eastAsia="Times New Roman" w:hAnsi="Times New Roman"/>
          <w:sz w:val="24"/>
        </w:rPr>
        <w:t xml:space="preserve"> підкормки. </w:t>
      </w:r>
      <w:r>
        <w:rPr>
          <w:rFonts w:ascii="Times New Roman" w:eastAsia="Times New Roman" w:hAnsi="Times New Roman"/>
          <w:i/>
          <w:sz w:val="24"/>
        </w:rPr>
        <w:t>Зерно</w:t>
      </w:r>
      <w:r>
        <w:rPr>
          <w:rFonts w:ascii="Times New Roman" w:eastAsia="Times New Roman" w:hAnsi="Times New Roman"/>
          <w:sz w:val="24"/>
        </w:rPr>
        <w:t>. 2008. № 5. С. 17-19.</w:t>
      </w:r>
    </w:p>
    <w:p w:rsidR="00146ACA" w:rsidRDefault="00146ACA" w:rsidP="00146ACA">
      <w:pPr>
        <w:spacing w:line="200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373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5" w:lineRule="auto"/>
        <w:ind w:left="4707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Ласло Оксана Олександрівна </w:t>
      </w:r>
      <w:r>
        <w:rPr>
          <w:rFonts w:ascii="Times New Roman" w:eastAsia="Times New Roman" w:hAnsi="Times New Roman"/>
          <w:sz w:val="28"/>
        </w:rPr>
        <w:t>к.с.-</w:t>
      </w:r>
      <w:proofErr w:type="spellStart"/>
      <w:r>
        <w:rPr>
          <w:rFonts w:ascii="Times New Roman" w:eastAsia="Times New Roman" w:hAnsi="Times New Roman"/>
          <w:sz w:val="28"/>
        </w:rPr>
        <w:t>г.н</w:t>
      </w:r>
      <w:proofErr w:type="spellEnd"/>
      <w:r>
        <w:rPr>
          <w:rFonts w:ascii="Times New Roman" w:eastAsia="Times New Roman" w:hAnsi="Times New Roman"/>
          <w:sz w:val="28"/>
        </w:rPr>
        <w:t xml:space="preserve">., доцент, доцент кафедри землеробства і агрохімії ім. В.І. </w:t>
      </w:r>
      <w:proofErr w:type="spellStart"/>
      <w:r>
        <w:rPr>
          <w:rFonts w:ascii="Times New Roman" w:eastAsia="Times New Roman" w:hAnsi="Times New Roman"/>
          <w:sz w:val="28"/>
        </w:rPr>
        <w:t>Сазанова</w:t>
      </w:r>
      <w:proofErr w:type="spellEnd"/>
    </w:p>
    <w:p w:rsidR="00146ACA" w:rsidRDefault="00146ACA" w:rsidP="00146ACA">
      <w:pPr>
        <w:spacing w:line="8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 xml:space="preserve">Полякова </w:t>
      </w:r>
      <w:proofErr w:type="spellStart"/>
      <w:r>
        <w:rPr>
          <w:rFonts w:ascii="Times New Roman" w:eastAsia="Times New Roman" w:hAnsi="Times New Roman"/>
          <w:b/>
          <w:sz w:val="28"/>
        </w:rPr>
        <w:t>Регіна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Олександрівна</w:t>
      </w:r>
    </w:p>
    <w:p w:rsidR="00146ACA" w:rsidRDefault="00146ACA" w:rsidP="00146ACA">
      <w:pPr>
        <w:spacing w:line="236" w:lineRule="auto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здобувач вищої освіти СВО Магістр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Полтавська державна аграрна академія,</w:t>
      </w:r>
    </w:p>
    <w:p w:rsidR="00146ACA" w:rsidRDefault="00146ACA" w:rsidP="00146ACA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м. Полтава, Україна</w:t>
      </w:r>
    </w:p>
    <w:p w:rsidR="00146ACA" w:rsidRDefault="00146ACA" w:rsidP="00146ACA">
      <w:pPr>
        <w:spacing w:line="339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46" w:lineRule="auto"/>
        <w:ind w:left="2127" w:right="220" w:hanging="1350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>РОЛЬ МІКРОДОБРИВ НОВОГО ПОКОЛІННЯ У ТЕХНОЛОГІЯХ ВИРОЩУВАННЯ ЗЕРНОВИХ КУЛЬТУР</w:t>
      </w:r>
    </w:p>
    <w:p w:rsidR="00146ACA" w:rsidRDefault="00146ACA" w:rsidP="00146ACA">
      <w:pPr>
        <w:spacing w:line="326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234" w:lineRule="auto"/>
        <w:ind w:left="7" w:firstLine="567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Питанню місця мікродобрив у технологіях вирощування </w:t>
      </w:r>
      <w:proofErr w:type="spellStart"/>
      <w:r>
        <w:rPr>
          <w:rFonts w:ascii="Times New Roman" w:eastAsia="Times New Roman" w:hAnsi="Times New Roman"/>
          <w:sz w:val="28"/>
        </w:rPr>
        <w:t>сільськогоспо-дарських</w:t>
      </w:r>
      <w:proofErr w:type="spellEnd"/>
      <w:r>
        <w:rPr>
          <w:rFonts w:ascii="Times New Roman" w:eastAsia="Times New Roman" w:hAnsi="Times New Roman"/>
          <w:sz w:val="28"/>
        </w:rPr>
        <w:t xml:space="preserve"> культур приділяється значна увага впродовж тривалого часу.</w:t>
      </w:r>
    </w:p>
    <w:p w:rsidR="00146ACA" w:rsidRDefault="00146ACA" w:rsidP="00146ACA">
      <w:pPr>
        <w:spacing w:line="15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numPr>
          <w:ilvl w:val="0"/>
          <w:numId w:val="1"/>
        </w:numPr>
        <w:tabs>
          <w:tab w:val="left" w:pos="1013"/>
        </w:tabs>
        <w:spacing w:line="238" w:lineRule="auto"/>
        <w:ind w:left="7" w:firstLine="5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останні десятиріччя проблема забезпечення зростаючих урожаїв сільськогосподарських культур мікроелементами викликає особливий інтерес як у вчених, так і в сільгоспвиробників. Поряд з усвідомленням фізіологічної ролі мікроелементів це пов’язано з розумінням економічної доцільності їх внесення: мікроелементи дають змогу підвищити коефіцієнти використання внесених </w:t>
      </w:r>
      <w:proofErr w:type="spellStart"/>
      <w:r>
        <w:rPr>
          <w:rFonts w:ascii="Times New Roman" w:eastAsia="Times New Roman" w:hAnsi="Times New Roman"/>
          <w:sz w:val="28"/>
        </w:rPr>
        <w:t>макроелементів</w:t>
      </w:r>
      <w:proofErr w:type="spellEnd"/>
      <w:r>
        <w:rPr>
          <w:rFonts w:ascii="Times New Roman" w:eastAsia="Times New Roman" w:hAnsi="Times New Roman"/>
          <w:sz w:val="28"/>
        </w:rPr>
        <w:t>, зумовлюючи зростання економічної ефективності застосування добрив.</w:t>
      </w:r>
    </w:p>
    <w:p w:rsidR="00146ACA" w:rsidRDefault="00146ACA" w:rsidP="00146ACA">
      <w:pPr>
        <w:spacing w:line="18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Проблема мікроелементів у світі загострюється в результаті переходу на інтенсивні технології вирощування сільськогосподарських культур, зменшення можливостей ґрунту забезпечувати рослини мікроелементами внаслідок ерозії, вимивання, інтенсивного вапнування і внесення промислових добрив, зменшення частки органічних добрив у технологіях тощо [3].</w:t>
      </w:r>
    </w:p>
    <w:p w:rsidR="00146ACA" w:rsidRDefault="00146ACA" w:rsidP="00146ACA">
      <w:pPr>
        <w:spacing w:line="13" w:lineRule="exact"/>
        <w:rPr>
          <w:rFonts w:ascii="Times New Roman" w:eastAsia="Times New Roman" w:hAnsi="Times New Roman"/>
          <w:sz w:val="28"/>
        </w:rPr>
      </w:pPr>
    </w:p>
    <w:p w:rsidR="00146ACA" w:rsidRDefault="00146ACA" w:rsidP="00146ACA">
      <w:pPr>
        <w:spacing w:line="238" w:lineRule="auto"/>
        <w:ind w:left="7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Виробництво зерна головне завдання сільськогосподарської діяльності. У вирішенні цього питання значне місце належить кукурудзі. Кукурудза – одна з найбільш високопродуктивних злакових культур універсального призначення, активно використовуваних у харчовій, індустріальній, тваринницькій і медичній галузях. Для підвищення рівня реалізації біологічного потенціалу культури важливе значення має впровадження у виробництво сучасних ефективних конкурентоспроможних </w:t>
      </w:r>
      <w:proofErr w:type="spellStart"/>
      <w:r>
        <w:rPr>
          <w:rFonts w:ascii="Times New Roman" w:eastAsia="Times New Roman" w:hAnsi="Times New Roman"/>
          <w:sz w:val="28"/>
        </w:rPr>
        <w:t>агротехнологій</w:t>
      </w:r>
      <w:proofErr w:type="spellEnd"/>
      <w:r>
        <w:rPr>
          <w:rFonts w:ascii="Times New Roman" w:eastAsia="Times New Roman" w:hAnsi="Times New Roman"/>
          <w:sz w:val="28"/>
        </w:rPr>
        <w:t>, які повинні базуватися на доборі адаптованих для зони високопродуктивних гібридів інтенсивного типу</w:t>
      </w:r>
    </w:p>
    <w:p w:rsidR="00146ACA" w:rsidRDefault="00146ACA" w:rsidP="00146ACA">
      <w:pPr>
        <w:spacing w:line="327" w:lineRule="exact"/>
        <w:rPr>
          <w:rFonts w:ascii="Times New Roman" w:eastAsia="Times New Roman" w:hAnsi="Times New Roman"/>
        </w:rPr>
      </w:pPr>
    </w:p>
    <w:p w:rsidR="00146ACA" w:rsidRDefault="00146ACA" w:rsidP="00146ACA">
      <w:pPr>
        <w:spacing w:line="0" w:lineRule="atLeast"/>
        <w:ind w:right="-6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62</w:t>
      </w:r>
    </w:p>
    <w:p w:rsidR="00F83092" w:rsidRDefault="00F83092">
      <w:bookmarkStart w:id="5" w:name="_GoBack"/>
      <w:bookmarkEnd w:id="5"/>
    </w:p>
    <w:sectPr w:rsidR="00F8309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EC6A5896"/>
    <w:lvl w:ilvl="0" w:tplc="FFFFFFFF">
      <w:numFmt w:val="none"/>
      <w:lvlText w:val=""/>
      <w:lvlJc w:val="left"/>
      <w:pPr>
        <w:tabs>
          <w:tab w:val="num" w:pos="360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634C574C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24E99DD6"/>
    <w:lvl w:ilvl="0" w:tplc="FFFFFFFF"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start w:val="5888"/>
      <w:numFmt w:val="decimal"/>
      <w:lvlText w:val=""/>
      <w:lvlJc w:val="left"/>
    </w:lvl>
    <w:lvl w:ilvl="5" w:tplc="FFFFFFFF">
      <w:start w:val="5888"/>
      <w:numFmt w:val="decimal"/>
      <w:lvlText w:val=""/>
      <w:lvlJc w:val="left"/>
    </w:lvl>
    <w:lvl w:ilvl="6" w:tplc="FFFFFFFF">
      <w:start w:val="5888"/>
      <w:numFmt w:val="decimal"/>
      <w:lvlText w:val=""/>
      <w:lvlJc w:val="left"/>
    </w:lvl>
    <w:lvl w:ilvl="7" w:tplc="FFFFFFFF">
      <w:start w:val="5888"/>
      <w:numFmt w:val="decimal"/>
      <w:lvlText w:val=""/>
      <w:lvlJc w:val="left"/>
    </w:lvl>
    <w:lvl w:ilvl="8" w:tplc="FFFFFFFF">
      <w:start w:val="5888"/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ACA"/>
    <w:rsid w:val="00034322"/>
    <w:rsid w:val="00047165"/>
    <w:rsid w:val="000C0E22"/>
    <w:rsid w:val="00105B8A"/>
    <w:rsid w:val="00146ACA"/>
    <w:rsid w:val="00363160"/>
    <w:rsid w:val="003B5932"/>
    <w:rsid w:val="00460269"/>
    <w:rsid w:val="004B27BA"/>
    <w:rsid w:val="00624E1C"/>
    <w:rsid w:val="00700003"/>
    <w:rsid w:val="00846B5B"/>
    <w:rsid w:val="00A44202"/>
    <w:rsid w:val="00AB6085"/>
    <w:rsid w:val="00AD102D"/>
    <w:rsid w:val="00DC7EE4"/>
    <w:rsid w:val="00F034AF"/>
    <w:rsid w:val="00F67EE6"/>
    <w:rsid w:val="00F8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AC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ACA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7259</Words>
  <Characters>4139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Felis</dc:creator>
  <cp:lastModifiedBy>Felis</cp:lastModifiedBy>
  <cp:revision>1</cp:revision>
  <dcterms:created xsi:type="dcterms:W3CDTF">2020-01-26T19:04:00Z</dcterms:created>
  <dcterms:modified xsi:type="dcterms:W3CDTF">2020-01-26T19:08:00Z</dcterms:modified>
</cp:coreProperties>
</file>